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C91570">
      <w:pPr>
        <w:pStyle w:val="3"/>
        <w:spacing w:before="120" w:after="120" w:line="360" w:lineRule="auto"/>
        <w:rPr>
          <w:rFonts w:hint="eastAsia" w:ascii="宋体" w:hAnsi="宋体" w:cs="宋体"/>
          <w:kern w:val="2"/>
          <w:sz w:val="32"/>
        </w:rPr>
      </w:pPr>
      <w:bookmarkStart w:id="18" w:name="_GoBack"/>
      <w:bookmarkEnd w:id="18"/>
      <w:bookmarkStart w:id="0" w:name="_Toc28000"/>
      <w:bookmarkStart w:id="1" w:name="_Toc27970"/>
      <w:bookmarkStart w:id="2" w:name="_Toc88807231"/>
      <w:bookmarkStart w:id="3" w:name="_Toc26795"/>
      <w:bookmarkStart w:id="4" w:name="_Toc10112"/>
      <w:bookmarkStart w:id="5" w:name="_Toc796"/>
      <w:bookmarkStart w:id="6" w:name="_Toc88807246"/>
      <w:bookmarkStart w:id="7" w:name="_Toc17481"/>
      <w:bookmarkStart w:id="8" w:name="_Toc2795"/>
      <w:bookmarkStart w:id="9" w:name="_Toc14678"/>
      <w:bookmarkStart w:id="10" w:name="_Toc18999"/>
      <w:bookmarkStart w:id="11" w:name="_Toc5273"/>
      <w:bookmarkStart w:id="12" w:name="_Toc2318"/>
      <w:bookmarkStart w:id="13" w:name="_Toc6058"/>
      <w:r>
        <w:rPr>
          <w:rFonts w:hint="eastAsia" w:ascii="宋体" w:hAnsi="宋体"/>
          <w:kern w:val="2"/>
          <w:sz w:val="32"/>
          <w:lang w:eastAsia="zh-CN"/>
        </w:rPr>
        <w:t>中国海洋大学液相色谱串联四极杆等离子体质谱仪、多功能电磁法仪等设备采购项目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r>
        <w:rPr>
          <w:rFonts w:hint="eastAsia" w:ascii="宋体" w:hAnsi="宋体"/>
          <w:kern w:val="2"/>
          <w:sz w:val="32"/>
          <w:lang w:val="en-US" w:eastAsia="zh-CN"/>
        </w:rPr>
        <w:t>采购需求</w:t>
      </w:r>
    </w:p>
    <w:p w14:paraId="0953D50E">
      <w:pPr>
        <w:pStyle w:val="5"/>
        <w:tabs>
          <w:tab w:val="left" w:pos="573"/>
        </w:tabs>
        <w:spacing w:after="0" w:line="360" w:lineRule="auto"/>
        <w:ind w:firstLine="482" w:firstLineChars="200"/>
        <w:rPr>
          <w:rFonts w:hint="eastAsia" w:ascii="宋体" w:hAnsi="宋体" w:cs="宋体"/>
          <w:b/>
          <w:kern w:val="2"/>
          <w:szCs w:val="24"/>
        </w:rPr>
      </w:pPr>
      <w:bookmarkStart w:id="14" w:name="_Toc88807247"/>
      <w:r>
        <w:rPr>
          <w:rFonts w:hint="eastAsia" w:ascii="宋体" w:hAnsi="宋体" w:cs="宋体"/>
          <w:b/>
          <w:kern w:val="2"/>
          <w:szCs w:val="24"/>
        </w:rPr>
        <w:t>一、商务条件</w:t>
      </w:r>
    </w:p>
    <w:p w14:paraId="4B77C046">
      <w:pPr>
        <w:pStyle w:val="5"/>
        <w:tabs>
          <w:tab w:val="left" w:pos="573"/>
        </w:tabs>
        <w:spacing w:after="0" w:line="360" w:lineRule="auto"/>
        <w:ind w:firstLine="482" w:firstLineChars="200"/>
        <w:rPr>
          <w:rFonts w:hint="eastAsia" w:ascii="宋体" w:hAnsi="宋体" w:cs="宋体"/>
          <w:b/>
          <w:kern w:val="2"/>
          <w:szCs w:val="24"/>
        </w:rPr>
      </w:pPr>
      <w:r>
        <w:rPr>
          <w:rFonts w:hint="eastAsia" w:ascii="宋体" w:hAnsi="宋体" w:cs="宋体"/>
          <w:b/>
          <w:kern w:val="2"/>
          <w:szCs w:val="24"/>
        </w:rPr>
        <w:t>1.交货期及交货地点</w:t>
      </w:r>
    </w:p>
    <w:p w14:paraId="544E2333">
      <w:pPr>
        <w:pStyle w:val="5"/>
        <w:tabs>
          <w:tab w:val="left" w:pos="573"/>
        </w:tabs>
        <w:spacing w:after="0" w:line="360" w:lineRule="auto"/>
        <w:ind w:firstLine="480" w:firstLineChars="200"/>
        <w:rPr>
          <w:rFonts w:hint="eastAsia" w:ascii="宋体" w:hAnsi="宋体" w:cs="宋体"/>
          <w:bCs/>
          <w:kern w:val="2"/>
          <w:szCs w:val="24"/>
        </w:rPr>
      </w:pPr>
      <w:r>
        <w:rPr>
          <w:rFonts w:hint="eastAsia" w:ascii="宋体" w:hAnsi="宋体" w:cs="宋体"/>
          <w:bCs/>
          <w:kern w:val="2"/>
          <w:szCs w:val="24"/>
        </w:rPr>
        <w:t>1.1</w:t>
      </w:r>
      <w:r>
        <w:rPr>
          <w:rFonts w:hint="eastAsia" w:ascii="宋体" w:hAnsi="宋体" w:cs="宋体"/>
          <w:sz w:val="24"/>
        </w:rPr>
        <w:t>国产设备合同签订后30天，进口设备合同签订后40天内，投标人可根据自身情况自报最快交货时间</w:t>
      </w:r>
      <w:r>
        <w:rPr>
          <w:rFonts w:hint="eastAsia" w:ascii="宋体" w:hAnsi="宋体" w:cs="宋体"/>
          <w:bCs/>
          <w:kern w:val="2"/>
          <w:szCs w:val="24"/>
        </w:rPr>
        <w:t>。</w:t>
      </w:r>
    </w:p>
    <w:p w14:paraId="32D3A72E">
      <w:pPr>
        <w:pStyle w:val="5"/>
        <w:tabs>
          <w:tab w:val="left" w:pos="573"/>
        </w:tabs>
        <w:spacing w:after="0" w:line="360" w:lineRule="auto"/>
        <w:ind w:firstLine="480" w:firstLineChars="200"/>
        <w:rPr>
          <w:rFonts w:hint="eastAsia" w:ascii="宋体" w:hAnsi="宋体" w:cs="宋体"/>
          <w:bCs/>
          <w:kern w:val="2"/>
          <w:szCs w:val="24"/>
        </w:rPr>
      </w:pPr>
      <w:r>
        <w:rPr>
          <w:rFonts w:hint="eastAsia" w:ascii="宋体" w:hAnsi="宋体" w:cs="宋体"/>
          <w:bCs/>
          <w:kern w:val="2"/>
          <w:szCs w:val="24"/>
        </w:rPr>
        <w:t>1.2采购人指定地点。</w:t>
      </w:r>
    </w:p>
    <w:p w14:paraId="4AD8FE3D">
      <w:pPr>
        <w:pStyle w:val="5"/>
        <w:tabs>
          <w:tab w:val="left" w:pos="573"/>
        </w:tabs>
        <w:spacing w:after="0" w:line="360" w:lineRule="auto"/>
        <w:ind w:firstLine="482" w:firstLineChars="200"/>
        <w:rPr>
          <w:rFonts w:hint="eastAsia" w:ascii="宋体" w:hAnsi="宋体" w:cs="宋体"/>
          <w:b/>
          <w:kern w:val="2"/>
          <w:szCs w:val="24"/>
        </w:rPr>
      </w:pPr>
      <w:r>
        <w:rPr>
          <w:rFonts w:hint="eastAsia" w:ascii="宋体" w:hAnsi="宋体" w:cs="宋体"/>
          <w:b/>
          <w:kern w:val="2"/>
          <w:szCs w:val="24"/>
        </w:rPr>
        <w:t>2.质量保证期</w:t>
      </w:r>
    </w:p>
    <w:p w14:paraId="25190727">
      <w:pPr>
        <w:pStyle w:val="5"/>
        <w:tabs>
          <w:tab w:val="left" w:pos="573"/>
        </w:tabs>
        <w:spacing w:after="0" w:line="360" w:lineRule="auto"/>
        <w:ind w:firstLine="480" w:firstLineChars="200"/>
        <w:rPr>
          <w:rFonts w:hint="eastAsia" w:ascii="宋体" w:hAnsi="宋体" w:cs="宋体"/>
          <w:bCs/>
          <w:kern w:val="2"/>
          <w:szCs w:val="24"/>
        </w:rPr>
      </w:pPr>
      <w:r>
        <w:rPr>
          <w:rFonts w:hint="eastAsia" w:ascii="宋体" w:hAnsi="宋体" w:cs="宋体"/>
          <w:bCs/>
          <w:kern w:val="2"/>
          <w:szCs w:val="24"/>
        </w:rPr>
        <w:t>2.1质量保证期：</w:t>
      </w:r>
      <w:r>
        <w:rPr>
          <w:rFonts w:hint="eastAsia" w:ascii="宋体" w:hAnsi="宋体" w:cs="宋体"/>
          <w:b/>
          <w:kern w:val="2"/>
          <w:szCs w:val="24"/>
        </w:rPr>
        <w:t>国产设备自验收合格之日起3年，进口设备自验收合格之日起1年，技术要求中有明确要求的执行技术要求中的质保期。</w:t>
      </w:r>
      <w:r>
        <w:rPr>
          <w:rFonts w:hint="eastAsia" w:ascii="宋体" w:hAnsi="宋体" w:cs="宋体"/>
          <w:bCs/>
          <w:kern w:val="2"/>
          <w:szCs w:val="24"/>
        </w:rPr>
        <w:t>国家主管部门或者行业标准对货物本身有更高要求的，从其规定并在合同中约定，投标人亦可提报更长的质保期。</w:t>
      </w:r>
    </w:p>
    <w:p w14:paraId="2DF39C68">
      <w:pPr>
        <w:pStyle w:val="5"/>
        <w:tabs>
          <w:tab w:val="left" w:pos="573"/>
        </w:tabs>
        <w:spacing w:after="0" w:line="360" w:lineRule="auto"/>
        <w:ind w:firstLine="480" w:firstLineChars="200"/>
        <w:rPr>
          <w:rFonts w:hint="eastAsia" w:ascii="宋体" w:hAnsi="宋体" w:cs="宋体"/>
          <w:bCs/>
          <w:kern w:val="2"/>
          <w:szCs w:val="24"/>
        </w:rPr>
      </w:pPr>
      <w:r>
        <w:rPr>
          <w:rFonts w:hint="eastAsia" w:ascii="宋体" w:hAnsi="宋体" w:cs="宋体"/>
          <w:bCs/>
          <w:kern w:val="2"/>
          <w:szCs w:val="24"/>
        </w:rPr>
        <w:t>2.2质量保证期内，如果证实货物是有缺陷的，包括潜在的缺陷或者使用不符合要求的材料等，中标人应立即免费维修或者更换有缺陷的货物或者部件，保证达到合同规定的技术以及性能要求。如果中标人在收到通知后5天内没有弥补缺陷，采购人可自行采取必要的补救措施，但风险和费用由中标人承担，采购人同时保留通过法律途径进行索赔的权利。</w:t>
      </w:r>
    </w:p>
    <w:p w14:paraId="4A68D83D">
      <w:pPr>
        <w:pStyle w:val="5"/>
        <w:tabs>
          <w:tab w:val="left" w:pos="573"/>
        </w:tabs>
        <w:spacing w:after="0" w:line="360" w:lineRule="auto"/>
        <w:ind w:firstLine="480" w:firstLineChars="200"/>
        <w:rPr>
          <w:rFonts w:hint="eastAsia" w:ascii="宋体" w:hAnsi="宋体" w:cs="宋体"/>
          <w:bCs/>
          <w:kern w:val="2"/>
          <w:szCs w:val="24"/>
        </w:rPr>
      </w:pPr>
      <w:r>
        <w:rPr>
          <w:rFonts w:hint="eastAsia" w:ascii="宋体" w:hAnsi="宋体" w:cs="宋体"/>
          <w:bCs/>
          <w:kern w:val="2"/>
          <w:szCs w:val="24"/>
        </w:rPr>
        <w:t>2.3质保期外的服务：如设备在质保期外发生故障，中标人继续以成本费用为用户提供技术服务。</w:t>
      </w:r>
    </w:p>
    <w:p w14:paraId="2A400BBF">
      <w:pPr>
        <w:pStyle w:val="5"/>
        <w:tabs>
          <w:tab w:val="left" w:pos="573"/>
        </w:tabs>
        <w:spacing w:after="0" w:line="360" w:lineRule="auto"/>
        <w:ind w:firstLine="482" w:firstLineChars="200"/>
        <w:rPr>
          <w:rFonts w:hint="eastAsia" w:ascii="宋体" w:hAnsi="宋体" w:cs="宋体"/>
          <w:b/>
          <w:kern w:val="2"/>
          <w:szCs w:val="24"/>
        </w:rPr>
      </w:pPr>
      <w:r>
        <w:rPr>
          <w:rFonts w:hint="eastAsia" w:ascii="宋体" w:hAnsi="宋体" w:cs="宋体"/>
          <w:b/>
          <w:kern w:val="2"/>
          <w:szCs w:val="24"/>
        </w:rPr>
        <w:t>3.付款方式</w:t>
      </w:r>
    </w:p>
    <w:p w14:paraId="78247DFB">
      <w:pPr>
        <w:pStyle w:val="5"/>
        <w:tabs>
          <w:tab w:val="left" w:pos="573"/>
        </w:tabs>
        <w:spacing w:after="0" w:line="360" w:lineRule="auto"/>
        <w:ind w:firstLine="480" w:firstLineChars="200"/>
        <w:rPr>
          <w:rFonts w:hint="eastAsia" w:ascii="宋体" w:hAnsi="宋体" w:cs="宋体"/>
          <w:bCs/>
          <w:kern w:val="2"/>
          <w:szCs w:val="24"/>
        </w:rPr>
      </w:pPr>
      <w:r>
        <w:rPr>
          <w:rFonts w:hint="eastAsia" w:ascii="宋体" w:hAnsi="宋体" w:cs="宋体"/>
          <w:bCs/>
          <w:kern w:val="2"/>
          <w:szCs w:val="24"/>
        </w:rPr>
        <w:t>内贸货物：货物验收合格后，合同金额在十万人民币及以上，乙方需按照合同额5%付给甲方质保金，甲方100%支付给乙方设备款。质保期满后无质量问题及其他争议，经乙方申请，甲方</w:t>
      </w:r>
      <w:r>
        <w:rPr>
          <w:rFonts w:hint="eastAsia" w:ascii="宋体" w:hAnsi="宋体" w:cs="宋体"/>
          <w:bCs/>
          <w:kern w:val="2"/>
          <w:szCs w:val="24"/>
          <w:lang w:eastAsia="zh-Hans"/>
        </w:rPr>
        <w:t>在扣除相关费用后</w:t>
      </w:r>
      <w:r>
        <w:rPr>
          <w:rFonts w:hint="eastAsia" w:ascii="宋体" w:hAnsi="宋体" w:cs="宋体"/>
          <w:bCs/>
          <w:kern w:val="2"/>
          <w:szCs w:val="24"/>
        </w:rPr>
        <w:t>将质保金</w:t>
      </w:r>
      <w:r>
        <w:rPr>
          <w:rFonts w:hint="eastAsia" w:ascii="宋体" w:hAnsi="宋体" w:cs="宋体"/>
          <w:bCs/>
          <w:kern w:val="2"/>
          <w:szCs w:val="24"/>
          <w:lang w:eastAsia="zh-Hans"/>
        </w:rPr>
        <w:t>无息</w:t>
      </w:r>
      <w:r>
        <w:rPr>
          <w:rFonts w:hint="eastAsia" w:ascii="宋体" w:hAnsi="宋体" w:cs="宋体"/>
          <w:bCs/>
          <w:kern w:val="2"/>
          <w:szCs w:val="24"/>
        </w:rPr>
        <w:t>返还乙方。合同金额在十万人民币以下的，甲方100%支付给乙方设备款。乙方于甲方付款之前须向甲方开具增值税专用发票/增值税普通发票，如为增值税专用发票需向甲方提供抵扣联。</w:t>
      </w:r>
    </w:p>
    <w:p w14:paraId="7544B0D5">
      <w:pPr>
        <w:pStyle w:val="5"/>
        <w:tabs>
          <w:tab w:val="left" w:pos="573"/>
        </w:tabs>
        <w:spacing w:after="0" w:line="360" w:lineRule="auto"/>
        <w:ind w:firstLine="480" w:firstLineChars="200"/>
        <w:rPr>
          <w:rFonts w:hint="eastAsia" w:ascii="宋体" w:hAnsi="宋体" w:cs="宋体"/>
          <w:bCs/>
          <w:kern w:val="2"/>
          <w:szCs w:val="24"/>
        </w:rPr>
      </w:pPr>
      <w:r>
        <w:rPr>
          <w:rFonts w:hint="eastAsia" w:ascii="宋体" w:hAnsi="宋体" w:cs="宋体"/>
          <w:bCs/>
          <w:kern w:val="2"/>
          <w:szCs w:val="24"/>
        </w:rPr>
        <w:t>外贸货物：货物办理完免税手续后支付合同的80%，验收合格后</w:t>
      </w:r>
      <w:r>
        <w:rPr>
          <w:rFonts w:hint="eastAsia" w:ascii="宋体" w:hAnsi="宋体" w:cs="宋体"/>
          <w:bCs/>
          <w:kern w:val="2"/>
          <w:szCs w:val="24"/>
          <w:lang w:eastAsia="zh-Hans"/>
        </w:rPr>
        <w:t>支付</w:t>
      </w:r>
      <w:r>
        <w:rPr>
          <w:rFonts w:hint="eastAsia" w:ascii="宋体" w:hAnsi="宋体" w:cs="宋体"/>
          <w:bCs/>
          <w:kern w:val="2"/>
          <w:szCs w:val="24"/>
        </w:rPr>
        <w:t>20%。</w:t>
      </w:r>
    </w:p>
    <w:p w14:paraId="3FEFE525">
      <w:pPr>
        <w:pStyle w:val="5"/>
        <w:tabs>
          <w:tab w:val="left" w:pos="573"/>
        </w:tabs>
        <w:snapToGrid w:val="0"/>
        <w:spacing w:after="0" w:line="360" w:lineRule="auto"/>
        <w:ind w:firstLine="482" w:firstLineChars="200"/>
        <w:rPr>
          <w:rFonts w:hint="eastAsia" w:ascii="宋体" w:hAnsi="宋体" w:cs="宋体"/>
          <w:b/>
          <w:kern w:val="2"/>
          <w:szCs w:val="24"/>
        </w:rPr>
      </w:pPr>
      <w:r>
        <w:rPr>
          <w:rFonts w:hint="eastAsia" w:ascii="宋体" w:hAnsi="宋体" w:cs="宋体"/>
          <w:b/>
          <w:kern w:val="2"/>
          <w:szCs w:val="24"/>
        </w:rPr>
        <w:t>4.安装调试验收</w:t>
      </w:r>
    </w:p>
    <w:p w14:paraId="59E8FC9E">
      <w:pPr>
        <w:pStyle w:val="5"/>
        <w:tabs>
          <w:tab w:val="left" w:pos="573"/>
        </w:tabs>
        <w:spacing w:after="0" w:line="360" w:lineRule="auto"/>
        <w:ind w:firstLine="480" w:firstLineChars="200"/>
        <w:rPr>
          <w:rFonts w:hint="eastAsia" w:ascii="宋体" w:hAnsi="宋体" w:cs="宋体"/>
          <w:bCs/>
          <w:kern w:val="2"/>
          <w:szCs w:val="24"/>
        </w:rPr>
      </w:pPr>
      <w:r>
        <w:rPr>
          <w:rFonts w:hint="eastAsia" w:ascii="宋体" w:hAnsi="宋体" w:cs="宋体"/>
          <w:bCs/>
          <w:kern w:val="2"/>
          <w:szCs w:val="24"/>
        </w:rPr>
        <w:t>4.1中标人须保证所提供的产品能满足主管部门的验收要求，并保证通过验收。</w:t>
      </w:r>
    </w:p>
    <w:p w14:paraId="5609DD4C">
      <w:pPr>
        <w:pStyle w:val="5"/>
        <w:tabs>
          <w:tab w:val="left" w:pos="573"/>
        </w:tabs>
        <w:snapToGrid w:val="0"/>
        <w:spacing w:after="0" w:line="360" w:lineRule="auto"/>
        <w:ind w:firstLine="480" w:firstLineChars="200"/>
        <w:rPr>
          <w:rFonts w:hint="eastAsia" w:ascii="宋体" w:hAnsi="宋体" w:cs="宋体"/>
          <w:bCs/>
          <w:kern w:val="2"/>
          <w:szCs w:val="24"/>
        </w:rPr>
      </w:pPr>
      <w:r>
        <w:rPr>
          <w:rFonts w:hint="eastAsia" w:ascii="宋体" w:hAnsi="宋体" w:cs="宋体"/>
          <w:bCs/>
          <w:kern w:val="2"/>
          <w:szCs w:val="24"/>
        </w:rPr>
        <w:t>4.2采购人将对货物数量、质量、规格等进行检验。如发现货物和规格或者两者都与招标文件、投标文件、合同不符，采购人有权限根据检验结果要求中标人立即更换或者提出索赔要求。</w:t>
      </w:r>
    </w:p>
    <w:p w14:paraId="5E36B1D3">
      <w:pPr>
        <w:pStyle w:val="5"/>
        <w:tabs>
          <w:tab w:val="left" w:pos="573"/>
        </w:tabs>
        <w:snapToGrid w:val="0"/>
        <w:spacing w:after="0" w:line="360" w:lineRule="auto"/>
        <w:ind w:firstLine="482" w:firstLineChars="200"/>
        <w:rPr>
          <w:rFonts w:hint="eastAsia" w:ascii="宋体" w:hAnsi="宋体" w:cs="宋体"/>
          <w:b/>
          <w:kern w:val="2"/>
          <w:szCs w:val="24"/>
        </w:rPr>
      </w:pPr>
      <w:r>
        <w:rPr>
          <w:rFonts w:hint="eastAsia" w:ascii="宋体" w:hAnsi="宋体" w:cs="宋体"/>
          <w:b/>
          <w:kern w:val="2"/>
          <w:szCs w:val="24"/>
        </w:rPr>
        <w:t>5.售后服务</w:t>
      </w:r>
    </w:p>
    <w:p w14:paraId="7E712B2E">
      <w:pPr>
        <w:pStyle w:val="5"/>
        <w:tabs>
          <w:tab w:val="left" w:pos="573"/>
        </w:tabs>
        <w:spacing w:after="0" w:line="360" w:lineRule="auto"/>
        <w:ind w:firstLine="480" w:firstLineChars="200"/>
        <w:rPr>
          <w:rFonts w:hint="eastAsia" w:ascii="宋体" w:hAnsi="宋体" w:cs="宋体"/>
          <w:bCs/>
          <w:kern w:val="2"/>
          <w:szCs w:val="24"/>
        </w:rPr>
      </w:pPr>
      <w:r>
        <w:rPr>
          <w:rFonts w:hint="eastAsia" w:ascii="宋体" w:hAnsi="宋体" w:cs="宋体"/>
          <w:bCs/>
          <w:kern w:val="2"/>
          <w:szCs w:val="24"/>
        </w:rPr>
        <w:t>5.1质保期内，如果证实设备是有缺陷的，包括潜在的缺陷或者使用不符合要求的材料等，中标人应立即免费维修或者更换有缺陷的货物或者部件，保证达到合同规定的技术以及性能要求。如果中标人在收到通知后5天内没有弥补缺陷，采购人可自行采取必要的补救措施，但风险和费用由中标人承担，采购人同时保留通过法律途径进行索赔的权利。</w:t>
      </w:r>
    </w:p>
    <w:p w14:paraId="48FB5E30">
      <w:pPr>
        <w:pStyle w:val="5"/>
        <w:tabs>
          <w:tab w:val="left" w:pos="573"/>
        </w:tabs>
        <w:spacing w:after="0" w:line="360" w:lineRule="auto"/>
        <w:ind w:firstLine="480" w:firstLineChars="200"/>
        <w:rPr>
          <w:rFonts w:hint="eastAsia" w:ascii="宋体" w:hAnsi="宋体" w:cs="宋体"/>
          <w:bCs/>
          <w:kern w:val="2"/>
          <w:szCs w:val="24"/>
        </w:rPr>
      </w:pPr>
      <w:r>
        <w:rPr>
          <w:rFonts w:hint="eastAsia" w:ascii="宋体" w:hAnsi="宋体" w:cs="宋体"/>
          <w:bCs/>
          <w:kern w:val="2"/>
          <w:szCs w:val="24"/>
        </w:rPr>
        <w:t>5.2质保期内中标人应提供及时周到的售后服务，在接到采购人通知2小时内做出响应并到达现场，24小时内维修完毕，不能在规定时间内修好的要免费提供备品（机）备件。</w:t>
      </w:r>
    </w:p>
    <w:p w14:paraId="6381F946">
      <w:pPr>
        <w:pStyle w:val="5"/>
        <w:tabs>
          <w:tab w:val="left" w:pos="573"/>
        </w:tabs>
        <w:snapToGrid w:val="0"/>
        <w:spacing w:after="0" w:line="360" w:lineRule="auto"/>
        <w:ind w:firstLine="480" w:firstLineChars="200"/>
        <w:rPr>
          <w:rFonts w:hint="eastAsia" w:ascii="宋体" w:hAnsi="宋体" w:cs="宋体"/>
          <w:bCs/>
          <w:kern w:val="2"/>
          <w:szCs w:val="24"/>
        </w:rPr>
      </w:pPr>
      <w:r>
        <w:rPr>
          <w:rFonts w:hint="eastAsia" w:ascii="宋体" w:hAnsi="宋体" w:cs="宋体"/>
          <w:bCs/>
          <w:kern w:val="2"/>
          <w:szCs w:val="24"/>
        </w:rPr>
        <w:t>5.3质保期内，中标人应按照采购人要求无偿协助采购人开展设备调试，直至可实现设备的正常使用。</w:t>
      </w:r>
    </w:p>
    <w:p w14:paraId="08A21FB7">
      <w:pPr>
        <w:pStyle w:val="5"/>
        <w:tabs>
          <w:tab w:val="left" w:pos="573"/>
        </w:tabs>
        <w:snapToGrid w:val="0"/>
        <w:spacing w:after="0" w:line="360" w:lineRule="auto"/>
        <w:ind w:firstLine="482" w:firstLineChars="200"/>
        <w:rPr>
          <w:rFonts w:hint="eastAsia" w:ascii="宋体" w:hAnsi="宋体" w:cs="宋体"/>
          <w:b/>
          <w:kern w:val="2"/>
          <w:szCs w:val="24"/>
        </w:rPr>
      </w:pPr>
      <w:r>
        <w:rPr>
          <w:rFonts w:hint="eastAsia" w:ascii="宋体" w:hAnsi="宋体" w:cs="宋体"/>
          <w:b/>
          <w:kern w:val="2"/>
          <w:szCs w:val="24"/>
        </w:rPr>
        <w:t>6.培训要求</w:t>
      </w:r>
    </w:p>
    <w:p w14:paraId="6A2B0E87">
      <w:pPr>
        <w:pStyle w:val="5"/>
        <w:tabs>
          <w:tab w:val="left" w:pos="573"/>
        </w:tabs>
        <w:snapToGrid w:val="0"/>
        <w:spacing w:after="0" w:line="360" w:lineRule="auto"/>
        <w:ind w:firstLine="480" w:firstLineChars="200"/>
        <w:rPr>
          <w:rFonts w:hint="eastAsia" w:ascii="宋体" w:hAnsi="宋体" w:cs="宋体"/>
          <w:bCs/>
          <w:kern w:val="2"/>
          <w:szCs w:val="24"/>
        </w:rPr>
      </w:pPr>
      <w:r>
        <w:rPr>
          <w:rFonts w:hint="eastAsia" w:ascii="宋体" w:hAnsi="宋体" w:cs="宋体"/>
          <w:bCs/>
          <w:kern w:val="2"/>
          <w:szCs w:val="24"/>
        </w:rPr>
        <w:t>中标人免费为采购人提供中文操作手册并培训操作人员，其中包括讲解产品的结构以及原理、产品的使用以及维护保养，直至操作人员能够独立的操作使用。</w:t>
      </w:r>
    </w:p>
    <w:p w14:paraId="6ECBF6AC">
      <w:pPr>
        <w:numPr>
          <w:ilvl w:val="0"/>
          <w:numId w:val="1"/>
        </w:numPr>
        <w:spacing w:line="360" w:lineRule="auto"/>
        <w:rPr>
          <w:rFonts w:hint="eastAsia" w:ascii="宋体" w:hAnsi="宋体" w:cs="宋体"/>
          <w:b/>
          <w:sz w:val="24"/>
        </w:rPr>
      </w:pPr>
      <w:r>
        <w:rPr>
          <w:rFonts w:hint="eastAsia" w:ascii="宋体" w:hAnsi="宋体" w:cs="宋体"/>
          <w:b/>
          <w:bCs/>
        </w:rPr>
        <w:br w:type="page"/>
      </w:r>
      <w:r>
        <w:rPr>
          <w:rFonts w:hint="eastAsia" w:ascii="宋体" w:hAnsi="宋体" w:cs="宋体"/>
          <w:b/>
          <w:sz w:val="24"/>
        </w:rPr>
        <w:t>采购内容</w:t>
      </w:r>
    </w:p>
    <w:bookmarkEnd w:id="14"/>
    <w:p w14:paraId="7D6EDF84">
      <w:pPr>
        <w:spacing w:line="360" w:lineRule="auto"/>
        <w:jc w:val="center"/>
        <w:rPr>
          <w:rFonts w:hint="eastAsia" w:ascii="宋体" w:hAnsi="宋体" w:cs="宋体"/>
          <w:b/>
          <w:sz w:val="24"/>
        </w:rPr>
      </w:pPr>
      <w:r>
        <w:rPr>
          <w:rFonts w:hint="eastAsia" w:ascii="宋体" w:hAnsi="宋体" w:cs="宋体"/>
          <w:b/>
          <w:bCs/>
          <w:sz w:val="24"/>
        </w:rPr>
        <w:t>第一包：</w:t>
      </w:r>
    </w:p>
    <w:tbl>
      <w:tblPr>
        <w:tblStyle w:val="7"/>
        <w:tblW w:w="0" w:type="auto"/>
        <w:tblInd w:w="-3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4"/>
        <w:gridCol w:w="1296"/>
        <w:gridCol w:w="4413"/>
        <w:gridCol w:w="859"/>
        <w:gridCol w:w="1472"/>
      </w:tblGrid>
      <w:tr w14:paraId="6758D8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noWrap w:val="0"/>
            <w:vAlign w:val="center"/>
          </w:tcPr>
          <w:p w14:paraId="6EDADC11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序号</w:t>
            </w:r>
          </w:p>
        </w:tc>
        <w:tc>
          <w:tcPr>
            <w:tcW w:w="1296" w:type="dxa"/>
            <w:noWrap w:val="0"/>
            <w:vAlign w:val="center"/>
          </w:tcPr>
          <w:p w14:paraId="65E0C221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设备名称</w:t>
            </w:r>
          </w:p>
        </w:tc>
        <w:tc>
          <w:tcPr>
            <w:tcW w:w="4413" w:type="dxa"/>
            <w:noWrap w:val="0"/>
            <w:vAlign w:val="center"/>
          </w:tcPr>
          <w:p w14:paraId="4BD5C164">
            <w:pPr>
              <w:snapToGrid w:val="0"/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技术需求</w:t>
            </w:r>
          </w:p>
        </w:tc>
        <w:tc>
          <w:tcPr>
            <w:tcW w:w="859" w:type="dxa"/>
            <w:noWrap w:val="0"/>
            <w:vAlign w:val="center"/>
          </w:tcPr>
          <w:p w14:paraId="367D1D8D">
            <w:pPr>
              <w:snapToGrid w:val="0"/>
              <w:spacing w:line="360" w:lineRule="auto"/>
              <w:jc w:val="center"/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数量</w:t>
            </w:r>
          </w:p>
        </w:tc>
        <w:tc>
          <w:tcPr>
            <w:tcW w:w="1472" w:type="dxa"/>
            <w:noWrap w:val="0"/>
            <w:vAlign w:val="center"/>
          </w:tcPr>
          <w:p w14:paraId="7C6742DB">
            <w:pPr>
              <w:snapToGrid w:val="0"/>
              <w:spacing w:line="360" w:lineRule="auto"/>
              <w:jc w:val="center"/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单价限价（万元）</w:t>
            </w:r>
          </w:p>
        </w:tc>
      </w:tr>
      <w:tr w14:paraId="6F975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noWrap w:val="0"/>
            <w:vAlign w:val="center"/>
          </w:tcPr>
          <w:p w14:paraId="1094B649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</w:t>
            </w:r>
          </w:p>
        </w:tc>
        <w:tc>
          <w:tcPr>
            <w:tcW w:w="1296" w:type="dxa"/>
            <w:noWrap w:val="0"/>
            <w:vAlign w:val="center"/>
          </w:tcPr>
          <w:p w14:paraId="6FAC3CC3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●</w:t>
            </w:r>
            <w:r>
              <w:rPr>
                <w:rFonts w:hint="eastAsia" w:ascii="宋体" w:hAnsi="宋体" w:cs="宋体"/>
                <w:color w:val="000000"/>
                <w:sz w:val="24"/>
              </w:rPr>
              <w:t>液相色谱串联四极杆等离子体质谱仪</w:t>
            </w:r>
          </w:p>
        </w:tc>
        <w:tc>
          <w:tcPr>
            <w:tcW w:w="4413" w:type="dxa"/>
            <w:noWrap w:val="0"/>
            <w:vAlign w:val="top"/>
          </w:tcPr>
          <w:p w14:paraId="757262F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一、等离子体质谱</w:t>
            </w:r>
          </w:p>
          <w:p w14:paraId="16FA82E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*1.雾化室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：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配置半导体控温装置的石英雾化室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6BEC690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*2.离子源：数控式固态射频发生器，射频频率≤27.12MHz，最高功率不小于1600W，变频设计，可快速匹配样品基体的剧烈变化，水相切换至有机相不熄火；</w:t>
            </w:r>
          </w:p>
          <w:p w14:paraId="4DC6960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3.高频RF线圈：线圈内部通过气体或液体循环主动冷却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220DC82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4.接口：</w:t>
            </w:r>
          </w:p>
          <w:p w14:paraId="531828E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镍采样锥和镍截取锥组成的2锥接口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C31152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采样锥孔径≥1.0mm，截取锥孔径≤0.45mm；</w:t>
            </w:r>
          </w:p>
          <w:p w14:paraId="15E545B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采样锥和截取锥均采用实心一体式结构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2FD97A58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5.离子提取透镜：</w:t>
            </w:r>
          </w:p>
          <w:p w14:paraId="69DD1AE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接口锥后配备不少于2片提取透镜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none"/>
                <w:lang w:eastAsia="zh-CN"/>
              </w:rPr>
              <w:t>；</w:t>
            </w:r>
          </w:p>
          <w:p w14:paraId="678BC7A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none"/>
              </w:rPr>
              <w:t>提取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透镜电压可调节正负电压，可以实现软提取、硬提取、浸透式提取等多种提取模式；</w:t>
            </w:r>
          </w:p>
          <w:p w14:paraId="7B0DB063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*6.配置在线气溶胶氩气稀释系统，使用高纯氩气自动稀释高盐样品，可长时间分析未经稀释的海水，直接进样分析含25%以上TDS的样品。稀释倍数大于100倍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5D63FBE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*7.工作气体控制：高精度气体质量流量控制器控制各个工作气体，可控制的气体流路不少于9个。冷却气：0-20L/min精度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不低于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0.1L/min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辅助气、载气、补偿器、加氧气：0-2L/min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精度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不低于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0.01L/min四路池气：0-12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/min精度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不低于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0.01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/min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10691D0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8.碰撞反应池：</w:t>
            </w:r>
          </w:p>
          <w:p w14:paraId="0518EB0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1）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配置八极杆碰撞反应池，且碰撞反应池内至少设置8根独立的带电极板或杆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4C927FB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离子在进入碰撞反应池之前应已进行1次偏转并通过一级质谱四极杆进行单位质量筛选。偏转去除其中中性噪声粒子，单位质量筛选去除质谱干扰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2AC8D2A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碰撞反应池不同气体模式切换时间小于5秒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4829AF3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4）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耐受腐蚀性气体，氧气及氨气气体流量可设定至≥1.5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/min；</w:t>
            </w:r>
          </w:p>
          <w:p w14:paraId="4D416EC0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5）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碰撞反应池工作频率不得低于13.5MHz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8A82DC0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6）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碰撞反应气体：池可同时使用4路不同的碰撞/反应气体。碰撞反应池经惰性化处理，可使用高活性反应气体氨气，总计可使用的气体不少于15种，包括：He,H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vertAlign w:val="subscript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,NH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vertAlign w:val="subscript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,O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vertAlign w:val="subscript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,CH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vertAlign w:val="subscript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,C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vertAlign w:val="subscript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H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vertAlign w:val="subscript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,C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vertAlign w:val="subscript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H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vertAlign w:val="subscript"/>
              </w:rPr>
              <w:t>6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,C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vertAlign w:val="subscript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H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vertAlign w:val="subscript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，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C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vertAlign w:val="subscript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H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vertAlign w:val="subscript"/>
              </w:rPr>
              <w:t>8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,CH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vertAlign w:val="subscript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F,CF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vertAlign w:val="subscript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,NO,N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vertAlign w:val="subscript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O,CO,CO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vertAlign w:val="subscript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0469410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9.四极杆：</w:t>
            </w:r>
          </w:p>
          <w:p w14:paraId="72CA7FF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1）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具有2个独立的相同尺寸、相同驱动频率、同轴设置的物理双曲面四极杆，分别位于碰撞反应池之前和碰撞反应池之后，可进行一级和二级质谱分析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7648B87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2）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碰撞反应池池前第一级质谱四极杆：可以进行1amu的精确单位质量数筛选，分辨率优于0.5amu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7C58F0E0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3）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碰撞反应池池后第二级质谱后四极杆：可以进行1amu的精确单位质量数筛选，分辨率优于0.5amu，驱动频率大于2.8MHz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2754502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*10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检测器：动态线性范围≥10个数量级；检测器最短积分时间≤0.1ms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05317F70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*11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真空系统：四级杆腔和碰撞反应池分别具有1套独立的分子涡轮泵，仪器主机内应设置有2个或以上独立的分子涡轮泵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，分子涡轮泵抽力≥300L/s，保证工作时真空可&lt;5×10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vertAlign w:val="superscript"/>
                <w:lang w:eastAsia="zh-CN"/>
              </w:rPr>
              <w:t>-4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Pa；</w:t>
            </w:r>
          </w:p>
          <w:p w14:paraId="2ED3AD9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灵敏度：</w:t>
            </w:r>
          </w:p>
          <w:p w14:paraId="356E9D3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低质量数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：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≤200Mcps/ppm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492E679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中质量数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：≤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700Mcps/ppm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5A45E28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高质量数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：≤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400Mcps/ppm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50A2730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.检测限：</w:t>
            </w:r>
          </w:p>
          <w:p w14:paraId="50DAD15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Be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9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）：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≤0.1ppt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2A06F7E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In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115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）：≤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0.05ppt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6BBA47B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U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238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）：≤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0.05ppt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46595583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14.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氧化物：</w:t>
            </w:r>
          </w:p>
          <w:p w14:paraId="587D841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常规模式：CeO+/Ce+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：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≤1.6%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73ED4CB3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高基体进样模式下CeO+/Ce+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：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≤0.3%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012B0CF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15.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双电荷离子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Ce2+/Ce+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）：≤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3.0%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5D6C9E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16.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丰度灵敏度：</w:t>
            </w:r>
          </w:p>
          <w:p w14:paraId="34F29DE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低质量端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：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≤1x10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vertAlign w:val="superscript"/>
              </w:rPr>
              <w:t>-10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05B918DB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高质量端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：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≤1x10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vertAlign w:val="superscript"/>
              </w:rPr>
              <w:t>-10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2DC5B45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17.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短期稳定性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RSD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）：≤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3%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20min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）；</w:t>
            </w:r>
          </w:p>
          <w:p w14:paraId="7308202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18.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长期稳定性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RSD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）：≤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3%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2hrs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）；</w:t>
            </w:r>
          </w:p>
          <w:p w14:paraId="7F47500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19.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同位素比精度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&lt;0.2%（107Ag/109Ag）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659C63A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20.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抗干扰能力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102BB19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S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SO+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检出限&lt;0.2ppb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E1A8F8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P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PO+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检出限&lt;0.05ppb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4FDABA7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Se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78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检出限&lt;0.001ppb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6A828CB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1.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背景噪音9Be&lt;0.25cps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。</w:t>
            </w:r>
          </w:p>
          <w:p w14:paraId="046F09C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二、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进样预处理</w:t>
            </w:r>
          </w:p>
          <w:p w14:paraId="161A98E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液相色谱模块</w:t>
            </w:r>
          </w:p>
          <w:p w14:paraId="36DAE39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1.1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四元梯度泵</w:t>
            </w:r>
          </w:p>
          <w:p w14:paraId="011071F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液压系统：双柱塞串联泵设计，具有伺服控制可变冲程（20-100uL）驱动，通过齿轮和滚珠螺杆传输动力，浮动柱塞，不得采用皮带轮驱动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7029474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具有自动柱塞清洗装置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7FA1B0E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四元梯度泵通过高速比例阀控制形成四元梯度混合，配置在线真空脱气机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2BE69A8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可设定流量范围：0.001-10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/min，增量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≤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0.001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/min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；；</w:t>
            </w:r>
          </w:p>
          <w:p w14:paraId="0C8DDBF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压力操作范围：操作范围不低于39Mpa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1F0709B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梯度精度：＜0.23%RSD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476DB400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7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流量精度：≤0.072%RSD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4DD496A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1.2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样品瓶进样器</w:t>
            </w:r>
          </w:p>
          <w:p w14:paraId="5196D0E3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自动进样器采用高压阀进样技术。微型计量泵控制取样体积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10CA94C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自动进样器可进行编程进样，用于进行柱前衍生，柱前样品自动稀释，自动混合等复杂进样方式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673EB3F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进样范围：0.1-100uL，增量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≤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0.1uL</w:t>
            </w:r>
          </w:p>
          <w:p w14:paraId="4BA3113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精度：以峰面积计&lt;0.25%RSD</w:t>
            </w:r>
          </w:p>
          <w:p w14:paraId="6BF431C8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系统耐压不低于550MPa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32B9037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样品容量：不低于130个容量为2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的样品瓶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037B923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1.3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高容量柱温箱</w:t>
            </w:r>
          </w:p>
          <w:p w14:paraId="0D09107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操作原理：带有两个独立帕尔帖单元的柱温箱，2个独立温区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7DCAF2F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温度范围：低于环境温度10℃，（最低为4℃）到85℃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6E6FDE1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温度稳定性：±0.1℃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CB404E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温度准确度：±0.5℃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7375EA3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温度精度：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≤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0.05℃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186E51F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1.4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可变波长紫外检测器（VWD）</w:t>
            </w:r>
          </w:p>
          <w:p w14:paraId="222C89C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检测类型：双光束光度计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4D763EC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光源：氘灯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5360BF8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信号数量：单波长检测和双波长检测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520634F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波长范围：190~590nm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449187B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狭缝宽度：6.5nm，整个波长范围上的典型值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21B66F8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（6）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光谱工具：停流波长扫描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000A7D3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7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波长准确度：±1nm，使用氘灯自校准，使用氧化钬滤光片验证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7CBAC40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8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波长精度：＜±0.1nm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731FD4C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9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噪音：&lt;0.25×10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vertAlign w:val="superscript"/>
              </w:rPr>
              <w:t>-5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AU，230nm（单波长检测）；&lt;0.80×10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vertAlign w:val="superscript"/>
              </w:rPr>
              <w:t>-5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AU，230nm和254nm（双波长检测）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2596AD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基线漂移：在230nm处，1×10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vertAlign w:val="superscript"/>
              </w:rPr>
              <w:t>-4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AU/h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5D33A5B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线性：&gt;2.5AU上限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7BCE477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最大采样速率：≥120Hz（单波长检测），2.5Hz（双波长检测）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6799F9B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离子色谱模块</w:t>
            </w:r>
          </w:p>
          <w:p w14:paraId="2FE26FA8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2.1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泵</w:t>
            </w:r>
          </w:p>
          <w:p w14:paraId="7A13763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泵头及管路均为化学惰性非金属PEEK材质，适合pH为0～14的淋洗液及反相有机溶剂；</w:t>
            </w:r>
          </w:p>
          <w:p w14:paraId="075F4E4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最大耐压：不低于42MPa（peek材质）；</w:t>
            </w:r>
          </w:p>
          <w:p w14:paraId="6AD0F8C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流量设定值允许误差：≤0.25%；</w:t>
            </w:r>
          </w:p>
          <w:p w14:paraId="439E1930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流量稳定性：≤0.1%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54528C4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流量范围：0.001-9.999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/min；</w:t>
            </w:r>
          </w:p>
          <w:p w14:paraId="1ACE9F28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2.2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电导检测器</w:t>
            </w:r>
          </w:p>
          <w:p w14:paraId="765E367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全程信号输出范围：0-35000μS/cm，无需调整量程；</w:t>
            </w:r>
          </w:p>
          <w:p w14:paraId="6623EEF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电导池独立控温，可通过工作软件单独设定电导池温度；</w:t>
            </w:r>
          </w:p>
          <w:p w14:paraId="77AB0F28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基线噪声：≤0.0002μS；</w:t>
            </w:r>
          </w:p>
          <w:p w14:paraId="34F4763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基线漂移：≤0.0008μS/30min；</w:t>
            </w:r>
          </w:p>
          <w:p w14:paraId="7364F0C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最小检测浓度：Cl-≤0.0004μg/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，Li+≤0.0002μg/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；</w:t>
            </w:r>
          </w:p>
          <w:p w14:paraId="6BC7241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定性重复性：≤0.1%，定量重复性：≤0.1%；</w:t>
            </w:r>
          </w:p>
          <w:p w14:paraId="60F1448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7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电导池体积：≤0.4μL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4BFA764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2.3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抑制器：使用电解技术在线产生抑制所需的H+或OH-，无需外加酸进行化学再生，无需使用蠕动泵或其他任何加液装置进行清洗和再生，无需转子切换，标配漏液传感器，可进行漏液报警；死体积≤50μL；</w:t>
            </w:r>
          </w:p>
          <w:p w14:paraId="3737A34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2.4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色谱柱：Cl-：NO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vertAlign w:val="subscript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-的分离能力不低于10000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1；氢氧根体系色谱柱：一次进样，可在45分钟内完成17种以上离子的分离；</w:t>
            </w:r>
          </w:p>
          <w:p w14:paraId="1127660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2.5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柱温箱：温度控制范围：环境温度+5-60℃；温度稳定性：≤0.1℃/h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6F29A79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2.6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淋洗液发生器：淋洗液种类：KOH、MSA；浓度范围：0.1-100mM；操作压力范围：5-20MPa；梯度程序：等度、梯度自由切换，梯度大于4阶5平台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C78148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2.7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低压脱气装置：内置低压脱气装置，淋洗液可在线脱气；脱气效率：1.0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/min时脱气≥90%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5517D6E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2.8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气液分离器：悬垂式气液分离器，以去除流路的气泡；分离器体积：≥6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mL；</w:t>
            </w:r>
          </w:p>
          <w:p w14:paraId="2F07710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2.9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自动进样器：位数：不低于120位×2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；最大进样量：不低于1000μL；全定量环/部分定量环/微量进样；精密度：满环进样：RSD≤0.3%；智能感应功能，纯水瓶内水量不足会发生报警，系统漏液会发生漏液报警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25C6041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自动液体样品处理模块</w:t>
            </w:r>
          </w:p>
          <w:p w14:paraId="6CAEBC1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3.1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基本参数</w:t>
            </w:r>
          </w:p>
          <w:p w14:paraId="5C56CF8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硬件要求：具备3注射泵系统搭配3组三通阀，通过八通阀切换溶剂，通过三维机械臂及Z轴取样针在样品盘移取样品和稀释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20939F9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可兼容储备瓶规格：2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色谱瓶，20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、30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、40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标液储备瓶，15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、50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、100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离心管，10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、25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容量瓶，其他管型可定制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1A0A25B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主机搭载高精度三注射泵系统：100μL、1000μL、10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三组注射泵，均可独立驱动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60D91B6B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non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none"/>
              </w:rPr>
              <w:t>最大可放置瓶位：288位色谱瓶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none"/>
                <w:lang w:eastAsia="zh-CN"/>
              </w:rPr>
              <w:t>；</w:t>
            </w:r>
          </w:p>
          <w:p w14:paraId="4A30F2E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外置稀释液：旋转8通阀进行切换，从500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外置溶剂瓶直接吸取溶剂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34CBBB2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单步液体移取体积：5μL-1000μL（同时要求泵量程不低于5%的泵总量程）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190BC59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7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独立清洗槽位：≥4个，具有样品针溢流清洗功能。外置独立夹管阀：≥4个，旋转三通切换阀：≥3个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683AF98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8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半导体制冷控温位数：≥210个（最低可至室温下10℃）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1F5068CB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9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自动涡旋混匀位数：≥72位2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色谱瓶。自动涡旋转速：0-300rpm，连续可调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0C18E01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采用独立双Z轴进行瓶盖位置定位，定位支持瓶底和瓶顶≥2个高度参数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11FDEF2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11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控制模块：图形化操作软件，支持方法设置导向功能。软件功能需至少包含以下几个主要功能：固标稀释模式、自动计算稀释液体积并自动混匀、标曲稀释功能、混标配置功能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6F84954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3.2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配置要求</w:t>
            </w:r>
          </w:p>
          <w:p w14:paraId="6FAEF18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主机（包括进样系统，接口，8路质量流量计，数字控制固态射频发生器，离轴离子透镜，两个完整的双曲面四极杆，碰撞反应池，同时双通道模式检测器，机械泵和2套分子涡轮泵及其他必备工具和备件）一台；</w:t>
            </w:r>
          </w:p>
          <w:p w14:paraId="167A258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（2）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半导体制冷装置（用于冷却雾化室）一套；</w:t>
            </w:r>
          </w:p>
          <w:p w14:paraId="6674330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循环冷却水系统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（名义制冷量：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不低于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2500W@25℃控温方式：PID冷却方式：压缩机制冷控温精度：±0.1℃控温范围：5～35℃）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一台；</w:t>
            </w:r>
          </w:p>
          <w:p w14:paraId="5CB16AE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（4）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在线氩气稀释装置一套；</w:t>
            </w:r>
          </w:p>
          <w:p w14:paraId="3AAF0DC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（5）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高灵敏度屏蔽炬系统一套；</w:t>
            </w:r>
          </w:p>
          <w:p w14:paraId="03E720E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（6）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需包含以下配件：常规镍采样锥及截取锥4套，耐氢氟酸套件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×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4石墨垫片共计5片，常规蠕动泵进样管4包（每包12根）、内标管4包（每包12根）、废液管4包（每包12根），一体式石英炬管4支，自动进样器1套（带防护罩），UHMI雾室1个，机械泵油2升；</w:t>
            </w:r>
          </w:p>
          <w:p w14:paraId="61F15B68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7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不低于14代i7-14700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CPU，16G内存，2T固态硬盘，27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英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寸4k显示器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。</w:t>
            </w:r>
          </w:p>
        </w:tc>
        <w:tc>
          <w:tcPr>
            <w:tcW w:w="859" w:type="dxa"/>
            <w:noWrap w:val="0"/>
            <w:vAlign w:val="center"/>
          </w:tcPr>
          <w:p w14:paraId="20524AF7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1</w:t>
            </w:r>
          </w:p>
        </w:tc>
        <w:tc>
          <w:tcPr>
            <w:tcW w:w="1472" w:type="dxa"/>
            <w:noWrap w:val="0"/>
            <w:vAlign w:val="center"/>
          </w:tcPr>
          <w:p w14:paraId="4CA16636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210.00</w:t>
            </w:r>
          </w:p>
        </w:tc>
      </w:tr>
      <w:tr w14:paraId="59D5C0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noWrap w:val="0"/>
            <w:vAlign w:val="center"/>
          </w:tcPr>
          <w:p w14:paraId="2A5E756E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2</w:t>
            </w:r>
          </w:p>
        </w:tc>
        <w:tc>
          <w:tcPr>
            <w:tcW w:w="1296" w:type="dxa"/>
            <w:noWrap w:val="0"/>
            <w:vAlign w:val="center"/>
          </w:tcPr>
          <w:p w14:paraId="591443BA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双向观测ICP光谱仪</w:t>
            </w:r>
          </w:p>
        </w:tc>
        <w:tc>
          <w:tcPr>
            <w:tcW w:w="4413" w:type="dxa"/>
            <w:noWrap w:val="0"/>
            <w:vAlign w:val="top"/>
          </w:tcPr>
          <w:p w14:paraId="0EEB55A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一、技术参数</w:t>
            </w:r>
          </w:p>
          <w:p w14:paraId="07B6414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1.光学系统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48B97068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整个中阶梯光学系统无任何移动部件，所有光学元件均密封于35℃恒温光室中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2C49726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中阶梯光栅+CaF2棱镜交叉色散多色器系统，波长连续覆盖167〜780nm，无任何波长断点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42382C10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光学准直镜采用磁流变加工成型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2220F94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测定方式：紫外和可见区由同一狭缝，同一检测器同时测定，一次分析测定全谱覆盖，一个样品选择任意多的元素波长，测试时间不变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130555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波长校正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采用氩的发射谱线自动进行周期性的波长校准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6893E71B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吹扫型光室：对189nm以下波长测定，可选择氩气或者氮气进行光路吹扫。所有光室吹扫气体流量均由质量流量计（MFC）控制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6AA6215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7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分辨率：光学分辨率＜0.0065nm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在As188.980nm处实际测量半峰宽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）；</w:t>
            </w:r>
          </w:p>
          <w:p w14:paraId="5386264B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8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杂散光：≤2.50mg/L（10000mg/L Ca溶液在As188.980nm处测定）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6E59D27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检测器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3AF8287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CCD检测器覆盖从167-785nm整个波长范围；整个波长范围内所有元素一次测定一次读出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51A50F4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紫外区平均量子化效率：背投照射技术，使平均量子化效率≥75%，检测器表面无任何光转换化学涂膜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233E794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检测器冷却：半导体制冷，温度≤－40℃，低暗电流和背景噪音设计；检测器充氮密封，无需气体吹扫，开机即可点火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4A6EAE7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防饱和溢出：针对每一个像素进行防饱和溢出保护，消除谱线饱和溢出问题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7E3B576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积分方式：智能化积分，同时以最佳信噪比获得高强度信号和弱信号，使高低含量元素可以同时检测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1EB2167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射频发生系统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1E4A969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自激式27.12MHz固态发生器，耦合效率大于75%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261A4AE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功率范围：750-1500W，≤10W增量，连续可调，计算机控制进行功率调节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568B35F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自激式固态发生器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1F8E4C30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观测方式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0DD71CB8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垂直火炬双向观测方式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14CDC86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尾焰去除：冷锥接口，去除尾焰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52C5043B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冷锥接口无切割气体的消耗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B842E9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观测位置调节：等离子体观测位置由工作站控制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AD11BEB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样品导入系统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44E3D82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进样系统：双通道玻璃旋流雾化室和玻璃同心雾化器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708CB9E3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炬管：一体化炬管，同时配置中心管为陶瓷或者石英的可拆卸式炬管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4453C4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气体控制：所有等离子体相关气体均为质量流量计（MFC）控制，工作站在线调节：等离子体气：8-20L/min，增量≤0.1L/min；辅助气：0-2.0L/min，增量≤0.01L/min；雾化气0-1.5L/min，增量≤0.01L/min；补偿气：0-2.0L/min，增量≤0.01L/min；</w:t>
            </w:r>
          </w:p>
          <w:p w14:paraId="1737BE1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蠕动泵：5通道蠕动泵，转速0-80rpm连续可调，工作站控制，具有快泵功能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17B6CBB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雾化器压力可以由用户自己设定阈值，当压力低于阈值下限或超过阈值上限的时候，会弹框提示统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。</w:t>
            </w:r>
          </w:p>
          <w:p w14:paraId="78AA85A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二、性能指标：</w:t>
            </w:r>
          </w:p>
          <w:p w14:paraId="4D647FD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*1.长期稳定性：8小时，RSD≤1%（不加内标，不采用基线飘移修正）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2CBE4418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短期稳定性：RSD≤0.5%；</w:t>
            </w:r>
          </w:p>
          <w:p w14:paraId="0DDC937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冷启动时间：从待机状态到等离子体点燃时间小于35分钟；</w:t>
            </w:r>
          </w:p>
          <w:p w14:paraId="75CD933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做样速度：60个元素或波长，每个元素或波长积分时间5秒，每个元素或波长积分至少3次，测试时间小于35秒，内标和待测元素必须同时积分；</w:t>
            </w:r>
          </w:p>
          <w:p w14:paraId="528FDE9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*5.测定谱线的线性动态范围：≥10^6（以Mn257.610nm来测定，相关系数≥0.9996）；</w:t>
            </w:r>
          </w:p>
          <w:p w14:paraId="2DB997D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*6.Pb220.353nm2ug/L，4ug/L，6ug/L，8ug/L，10ug/L拟合曲线，线性相关系数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0.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999以上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。</w:t>
            </w:r>
          </w:p>
          <w:p w14:paraId="46AF86E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三、控制终端：</w:t>
            </w:r>
          </w:p>
          <w:p w14:paraId="4E3D843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1.不低于14代i7-14700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CPU，16G内存，2T固态硬盘，27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英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寸4k显示器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6933410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2.全自动化控制，仪器设置和参数选择可自动完成。具有自动安全连锁系统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4C741B6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3.背景校正功能：包含单边、双边离峰法背景校正技术，具备多点自动拟合法背景校正技术，实时扣除背景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1224AD3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4.谱图自动解析功能：具备快速自动谱线拟合技术，在线校正基体谱线干扰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519720F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5.多重检量限功能：可根据不同的元素含量范围选择不同的谱线，能够同时测定高低含量的元素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79AAF588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*6.软件系统内置计数器，提前预警维护工作，监测各部件的运行状态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69237B7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*7.可快速全谱扫描，对样品中所有元素进行定性和半定量分析，且可以设定阈值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005FFB5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*8.具有针对不同的基体样品，快速全元素扫描，自动选择最佳元素波长的功能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。</w:t>
            </w:r>
          </w:p>
          <w:p w14:paraId="0C1652C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四、样品前处理模块</w:t>
            </w:r>
          </w:p>
          <w:p w14:paraId="7FD8462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*1.样品通量：不低于72个50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消解管样品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14BCE19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2.消解温度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none"/>
              </w:rPr>
              <w:t>：常温~230℃之间可调，PID控温，温度精度≤0.1℃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none"/>
                <w:lang w:eastAsia="zh-CN"/>
              </w:rPr>
              <w:t>；</w:t>
            </w:r>
          </w:p>
          <w:p w14:paraId="46B3B03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*3.加热温区：双加热温区，可分别设置两个不同升温程序的两个消解方法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799C4123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none"/>
              </w:rPr>
              <w:t>4.面板材质：特氟龙，耐酸雾腐蚀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none"/>
                <w:lang w:eastAsia="zh-CN"/>
              </w:rPr>
              <w:t>；</w:t>
            </w:r>
          </w:p>
          <w:p w14:paraId="2A3DD51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none"/>
              </w:rPr>
              <w:t>5.配有消解试剂输送系统、消解试剂自动分配系统（机械臂）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none"/>
                <w:lang w:eastAsia="zh-CN"/>
              </w:rPr>
              <w:t>：</w:t>
            </w:r>
          </w:p>
          <w:p w14:paraId="03AD9453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X-Y反式全密闭特氟龙磁悬浮机械臂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30FDB4DB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消解试剂添加使用2个高精度蠕动泵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（≤600转/分钟精度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不低于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0.1转/分钟）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和1个注射泵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体积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10mL驱动方式：步进电机驱动）；</w:t>
            </w:r>
          </w:p>
          <w:p w14:paraId="5A78423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外置双蠕动泵加液：单泵输液速度≥4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/s，速度可调，两个蠕动泵可以同时加液。也可以分步加液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3F90277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消解试剂通道：≥12个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610E4F00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*6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仪器控制：WIFI连接，远程电脑控制，具有无人职守功能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61F2E16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7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马达升降振荡系统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694DC6E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主机配置消解管架及马达系统，可自动升降消解管架，实现加试剂后与样品的混匀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540AA47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消解管盖自动加取功能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6ECDD340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8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通风系统：外置式独立防腐风机，密闭隔绝处理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配有HEPA过滤网、特氟龙酸收集排酸装置，带排酸管路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。</w:t>
            </w:r>
          </w:p>
          <w:p w14:paraId="35B0D74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五、配置清单</w:t>
            </w:r>
          </w:p>
          <w:p w14:paraId="0FB0CCC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Microsoft YaHei UI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1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主机一台（包括自激式固态发生器，恒温光室，中阶梯光栅，质量流量计，CCD检测器）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1CE1B4F0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标准进样系统（包括双通路玻璃旋流雾化室、高盐玻璃同心雾化器、一体化矩管）一套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78076E60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波长校正液一套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4126319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冷却循环水机一套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D3A898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管路及连接件一套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79DCE5A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6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工具包一套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。</w:t>
            </w:r>
          </w:p>
        </w:tc>
        <w:tc>
          <w:tcPr>
            <w:tcW w:w="859" w:type="dxa"/>
            <w:noWrap w:val="0"/>
            <w:vAlign w:val="center"/>
          </w:tcPr>
          <w:p w14:paraId="03943C25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1</w:t>
            </w:r>
          </w:p>
        </w:tc>
        <w:tc>
          <w:tcPr>
            <w:tcW w:w="1472" w:type="dxa"/>
            <w:noWrap w:val="0"/>
            <w:vAlign w:val="center"/>
          </w:tcPr>
          <w:p w14:paraId="7643C073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77.00</w:t>
            </w:r>
          </w:p>
        </w:tc>
      </w:tr>
      <w:tr w14:paraId="55D2E9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noWrap w:val="0"/>
            <w:vAlign w:val="center"/>
          </w:tcPr>
          <w:p w14:paraId="435FF826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3</w:t>
            </w:r>
          </w:p>
        </w:tc>
        <w:tc>
          <w:tcPr>
            <w:tcW w:w="1296" w:type="dxa"/>
            <w:noWrap w:val="0"/>
            <w:vAlign w:val="center"/>
          </w:tcPr>
          <w:p w14:paraId="04375213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多功能酶标仪</w:t>
            </w:r>
          </w:p>
        </w:tc>
        <w:tc>
          <w:tcPr>
            <w:tcW w:w="4413" w:type="dxa"/>
            <w:noWrap w:val="0"/>
            <w:vAlign w:val="top"/>
          </w:tcPr>
          <w:p w14:paraId="105DAE6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支持板型：6-1536孔板，支持24位或64位超微量检测板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7E23C0A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应用范围：基于四光栅技术：吸收光、荧光强度、化学发光和荧光共振能量转移检测功能，模块化设计，具有扩展功能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038D40B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光源：氙灯和高能LED光源双光源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4925014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温度控制：室温+4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℃-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45℃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4FED2C9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震荡方式：线形和椭圆形，具有高、中、低三个震荡幅度；</w:t>
            </w:r>
          </w:p>
          <w:p w14:paraId="0D289A48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6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气体模式：内置管道，可根据需求通入CO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vertAlign w:val="subscript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、O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vertAlign w:val="subscript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、N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vertAlign w:val="subscript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或预混气等；</w:t>
            </w:r>
          </w:p>
          <w:p w14:paraId="42E6F2D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7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检测模式：终点法（所有模式），动力学（所有模式），全波长扫描（光吸收、荧光、发光），区域扫描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1D8339F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8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读取高度：顶部检测可自动聚焦，自动优化读取高度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243CC20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9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兼容检测卡盒：模块即插即用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&lt;5min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，模块的升级和维修无需整机返厂，顶部≥4个卡盒卡位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6145997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吸收光：基于四光栅系统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01354AD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波长230nm-1000nm，1nm连续可调，带宽≤4.0nm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45AAFC6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波长准确度：±2.0nm，波长精确度：±1nm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6C7EB81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光度测量范围：0-4.0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OD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）；</w:t>
            </w:r>
          </w:p>
          <w:p w14:paraId="2393654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测定准确度：＜±0.010OD±1.0%，0-2.0OD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1BB7A700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测定精确度：＜±0.003OD±1.0%，0-2.0OD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26CD339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光程校正技术：配有光径传感器技术，可以将实测的光密度值校正为1cm光径下的吸光度值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06C95900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荧光：基于四光栅系统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74C8E45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读板能力：支持微孔板顶读和微孔板底读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132C459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波长范围：EX250nm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-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850nm；EM250nm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-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850nm，1nm连续可调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25F96F8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带宽可选：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EX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9nm/15nm；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EM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15nm/25nm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0A9D1A3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动态学范围：≥7个数量级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2B1222F8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光栅模式下灵敏度：≤0.5pM荧光素，96孔板；&lt;1pM荧光素，384孔板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73C1368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荧光检测器：制冷PMT，具有自动增益调节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22F6997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7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具有激发光光谱扫描（250nm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-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850nm）、发射光光谱扫描（250nm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-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850nm）及3D荧光扫描功能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1FA5A228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化学发光：基于四光栅系统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0A2AC98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读板能力：顶读/底读微孔板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5D9ABEC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波长范围：300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-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850nm，1nm连续可调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18C128D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动态学范围：＞6个数量级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79E098E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化学发光检测器：制冷光子计数PMT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46997BB0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灵敏度（光栅模式）：辉光型Glow：≤3pMATP96孔板（&lt;30amolATP/well）；闪光型Flash：≤0.1pM ATP 96孔板（&lt;5amol ATP/well）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253D500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孔间干扰：&lt;0.4%，白色96/384孔板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53341AD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HTRF检测模块：</w:t>
            </w:r>
          </w:p>
          <w:p w14:paraId="3CCA07E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光源：高能氙灯；</w:t>
            </w:r>
          </w:p>
          <w:p w14:paraId="7F5E38F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检测灵敏度：≤0.03pM铕元素，96孔板，≤0.03pM铕元素，384孔板，≤0.125amol铕元素，1536孔板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7DAE2D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荧光偏振（FP）检测模块：</w:t>
            </w:r>
          </w:p>
          <w:p w14:paraId="7CBE130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光源：高能LED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56D96BC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检测灵敏度：≤1.0mP，96孔板；≤1.5mP，384孔板；≤2.0mP，1536孔板；</w:t>
            </w:r>
          </w:p>
          <w:p w14:paraId="75D8A7C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AlphaScreen模块：</w:t>
            </w:r>
          </w:p>
          <w:p w14:paraId="64A9576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光源：功率≥1W的680nm激光</w:t>
            </w:r>
          </w:p>
          <w:p w14:paraId="3971CDA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检测灵敏度：&lt;100amolbiotinylated-LCK-P peptide  384孔板/25ul；</w:t>
            </w:r>
          </w:p>
          <w:p w14:paraId="2FDCDF03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16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Westernblot检测模块：</w:t>
            </w:r>
          </w:p>
          <w:p w14:paraId="5163F25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光源：高能闪烁氙灯；波长：激发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340/80nm，发射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616/10nm；</w:t>
            </w:r>
          </w:p>
          <w:p w14:paraId="2445D1A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扫描区域：109X77mm，预扫描和ROI扫描方式；</w:t>
            </w:r>
          </w:p>
          <w:p w14:paraId="7C3D7B53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检测灵敏度：fg/pg级；动态检测范围：3-4logs；信号稳定性：&gt;1个月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5DD3BB7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17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细胞成像模块：</w:t>
            </w:r>
          </w:p>
          <w:p w14:paraId="293FB8A8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固态激发光源和不低于125万像素高灵敏度CCD相机，支持透射光明视场和绿色、红色荧光成像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2C57F92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激光扫描自动对焦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79D8872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成像扫描速度：不低于单色/96孔板：3分40秒；双色/96孔板：3分40秒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2A4FAD60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支持细胞计数、细胞增殖、标签蛋白表达等分析类型，并提供细胞计数、平均面积、平均荧光强度、平均形态系数、平均累积强度、覆盖孔内的百分比、标签蛋白表达量等参数；</w:t>
            </w:r>
          </w:p>
          <w:p w14:paraId="72CB554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18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分析控制软件：</w:t>
            </w:r>
          </w:p>
          <w:p w14:paraId="7F7F3DE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可自动进行数据的运算及存储，仪器的各种功能均可通过计算机控制完成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6CD5A98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可完成图表曲线制作，并可完成坐标轴的自由定义和转换；</w:t>
            </w:r>
          </w:p>
          <w:p w14:paraId="3A67A42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具有≥20种曲线拟合方式；曲线分析包括：IC50/EC50、插值法/外推法、自定义权重、平行性分析、显示相对效能和R2、综合置信区间显示；</w:t>
            </w:r>
          </w:p>
          <w:p w14:paraId="4F335E98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具有≥150种预设模板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01BD3EB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数据显示既可以显示原始结果，也可以显示运算结果的彩色图或灰度图，以及3D显示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20DC660B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具有公式编辑功能，可以完成自编公式进行数据统计，无需第三方软件统计分析；</w:t>
            </w:r>
          </w:p>
          <w:p w14:paraId="1CC70E03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19.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配置清单：</w:t>
            </w:r>
          </w:p>
          <w:p w14:paraId="59CEBD8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主机一套（含四光栅系统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全波长吸收光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全波长荧光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全波长化学发光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AlphaScreen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荧光偏振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均相时间分辨荧光、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WesternBlot模块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）；</w:t>
            </w:r>
          </w:p>
          <w:p w14:paraId="39C4ACB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（2）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双通道注射器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6821591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（3）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成像模块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49A14AA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（4）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专业分析和控制软件一套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6C53F79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（5）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控制终端1套（不低于14代i7-14700 CPU，16G内存，2T固态硬盘，27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英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寸4k显示器）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。</w:t>
            </w:r>
          </w:p>
        </w:tc>
        <w:tc>
          <w:tcPr>
            <w:tcW w:w="859" w:type="dxa"/>
            <w:noWrap w:val="0"/>
            <w:vAlign w:val="center"/>
          </w:tcPr>
          <w:p w14:paraId="60258764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1</w:t>
            </w:r>
          </w:p>
        </w:tc>
        <w:tc>
          <w:tcPr>
            <w:tcW w:w="1472" w:type="dxa"/>
            <w:noWrap w:val="0"/>
            <w:vAlign w:val="center"/>
          </w:tcPr>
          <w:p w14:paraId="6308F561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65.00</w:t>
            </w:r>
          </w:p>
        </w:tc>
      </w:tr>
      <w:tr w14:paraId="76364D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noWrap w:val="0"/>
            <w:vAlign w:val="center"/>
          </w:tcPr>
          <w:p w14:paraId="1D74F3B9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4</w:t>
            </w:r>
          </w:p>
        </w:tc>
        <w:tc>
          <w:tcPr>
            <w:tcW w:w="1296" w:type="dxa"/>
            <w:noWrap w:val="0"/>
            <w:vAlign w:val="center"/>
          </w:tcPr>
          <w:p w14:paraId="7602F53B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紫外可见近红外分光光度计</w:t>
            </w:r>
          </w:p>
        </w:tc>
        <w:tc>
          <w:tcPr>
            <w:tcW w:w="4413" w:type="dxa"/>
            <w:noWrap w:val="0"/>
            <w:vAlign w:val="top"/>
          </w:tcPr>
          <w:p w14:paraId="692B948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一、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技术指标</w:t>
            </w:r>
          </w:p>
          <w:p w14:paraId="06FB299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1.波长范围：190～3300nm；</w:t>
            </w:r>
          </w:p>
          <w:p w14:paraId="5BCE9520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检测器：高灵敏度光电倍增管（UV-VIS），冷的PbS（NIR）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6E7BDC1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3.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光谱带宽：UV-Vis：0.1nm、0.2nm、0.5nm、1nm、2nm、5nm、10nm；NIR：0.25nm、0.5nm；1～33nm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自动控制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）；</w:t>
            </w:r>
          </w:p>
          <w:p w14:paraId="50FA377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4.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分辨率：小于0.15nm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7A6877AB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5.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波长重复性：UV-Vis：±0.05nm，NIR：±0.2nm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70CA2F3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6.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波长扫描速度：0.5至5000nm/min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53CE3C8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7.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光度计准确度：±0.002Abs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0至0.5Abs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,±0.003Abs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0.5至1.0Abs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,±0.006Abs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1.0至2.0Abs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,±0.3%T；遵循NIST SRM 930方法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0A10A0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8.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噪音水平：&lt;0.00003Abs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RMS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500nm，带宽2nm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&lt;0.00003Abs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RMS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1500nm，自动带宽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）；</w:t>
            </w:r>
          </w:p>
          <w:p w14:paraId="2DA119E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9.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基线记忆：3通道（系统基线：1通道用户基线：2通道）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06F519F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10.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 xml:space="preserve">基线平直度：&lt;±0.0002Abs 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200至2500nm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&lt;±0.002Abs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2500至3300nm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）；</w:t>
            </w:r>
          </w:p>
          <w:p w14:paraId="72C4195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11.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基线稳定性：&lt;0.0002Abs/h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500nm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）；</w:t>
            </w:r>
          </w:p>
          <w:p w14:paraId="05260CF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12.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光谱吸光度测定范围：-5～+5.0Abs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2DC4C6D8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13.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光源：氘灯；钨灯；包含光轴自动调整机构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E7FCA8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14.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分析控制软件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2AD647A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具备以表格形式显示多个样品之间的指定波长数据和面积计算数据、半峰宽计算数据等功能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6FC788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具有波长准确度、噪声水平、基线平坦度等的性能确认功能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14DF145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可自定义的报告书模板功能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5C8C2D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15.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长寿命氙灯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2E2C0E00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反射镜类型：抛物面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16BB51F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主体材质：熔融石英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2A89C28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电功率：不低于380W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58FE736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有效寿命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不低于1000h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41759F2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总输出光功率：不低于150W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4232C0A8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UV输出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&lt;390nm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：2.6W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74A755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7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IR输出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&gt;770nm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：29W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1AB0BED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8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漂移：±0.5%/h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FFFF8A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9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波动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p-p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：0.2%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2E68E00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高色温：6000K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54741E9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二、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配置要求</w:t>
            </w:r>
          </w:p>
          <w:p w14:paraId="56FA03CB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主机（包含软件）1套、60mm积分球（内衬材料：硫酸钡，开孔率&lt;7.8%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包含最大光程40mm长光程池支架）1套、电控温附件（-15-110度，标配程序控温软件）1套、薄膜支架1套、玻璃滤光片支架1套、原厂原装石英比色皿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10mm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8个、原厂原装微量石英比色皿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340-600微升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8个、微量样品池用挡光板8个、垫片（10°）1套、订制粉末池1套、长寿命氙灯2套、控制终端1套（不低于14代i7-14700CPU，16G内存，2T固态硬盘，27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英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寸4k显示器）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。</w:t>
            </w:r>
          </w:p>
        </w:tc>
        <w:tc>
          <w:tcPr>
            <w:tcW w:w="859" w:type="dxa"/>
            <w:noWrap w:val="0"/>
            <w:vAlign w:val="center"/>
          </w:tcPr>
          <w:p w14:paraId="159CDF21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1</w:t>
            </w:r>
          </w:p>
        </w:tc>
        <w:tc>
          <w:tcPr>
            <w:tcW w:w="1472" w:type="dxa"/>
            <w:noWrap w:val="0"/>
            <w:vAlign w:val="center"/>
          </w:tcPr>
          <w:p w14:paraId="1D63A393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52.00</w:t>
            </w:r>
          </w:p>
        </w:tc>
      </w:tr>
    </w:tbl>
    <w:p w14:paraId="3254EAA7">
      <w:pPr>
        <w:pStyle w:val="6"/>
        <w:spacing w:before="0" w:after="0" w:line="360" w:lineRule="auto"/>
        <w:jc w:val="center"/>
        <w:rPr>
          <w:rFonts w:hint="eastAsia" w:ascii="宋体" w:hAnsi="宋体" w:cs="宋体"/>
          <w:caps w:val="0"/>
          <w:sz w:val="24"/>
          <w:szCs w:val="24"/>
        </w:rPr>
      </w:pPr>
      <w:r>
        <w:rPr>
          <w:rFonts w:hint="eastAsia" w:ascii="宋体" w:hAnsi="宋体" w:cs="宋体"/>
          <w:caps w:val="0"/>
          <w:sz w:val="24"/>
          <w:szCs w:val="24"/>
        </w:rPr>
        <w:br w:type="page"/>
      </w:r>
      <w:r>
        <w:rPr>
          <w:rFonts w:hint="eastAsia" w:ascii="宋体" w:hAnsi="宋体" w:cs="宋体"/>
          <w:caps w:val="0"/>
          <w:sz w:val="24"/>
          <w:szCs w:val="24"/>
        </w:rPr>
        <w:t>第二包：</w:t>
      </w:r>
    </w:p>
    <w:tbl>
      <w:tblPr>
        <w:tblStyle w:val="7"/>
        <w:tblW w:w="0" w:type="auto"/>
        <w:tblInd w:w="-3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4"/>
        <w:gridCol w:w="1296"/>
        <w:gridCol w:w="4413"/>
        <w:gridCol w:w="859"/>
        <w:gridCol w:w="1472"/>
      </w:tblGrid>
      <w:tr w14:paraId="23F42A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noWrap w:val="0"/>
            <w:vAlign w:val="center"/>
          </w:tcPr>
          <w:p w14:paraId="3B35D37A">
            <w:pPr>
              <w:pStyle w:val="6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296" w:type="dxa"/>
            <w:noWrap w:val="0"/>
            <w:vAlign w:val="center"/>
          </w:tcPr>
          <w:p w14:paraId="6AACD32B">
            <w:pPr>
              <w:snapToGrid w:val="0"/>
              <w:spacing w:line="360" w:lineRule="auto"/>
              <w:jc w:val="center"/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设备名称</w:t>
            </w:r>
          </w:p>
        </w:tc>
        <w:tc>
          <w:tcPr>
            <w:tcW w:w="4413" w:type="dxa"/>
            <w:noWrap w:val="0"/>
            <w:vAlign w:val="center"/>
          </w:tcPr>
          <w:p w14:paraId="0402A6A4">
            <w:pPr>
              <w:snapToGrid w:val="0"/>
              <w:spacing w:line="360" w:lineRule="auto"/>
              <w:jc w:val="center"/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技术需求</w:t>
            </w:r>
          </w:p>
        </w:tc>
        <w:tc>
          <w:tcPr>
            <w:tcW w:w="859" w:type="dxa"/>
            <w:noWrap w:val="0"/>
            <w:vAlign w:val="center"/>
          </w:tcPr>
          <w:p w14:paraId="4BF56A0D">
            <w:pPr>
              <w:snapToGrid w:val="0"/>
              <w:spacing w:line="360" w:lineRule="auto"/>
              <w:jc w:val="center"/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数量</w:t>
            </w:r>
          </w:p>
        </w:tc>
        <w:tc>
          <w:tcPr>
            <w:tcW w:w="1472" w:type="dxa"/>
            <w:noWrap w:val="0"/>
            <w:vAlign w:val="center"/>
          </w:tcPr>
          <w:p w14:paraId="68F9BE78">
            <w:pPr>
              <w:snapToGrid w:val="0"/>
              <w:spacing w:line="360" w:lineRule="auto"/>
              <w:jc w:val="center"/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单价限价（万元）</w:t>
            </w:r>
          </w:p>
        </w:tc>
      </w:tr>
      <w:tr w14:paraId="18FB5E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37" w:hRule="atLeast"/>
        </w:trPr>
        <w:tc>
          <w:tcPr>
            <w:tcW w:w="784" w:type="dxa"/>
            <w:noWrap w:val="0"/>
            <w:vAlign w:val="center"/>
          </w:tcPr>
          <w:p w14:paraId="2CC7581B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</w:t>
            </w:r>
          </w:p>
        </w:tc>
        <w:tc>
          <w:tcPr>
            <w:tcW w:w="1296" w:type="dxa"/>
            <w:noWrap w:val="0"/>
            <w:vAlign w:val="center"/>
          </w:tcPr>
          <w:p w14:paraId="39E91C92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●</w:t>
            </w:r>
            <w:r>
              <w:rPr>
                <w:rFonts w:hint="eastAsia" w:ascii="宋体" w:hAnsi="宋体" w:cs="宋体"/>
                <w:color w:val="000000"/>
                <w:sz w:val="24"/>
              </w:rPr>
              <w:t>多功能电磁法仪</w:t>
            </w:r>
          </w:p>
        </w:tc>
        <w:tc>
          <w:tcPr>
            <w:tcW w:w="4413" w:type="dxa"/>
            <w:noWrap w:val="0"/>
            <w:vAlign w:val="top"/>
          </w:tcPr>
          <w:p w14:paraId="30B9FB7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1.采集接收系统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3E2EC90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接收通道数：高精度通道（24bit）≥3道；高速通道（18bit）≥1道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0387A7D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高精度通道频带特性：0-7KHz（24bit）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6DC7446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采样率：30KHz（24bit）1000KHz（18bit）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0CDB4F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内置发射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</w:rPr>
              <w:t>机发射电流：0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-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</w:rPr>
              <w:t>3A可调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4F7CB3E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基波频率：至少包含频率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val="en-US" w:eastAsia="zh-CN"/>
              </w:rPr>
              <w:t>12.5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val="en-US" w:eastAsia="zh-CN"/>
              </w:rPr>
              <w:t>25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val="en-US" w:eastAsia="zh-CN"/>
              </w:rPr>
              <w:t>50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val="en-US" w:eastAsia="zh-CN"/>
              </w:rPr>
              <w:t>100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HZ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18B2271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显示器：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≤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3.5英寸TFT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6024639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7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体积：≤20</w:t>
            </w:r>
            <w:bookmarkStart w:id="15" w:name="OLE_LINK12"/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×</w:t>
            </w:r>
            <w:bookmarkEnd w:id="15"/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15×10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cm；</w:t>
            </w:r>
          </w:p>
          <w:p w14:paraId="3CB7B25B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8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存储：要求存储容量≥8G TF卡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2B87DBF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9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重量：≤3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K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g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07CA33B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内置锂电池：≥7.4V/11000mAH连续工作时间≥8小时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7518AAD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2.半航空接收线框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6D3EC1EB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线圈等效面积：≥3000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vertAlign w:val="superscript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2AF0361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线圈频带：范围不低于3Hz-10KHz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E7FC898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线圈电阻：≤3K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641DFCD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线圈重量：≤2Kg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4428CEE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线圈输出阻抗：≤50欧姆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BB2322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有源放大器增益：≥42db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E66517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7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放大器电源：至少满足±9V~±12V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22F189F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8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线圈输出最大信号：≥15Vpp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4A15012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9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线圈工作电源：5V/150mA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2B5BD63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内置GPS/北斗双星定位和九轴姿态、磁场、气压高程等数据输出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772A4923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环境使用温度：-20°C~+60°C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6EB34D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配备线框连接线≥2条，规格：长度10米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5F5E4C6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3.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大功率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发射机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5FAB1ED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最高发射电压：≥1000V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01CFD1E3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最高发射电流：≥40A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142E88D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发射基频：至少包含频率12.5、25、50、100Hz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FDF9293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发射波形：50%占空比方波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197E318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关断时间：≤１us（电阻负载）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075180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同步方式：GPS授时秒脉冲同步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09327B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7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要求配备发射电缆规格：≥4c㎡，长度：≥2000米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22CAEB9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4.中功率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发射机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78774CD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输入电压：12-72V（电瓶/整流稳压器等）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2347061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发射电压：1-70V连续可调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4636875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关断时间：≧0.56us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纯电阻负载20A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）；</w:t>
            </w:r>
          </w:p>
          <w:p w14:paraId="2F5B78A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发射电流：0.1-20A连续可调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1F8E4F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发射波形：方波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7D4FB9F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.发电机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66D9BFF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最大功率：≥19KVA 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24052E6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电压：220/380V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187A6BB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功率因数：≥0.8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5295871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类型：满足四冲程汽油空冷发动机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C91F0E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起动方式：电起动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2955B70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油箱容量≥40L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7ED08E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7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重量≤250K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g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45C61858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.数据处理系统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1ADC186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具有批量测点文件的管理与编辑、批量数据的快速积分处理、数据处理及滤波功能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4FDC52E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具备进行飞行采集数据姿态校正及调平功能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1BEB1843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具备格式转换、电压抽道功能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BE1D85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具备带地形的二维电阻率处理以及复杂三维电阻率显示编辑功能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3649238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飞行测量批量轨迹二维、三维可实时显示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41D22D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可进行电阻率反演成图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4A38219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7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.无人机飞行平台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28DE3BB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（1）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类型：旋翼无人机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581171B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无人机负载能力：任务载重≥5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K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g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7F33092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单次续航时间：≥20min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53556DF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最大飞行高度：≥2000米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7B8A34C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含地面操控系统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547C45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8.配置清单：</w:t>
            </w:r>
          </w:p>
          <w:p w14:paraId="3A680BA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采集单元站（内置小功率发射机）1套，接收线圈（含姿态传感器等效面积3000m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vertAlign w:val="superscript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）1套，发射线圈（等效面积：16m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vertAlign w:val="superscript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，2米四节）1套，连接线（10米）</w:t>
            </w:r>
          </w:p>
          <w:p w14:paraId="21F114B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中功率发射机2套，大功率发射机（航空大定源/线源）1套大功率发电机发射电缆平台数据处理软件。</w:t>
            </w:r>
          </w:p>
        </w:tc>
        <w:tc>
          <w:tcPr>
            <w:tcW w:w="859" w:type="dxa"/>
            <w:noWrap w:val="0"/>
            <w:vAlign w:val="center"/>
          </w:tcPr>
          <w:p w14:paraId="01114A3B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1</w:t>
            </w:r>
          </w:p>
        </w:tc>
        <w:tc>
          <w:tcPr>
            <w:tcW w:w="1472" w:type="dxa"/>
            <w:noWrap w:val="0"/>
            <w:vAlign w:val="center"/>
          </w:tcPr>
          <w:p w14:paraId="41FF91E3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104.00</w:t>
            </w:r>
          </w:p>
        </w:tc>
      </w:tr>
      <w:tr w14:paraId="71465E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noWrap w:val="0"/>
            <w:vAlign w:val="center"/>
          </w:tcPr>
          <w:p w14:paraId="6CEF44B6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2</w:t>
            </w:r>
          </w:p>
        </w:tc>
        <w:tc>
          <w:tcPr>
            <w:tcW w:w="1296" w:type="dxa"/>
            <w:noWrap w:val="0"/>
            <w:vAlign w:val="center"/>
          </w:tcPr>
          <w:p w14:paraId="2B20E14C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微生物呼吸仪</w:t>
            </w:r>
          </w:p>
        </w:tc>
        <w:tc>
          <w:tcPr>
            <w:tcW w:w="4413" w:type="dxa"/>
            <w:noWrap w:val="0"/>
            <w:vAlign w:val="top"/>
          </w:tcPr>
          <w:p w14:paraId="1E4B3A7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样品培养单元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7160E6A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每个系统的反应器数量：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≥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36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6C41DC7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反应器材料：高硼硅玻璃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A2C863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反应器体积：500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mL；</w:t>
            </w:r>
          </w:p>
          <w:p w14:paraId="4D97F57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水浴锅外尺寸：约68×56×32cm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7C9C327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温度控制：最高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≥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60℃（精度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≤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0.2℃）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6608F02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反应器搅拌系统：机械搅拌（可调搅拌间歇，速度和旋转方向），10-200rpm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12D2B7C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7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反转搅拌系统10档可选，间歇时间5s-3600s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664A9FD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8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卡扣式安装的多功能电机一套（36个）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5AC4067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9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原位吸附装置数量：36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43F0928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特征：带两个螺纹孔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55AB24D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容量：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≥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255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mL；</w:t>
            </w:r>
          </w:p>
          <w:p w14:paraId="666CA5F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吸收液：根据吸收的目标气体而定，例如对CO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vertAlign w:val="subscript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的吸收使用3Mol/L NaOH，pH指示剂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4F3D641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吸收效率：&gt;98％（氢氧化钠吸收二氧化碳）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79708D2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二氧化碳吸附单元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73CFD8CB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二氧化碳捕集瓶数量：36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DA7482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瓶子材料：高硼硅玻璃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697F708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二氧化碳捕集瓶的体积：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≥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250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mL；</w:t>
            </w:r>
          </w:p>
          <w:p w14:paraId="16DAA153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瓶托尺寸：约55×33×28cm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69064823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吸收液：根据吸收的目标气体而定，例如对CO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vertAlign w:val="subscript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的吸收使用3Mol/L NaOH，pH指示剂，每瓶80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（不包含）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199F29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吸收效率：&gt;98％（氢氧化钠吸收二氧化碳）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78F1EC3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流量计通道和数据采集单元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2FF9708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气体单次测量：可36个单元并行运行；</w:t>
            </w:r>
          </w:p>
          <w:p w14:paraId="19116EB8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工作原理：气液置换和浮力、整体体积测量；</w:t>
            </w:r>
          </w:p>
          <w:p w14:paraId="511C3EC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工作方式：高精度省力杠杆单方向抬起；</w:t>
            </w:r>
          </w:p>
          <w:p w14:paraId="200B019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气体流量测定腔体透明可观察；</w:t>
            </w:r>
          </w:p>
          <w:p w14:paraId="6B3058C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气体流量测定腔体可装液100-130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mL；</w:t>
            </w:r>
          </w:p>
          <w:p w14:paraId="37897740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测量分辨率：9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或2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，可通过模块的更换实现双分辨率混合设置；</w:t>
            </w:r>
          </w:p>
          <w:p w14:paraId="47F120F0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7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检测能力：9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流量腔体单元每个通道可累积测量7200L气体2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流量腔体单元每个通道可累积测量1600L气体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43DE1AB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8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即时气体流量的测量范围：1–6000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/h（9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流量腔体单元）；0.2–1500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/h（2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流量腔体单元）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40C8BFC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9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集成数据采集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BAB2CD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内置温度、压力、霍尔、陀螺仪传感器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3BFFE45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11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测量精度：CV≤1%（9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流量腔体单元）；CV≤3%（2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流量腔体单元）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14F5E55B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操作压力：-50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-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50mbar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984B890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进出气口直径：内径：2.4-2.6mm外径：4.2-4.7mm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1F84FFEB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4.数据处理系统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43EFD04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有氧和厌氧可批次测试的数据处理系统，基于Web嵌入式服务器上运行，无需在电脑、平板或手机上预装软件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4B3445E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提供完善的系统日志，XM或CSV格式原始数据，生成完整实验报告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7734E4D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在线实时气体流量和体积显示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0409FCF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自动实时压力和温度补偿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56E8721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实时气体流量和体积标准化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17D87F1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5.配置清单：</w:t>
            </w:r>
          </w:p>
          <w:p w14:paraId="3768701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仪器36测试通道标准配置外，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另配：搅拌轴（500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加吸附）-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36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根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分辨率气体测量单元模块-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36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个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单通道气体流量计12个、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500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反应器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个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卡扣式安装的多功能电机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个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二氧化碳捕集瓶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个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、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气体原位吸附装置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个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水浴锅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个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控制终端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不低于14代i7-14700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CPU，16G内存，2T固态硬盘，27英寸4k显示器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）。</w:t>
            </w:r>
          </w:p>
        </w:tc>
        <w:tc>
          <w:tcPr>
            <w:tcW w:w="859" w:type="dxa"/>
            <w:noWrap w:val="0"/>
            <w:vAlign w:val="center"/>
          </w:tcPr>
          <w:p w14:paraId="40648D90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1</w:t>
            </w:r>
          </w:p>
        </w:tc>
        <w:tc>
          <w:tcPr>
            <w:tcW w:w="1472" w:type="dxa"/>
            <w:noWrap w:val="0"/>
            <w:vAlign w:val="center"/>
          </w:tcPr>
          <w:p w14:paraId="07343C77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52.00</w:t>
            </w:r>
          </w:p>
        </w:tc>
      </w:tr>
      <w:tr w14:paraId="33BAF0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noWrap w:val="0"/>
            <w:vAlign w:val="center"/>
          </w:tcPr>
          <w:p w14:paraId="635CE7D4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3</w:t>
            </w:r>
          </w:p>
        </w:tc>
        <w:tc>
          <w:tcPr>
            <w:tcW w:w="1296" w:type="dxa"/>
            <w:noWrap w:val="0"/>
            <w:vAlign w:val="center"/>
          </w:tcPr>
          <w:p w14:paraId="6E047566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研究级荧光显微系统</w:t>
            </w:r>
          </w:p>
        </w:tc>
        <w:tc>
          <w:tcPr>
            <w:tcW w:w="4413" w:type="dxa"/>
            <w:noWrap w:val="0"/>
            <w:vAlign w:val="top"/>
          </w:tcPr>
          <w:p w14:paraId="41FFFA0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一、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电动荧光显微模块</w:t>
            </w:r>
          </w:p>
          <w:p w14:paraId="5141119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光学系统：无限远光学系统，齐焦距离≥60mm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760B0FB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放大倍数：40X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-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1000X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5E8605A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目镜：超大视野目镜SW10X/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≥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25mm，高眼点，-5～+5视度可调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FC2AFF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正像镜筒：铰链式三目观察头、30°倾斜，固定视度，瞳距47-78mm，目视/数码三档分光比：100/0、20/80、0/100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709418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转换器：电动物镜转换，（带编码，光强记忆）带分析槽的内倾式内定位六孔转换器，转动舒适，定位准确可靠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7D47118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6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物镜：无穷远平场半复消色差相衬物镜4X NA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≥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0.13 WD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≥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17</w:t>
            </w:r>
          </w:p>
          <w:p w14:paraId="31F4FAD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10X NA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≥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0.3 WD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≥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16</w:t>
            </w:r>
          </w:p>
          <w:p w14:paraId="17857CB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20X NA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≥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0.5 WD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≥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2.7</w:t>
            </w:r>
          </w:p>
          <w:p w14:paraId="2A7C288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40X（弹簧） NA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≥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0.75 WD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≥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1.4</w:t>
            </w:r>
          </w:p>
          <w:p w14:paraId="7F3981A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100X（弹簧、油） NA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≥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1.4 WD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≥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0.18</w:t>
            </w:r>
          </w:p>
          <w:p w14:paraId="45F85F2B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7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电动载物台：</w:t>
            </w:r>
          </w:p>
          <w:p w14:paraId="4B41A4E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高性能步进电机XYZ平台，行程不小于125mm×75mm×25mm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622277C8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载物台移动最小步距XY轴：≤1um重复定位精度：≤3um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54201F5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载物台移动最小步距Z轴：≤0.125um重复定位精度：≤0.5um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612298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XY单轴移动最大速度：≥20mm/s</w:t>
            </w:r>
          </w:p>
          <w:p w14:paraId="5AA93CC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载物台面积不低于275mm×210mm，一次可放置4张切片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48685C0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电动控制手柄：可控制XYZ轴，含电控连接线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6A63B1D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8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透射照明：3W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LED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B543BD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9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荧光垂直照明装置：六孔转盘，电动切换，前端设置光闸、荧光挡板；</w:t>
            </w:r>
          </w:p>
          <w:p w14:paraId="1EC8D6A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B激发光波滤色组件：激发BP460-495截止BA510-550分色DM505G激发光波滤色组件：激发BP528-553截止BA578-633分色DM565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U激发光波滤色组件：激发BP360-390截止BA435-485分色DM415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438718C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聚光镜：八孔转盘聚光镜，含明场、相衬、DIC孔位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19CC0A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ECO照明系统：人走灯灭功能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6A3BBA90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荧光光源：3W LED长寿命光源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754C6A9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智能屏：底座带液晶屏，实时显示倍率、亮度、照明方式、XYZ坐标等信息，支持触控操作倍率切换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7D74B4BB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光传感器：冷CCD相机，1”CMOS（彩色），2000万物理像素（像素2.4um×2.4um）；ISO感光度：ISO200~ISO3200；曝光时间：0.1毫秒至15秒；显示帧频：15@5440×3648；50@2736×1824；60@1824×1216，图像格式：BMP、JPEG、TIFF、PNG等；数据接口：USB3.0；制冷温度</w:t>
            </w:r>
            <w:r>
              <w:rPr>
                <w:rFonts w:hint="eastAsia" w:ascii="宋体" w:hAnsi="宋体" w:eastAsia="宋体" w:cs="宋体"/>
                <w:color w:val="000000"/>
                <w:sz w:val="24"/>
                <w:highlight w:val="none"/>
              </w:rPr>
              <w:t>：低于室温15°到室温25° ；软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件带有实时3D降噪、景深融合、大图拼接等功能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。</w:t>
            </w:r>
          </w:p>
          <w:p w14:paraId="56BB05E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二、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荧光体视显微模块</w:t>
            </w:r>
          </w:p>
          <w:p w14:paraId="72FC455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1.光学系统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平行复消色差光路变倍系统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52B8C7C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2.变倍比：18：1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A75BED3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3.目镜筒倾角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20°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标准三目观察,低眼点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）；</w:t>
            </w:r>
          </w:p>
          <w:p w14:paraId="6404F6A0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4.瞳距调节范围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48～76mm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7967A0B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5.宽视野目镜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10X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视场数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≥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22mm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）；</w:t>
            </w:r>
          </w:p>
          <w:p w14:paraId="6D4B056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6.变焦倍数：0.75X-13.5X，变倍范围从7.5X-135X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1倍物镜下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须涵盖此范围，连续可调；具备0.75/1/2/3/4/5/6/8/10/12/13.5点停位置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63A2B2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7.变倍主体：前置具有可调节的视场光阑，可显示不同照明孔径下的景深对比效果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5AA6511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8.物镜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1倍平场复消色差物镜，数值孔径≥0.15（分辨率≥1000lp/mm），工作距离≥60mm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1BF0A8B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9.明场照明：</w:t>
            </w:r>
          </w:p>
          <w:p w14:paraId="4824D0C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透射：长寿命LED超薄透射底座,使用寿命≥60000小时,明场照明，倾斜相干照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5921520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照明透射调节模块，滑动操作杆上有刻度，通过调节滑块改变对比度，具备观察无色透明的标本并呈现立体三维图像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590510B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落射：双光纤照明，亮度可调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5C96C0D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10.调焦机构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同轴粗微调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配备防空回机构,调焦精度更高,粗调焦旋钮行程100mm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粗调行程每一圈为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37.7mm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,微调焦旋钮行程100mm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粗调行程每一圈为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0.8mm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）；</w:t>
            </w:r>
          </w:p>
          <w:p w14:paraId="68DD5A20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11.电控控制面板：可实现倍率、调焦、限位、照明等电动化控制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DDEF83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12.长寿命LED荧光光源,使用寿命不低于30000小时，亮度可调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三色荧光激发：B激发光波滤色组件：激发BP460-495截止BA510-550分色DM505；G激发光波滤色组件：激发BP528-553截止BA578-633分色DM565；U激发光波滤色组件：激发BP360-390截止BA435-485分色DM415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光传感器：1”CMOS（彩色），2000万物理像素（像素2.4X2.4um）；ISO感光度：ISO200~ISO3200；曝光时间：0.1毫秒至15秒；显示帧频：15@5440x3648；50@2736x1824；60@1824x1216，图像格式：BMP、JPEG、TIFF、PNG等；数据接口：USB3.0；制冷温度：-15°～25°；软件带有实时3D降噪、景深融合、大图拼接等功能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81C847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13.控制终端不低于14代i7-14700 CPU，16G内存，2T固态硬盘，27英寸4k显示器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。</w:t>
            </w:r>
          </w:p>
        </w:tc>
        <w:tc>
          <w:tcPr>
            <w:tcW w:w="859" w:type="dxa"/>
            <w:noWrap w:val="0"/>
            <w:vAlign w:val="center"/>
          </w:tcPr>
          <w:p w14:paraId="66D6F25C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1</w:t>
            </w:r>
          </w:p>
        </w:tc>
        <w:tc>
          <w:tcPr>
            <w:tcW w:w="1472" w:type="dxa"/>
            <w:noWrap w:val="0"/>
            <w:vAlign w:val="center"/>
          </w:tcPr>
          <w:p w14:paraId="7B51080A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52.00</w:t>
            </w:r>
          </w:p>
        </w:tc>
      </w:tr>
      <w:tr w14:paraId="7BF37D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noWrap w:val="0"/>
            <w:vAlign w:val="center"/>
          </w:tcPr>
          <w:p w14:paraId="3F3288C5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default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4</w:t>
            </w:r>
          </w:p>
        </w:tc>
        <w:tc>
          <w:tcPr>
            <w:tcW w:w="1296" w:type="dxa"/>
            <w:noWrap w:val="0"/>
            <w:vAlign w:val="center"/>
          </w:tcPr>
          <w:p w14:paraId="2D666DBB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连续波电子顺磁共振波谱仪</w:t>
            </w:r>
          </w:p>
        </w:tc>
        <w:tc>
          <w:tcPr>
            <w:tcW w:w="4413" w:type="dxa"/>
            <w:noWrap w:val="0"/>
            <w:vAlign w:val="top"/>
          </w:tcPr>
          <w:p w14:paraId="01A658A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1.主机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37DCC92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连续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波模式下探测信噪比：≥800：1；</w:t>
            </w:r>
          </w:p>
          <w:p w14:paraId="35A99A9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*（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）绝对自旋数目灵敏度：≤5×；10^9spins/（G∙√Hz）；</w:t>
            </w:r>
          </w:p>
          <w:p w14:paraId="14017AE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微波频率范围：9.2-9.9GHz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BF2CAE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最大衰减微波功率衰减：≥60dB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9A2A73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微波功率范围包含：1μW~100mW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4E3122B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调制场频率：10kHz、50kHz和100kHz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56EED77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7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磁场范围：-1000~6500Gauss（支持过零点扫描）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43896EB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8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样品区域磁场均匀性：≤50mG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4C8F509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9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磁体冷却方式：风冷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5EE3E60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扫描速度：5ms/点~5s/点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2824AF9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最大扫描点数：≥256000点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7F369A2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无载Q值范围：≥6000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6325ABBB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最大调制场幅度：≥10Gauss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152E39A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支持液氮变温系统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597CD99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支持原位光照系统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381CFF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16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支持自动调谐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10A61FE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17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支持Q值可在软件端实时显示并被存储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E8C17E8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18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可选内置Mn标，进行相对定量EPR计算，同时支持无需标样的绝对自旋数定量EPR计算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01036A8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2.标准样品组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04C455D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BDPA，1支，用于调制场单元校准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45E2E8B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DPPH，1支，用于快速测试连续波EPR校正g值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7BFF0DD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3.标准样品管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714FD59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4mm外径，3mm内径石英样品管，25支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4F26FC5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50μl毛细管，250支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29F39AC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4.样品定位器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适用于台式连续波电子顺磁共振谱仪样品管位置标定的定位器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1FF020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5.控制终端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773D169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不低于14代i7-14700 CPU，16G内存，2T固态硬盘，27英寸4k显示器，可实现谱仪控制、数据采集、谱图处理和拟合功能，支持仪器进行状态切换、参数控制、实验流程控制、数据采集和分析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76579AC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数据处理和分析：可以脱机离线使用，用于对EPR谱线进行多种数据处理操作，如去基线、积分、微分、滤波、傅里叶变换、数据拟合等操作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36A242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6.液氮变温系统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42DCA6C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温度范围：100K-600K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09909F8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温度稳定性：±0.2K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7CFD8E4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制冷源：液氮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4FE8F4E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配有4mm外径3mm内径300mm长的石英样品管20支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7E4819DB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7.原位光照系统（氙灯）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32EF6593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光谱范围：包含320-780nm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10AB9D6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总辐射光功率：50W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773121A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支持6位电动滤光轮，软件控制切换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。</w:t>
            </w:r>
          </w:p>
        </w:tc>
        <w:tc>
          <w:tcPr>
            <w:tcW w:w="859" w:type="dxa"/>
            <w:noWrap w:val="0"/>
            <w:vAlign w:val="center"/>
          </w:tcPr>
          <w:p w14:paraId="47BC6BB4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default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1</w:t>
            </w:r>
          </w:p>
        </w:tc>
        <w:tc>
          <w:tcPr>
            <w:tcW w:w="1472" w:type="dxa"/>
            <w:noWrap w:val="0"/>
            <w:vAlign w:val="center"/>
          </w:tcPr>
          <w:p w14:paraId="6C38BA18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default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82.00</w:t>
            </w:r>
          </w:p>
        </w:tc>
      </w:tr>
    </w:tbl>
    <w:p w14:paraId="0B7EC880">
      <w:pPr>
        <w:pStyle w:val="6"/>
        <w:spacing w:before="0" w:after="0" w:line="360" w:lineRule="auto"/>
        <w:jc w:val="center"/>
        <w:rPr>
          <w:rFonts w:hint="eastAsia" w:ascii="宋体" w:hAnsi="宋体" w:cs="宋体"/>
          <w:caps w:val="0"/>
          <w:sz w:val="24"/>
          <w:szCs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</w:rPr>
        <w:br w:type="page"/>
      </w:r>
      <w:r>
        <w:rPr>
          <w:rFonts w:hint="eastAsia" w:ascii="宋体" w:hAnsi="宋体" w:cs="宋体"/>
          <w:caps w:val="0"/>
          <w:sz w:val="24"/>
          <w:szCs w:val="24"/>
        </w:rPr>
        <w:t>第</w:t>
      </w:r>
      <w:r>
        <w:rPr>
          <w:rFonts w:hint="eastAsia" w:ascii="宋体" w:hAnsi="宋体" w:cs="宋体"/>
          <w:caps w:val="0"/>
          <w:sz w:val="24"/>
          <w:szCs w:val="24"/>
          <w:lang w:val="en-US" w:eastAsia="zh-CN"/>
        </w:rPr>
        <w:t>三</w:t>
      </w:r>
      <w:r>
        <w:rPr>
          <w:rFonts w:hint="eastAsia" w:ascii="宋体" w:hAnsi="宋体" w:cs="宋体"/>
          <w:caps w:val="0"/>
          <w:sz w:val="24"/>
          <w:szCs w:val="24"/>
        </w:rPr>
        <w:t>包：</w:t>
      </w:r>
    </w:p>
    <w:tbl>
      <w:tblPr>
        <w:tblStyle w:val="7"/>
        <w:tblW w:w="0" w:type="auto"/>
        <w:tblInd w:w="-3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4"/>
        <w:gridCol w:w="1296"/>
        <w:gridCol w:w="4413"/>
        <w:gridCol w:w="859"/>
        <w:gridCol w:w="1472"/>
      </w:tblGrid>
      <w:tr w14:paraId="0755B0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noWrap w:val="0"/>
            <w:vAlign w:val="center"/>
          </w:tcPr>
          <w:p w14:paraId="4E514367">
            <w:pPr>
              <w:pStyle w:val="6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ap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1296" w:type="dxa"/>
            <w:noWrap w:val="0"/>
            <w:vAlign w:val="center"/>
          </w:tcPr>
          <w:p w14:paraId="15352167">
            <w:pPr>
              <w:snapToGrid w:val="0"/>
              <w:spacing w:line="360" w:lineRule="auto"/>
              <w:jc w:val="center"/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设备名称</w:t>
            </w:r>
          </w:p>
        </w:tc>
        <w:tc>
          <w:tcPr>
            <w:tcW w:w="4413" w:type="dxa"/>
            <w:noWrap w:val="0"/>
            <w:vAlign w:val="center"/>
          </w:tcPr>
          <w:p w14:paraId="4B166DE2">
            <w:pPr>
              <w:snapToGrid w:val="0"/>
              <w:spacing w:line="360" w:lineRule="auto"/>
              <w:jc w:val="center"/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技术需求</w:t>
            </w:r>
          </w:p>
        </w:tc>
        <w:tc>
          <w:tcPr>
            <w:tcW w:w="859" w:type="dxa"/>
            <w:noWrap w:val="0"/>
            <w:vAlign w:val="center"/>
          </w:tcPr>
          <w:p w14:paraId="1675DB0A">
            <w:pPr>
              <w:snapToGrid w:val="0"/>
              <w:spacing w:line="360" w:lineRule="auto"/>
              <w:jc w:val="center"/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数量</w:t>
            </w:r>
          </w:p>
        </w:tc>
        <w:tc>
          <w:tcPr>
            <w:tcW w:w="1472" w:type="dxa"/>
            <w:noWrap w:val="0"/>
            <w:vAlign w:val="center"/>
          </w:tcPr>
          <w:p w14:paraId="64D47F6E">
            <w:pPr>
              <w:snapToGrid w:val="0"/>
              <w:spacing w:line="360" w:lineRule="auto"/>
              <w:jc w:val="center"/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单价限价（万元）</w:t>
            </w:r>
          </w:p>
        </w:tc>
      </w:tr>
      <w:tr w14:paraId="730054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noWrap w:val="0"/>
            <w:vAlign w:val="center"/>
          </w:tcPr>
          <w:p w14:paraId="14C90BDC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</w:t>
            </w:r>
          </w:p>
        </w:tc>
        <w:tc>
          <w:tcPr>
            <w:tcW w:w="1296" w:type="dxa"/>
            <w:noWrap w:val="0"/>
            <w:vAlign w:val="center"/>
          </w:tcPr>
          <w:p w14:paraId="7D5247F6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●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多通道电化学工作站</w:t>
            </w:r>
          </w:p>
        </w:tc>
        <w:tc>
          <w:tcPr>
            <w:tcW w:w="4413" w:type="dxa"/>
            <w:noWrap w:val="0"/>
            <w:vAlign w:val="top"/>
          </w:tcPr>
          <w:p w14:paraId="4BC1BD10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1.系统性能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046912B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最小时基：≤10μs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2C51DFF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本底噪音：≤10uVrms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A68E37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浮地功能：具备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41E0E51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三通道，每个通道均可实现交流阻抗测试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43B8973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通道间完全独立，仅做软件共享，可拆分三台工作站独立使用，并涵盖双恒电位仪功能；</w:t>
            </w:r>
          </w:p>
          <w:p w14:paraId="17B61E1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2.电流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685AE8A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量程：100pA-1A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5A3B41E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电流分辨率：≤3.3fA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254D4DF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3.电位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4FC5592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槽压±22V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6470ED0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精度（直流）：≤0.1%满量程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59F1B5B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最小电位分辨：≤1μV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0FE068E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最小电位阶跃：12.5μV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5A33C34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4.阻抗特性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364EA85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电化学交流阻抗频率范围：最高10μHz～2MHz，常规10μHz～20KHz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751B1A1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AC幅值（峰-峰）：1mV～1000mV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47FC630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输入阻抗：1012Ω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4C78B33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5.扫描速率：≥3000V/s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70EA0E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6.辅助I/O：16位模拟输入、软件兼容的输入口、软件控制的输出口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65AD426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7.iR补偿</w:t>
            </w:r>
          </w:p>
          <w:p w14:paraId="503D15B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模式：电流截断；</w:t>
            </w:r>
          </w:p>
          <w:p w14:paraId="5E0F5C5B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最小截断时间：≤33μs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6D0DCC8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最大截断时间：≥715s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04AB71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8.软件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1D4BBCA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一体化软件，包括脉冲伏安、交流阻抗、直流腐蚀、脉冲伏安、临界点蚀、电化学噪音、频率调制、电化学信号分析、电化学能源软件包等不同化学分析方法，软件终身免费升级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5E34E73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软件开放源代码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66D738A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9.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配置要求：三通道电化学工作站一套，每个通道均有自己独立软件，并可共享至其它通道、电极引线四套、模拟电化学池及屏蔽器三套、电化学分析测试软件三套、同步线两条、控制终端1台（不低于14代i7-14700CPU，16G内存，2T固态硬盘，27英寸4k显示器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。</w:t>
            </w:r>
          </w:p>
        </w:tc>
        <w:tc>
          <w:tcPr>
            <w:tcW w:w="859" w:type="dxa"/>
            <w:noWrap w:val="0"/>
            <w:vAlign w:val="center"/>
          </w:tcPr>
          <w:p w14:paraId="749DC79C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1</w:t>
            </w:r>
          </w:p>
        </w:tc>
        <w:tc>
          <w:tcPr>
            <w:tcW w:w="1472" w:type="dxa"/>
            <w:noWrap w:val="0"/>
            <w:vAlign w:val="center"/>
          </w:tcPr>
          <w:p w14:paraId="6B4DFAAB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76.30</w:t>
            </w:r>
          </w:p>
        </w:tc>
      </w:tr>
      <w:tr w14:paraId="61E2E6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noWrap w:val="0"/>
            <w:vAlign w:val="center"/>
          </w:tcPr>
          <w:p w14:paraId="7C4B20C4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2</w:t>
            </w:r>
          </w:p>
        </w:tc>
        <w:tc>
          <w:tcPr>
            <w:tcW w:w="1296" w:type="dxa"/>
            <w:noWrap w:val="0"/>
            <w:vAlign w:val="center"/>
          </w:tcPr>
          <w:p w14:paraId="10F0E2C5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温室气体分析系统</w:t>
            </w:r>
          </w:p>
        </w:tc>
        <w:tc>
          <w:tcPr>
            <w:tcW w:w="4413" w:type="dxa"/>
            <w:noWrap w:val="0"/>
            <w:vAlign w:val="top"/>
          </w:tcPr>
          <w:p w14:paraId="748AA46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一、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气相模块</w:t>
            </w:r>
          </w:p>
          <w:p w14:paraId="711CDA1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1.快速加热和冷却的柱温箱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5C12E94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柱箱温度：室温以上3℃～450℃（使用液态CO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vertAlign w:val="subscript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时可达-45℃，液氮可达-90℃）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1C45F25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程序升温：32阶33平台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3EA6C6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3）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可设定升温速率：最大不低于±240℃/min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0C5103DB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温度设定精度：≤0.1℃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72D2713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控温精度：设定值(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℃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)±1%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65A60F9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温度稳定性：周围温度每变化1℃，柱温箱温度变化小于0.01℃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6C8C9A9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7）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冷却速度：从450降到50℃≤3.5min（210s）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4E8D8F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8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具有柱温箱温度的自动保护功能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2C8B6CC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9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最大运行时间：≥9999.99分钟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A9EC6D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内置氢气传感器，实时监控泄漏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6C880AE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可依据不同色谱柱自由设置柱温箱降温速率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2538CE78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进样单元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分流/不分流进样口</w:t>
            </w:r>
          </w:p>
          <w:p w14:paraId="0640C66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最高温度：≥450℃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43839AF3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配备全自动电子流量控制系统AFC，具备室温补偿和自动环境补偿功能，支持恒流，恒压，程序增加流速，程序升压及压力脉冲等操作模式以及恒线速度控制功能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1225DB4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标准配备载气节省模式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7E8A787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压力设定范围：0～1035kPa（相当于0～150psi）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C61DB0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压力控制精度：≤0.001psi/kPa/bar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1722B5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压力程序比率设定范围：-400～400kPa/min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DCA6AA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7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压力程序：7阶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62DECCB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8）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分流比设定范围：0～9999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1DA4CBDB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9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流量设定范围：0～300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/min，He，0～600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/min，N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vertAlign w:val="subscript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7E38AF8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检测器单元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41724D40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氢火焰离子化检测器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739C4CAE">
            <w:pPr>
              <w:widowControl/>
              <w:snapToGrid w:val="0"/>
              <w:spacing w:line="360" w:lineRule="auto"/>
              <w:ind w:firstLine="240" w:firstLineChars="10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①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最高使用温度：≥450℃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99263A3">
            <w:pPr>
              <w:widowControl/>
              <w:snapToGrid w:val="0"/>
              <w:spacing w:line="360" w:lineRule="auto"/>
              <w:ind w:firstLine="240" w:firstLineChars="10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②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自动点火功能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71423B0A">
            <w:pPr>
              <w:widowControl/>
              <w:snapToGrid w:val="0"/>
              <w:spacing w:line="360" w:lineRule="auto"/>
              <w:ind w:firstLine="240" w:firstLineChars="10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③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检测限：≤1.3×10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vertAlign w:val="superscript"/>
              </w:rPr>
              <w:t>-12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g/s(十二烷)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4D712E9C">
            <w:pPr>
              <w:widowControl/>
              <w:snapToGrid w:val="0"/>
              <w:spacing w:line="360" w:lineRule="auto"/>
              <w:ind w:firstLine="240" w:firstLineChars="10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④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动态范围：107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6225FBF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电子捕获检测器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5CFB74CD">
            <w:pPr>
              <w:widowControl/>
              <w:snapToGrid w:val="0"/>
              <w:spacing w:line="360" w:lineRule="auto"/>
              <w:ind w:firstLine="240" w:firstLineChars="10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①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最高使用温度：≥400°C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DBBBE0F">
            <w:pPr>
              <w:widowControl/>
              <w:snapToGrid w:val="0"/>
              <w:spacing w:line="360" w:lineRule="auto"/>
              <w:ind w:firstLine="240" w:firstLineChars="10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②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检测限：≤4.2fg/s(γ-BHC)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69155C6F">
            <w:pPr>
              <w:widowControl/>
              <w:snapToGrid w:val="0"/>
              <w:spacing w:line="360" w:lineRule="auto"/>
              <w:ind w:firstLine="240" w:firstLineChars="10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③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动态范围：8x104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100F9B08">
            <w:pPr>
              <w:widowControl/>
              <w:snapToGrid w:val="0"/>
              <w:spacing w:line="360" w:lineRule="auto"/>
              <w:ind w:firstLine="240" w:firstLineChars="10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④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数据采集速度：≥500Hz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4CBEE988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介质阻挡检测器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734C6683">
            <w:pPr>
              <w:widowControl/>
              <w:snapToGrid w:val="0"/>
              <w:spacing w:line="360" w:lineRule="auto"/>
              <w:ind w:firstLine="240" w:firstLineChars="10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①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最小检测限：≤0.8pgC/s(十二烷,放电气流速50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/min)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CE5C188">
            <w:pPr>
              <w:widowControl/>
              <w:snapToGrid w:val="0"/>
              <w:spacing w:line="360" w:lineRule="auto"/>
              <w:ind w:firstLine="240" w:firstLineChars="100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②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通用型检测器，对永久性气体和有机化合物均可以响应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。</w:t>
            </w:r>
          </w:p>
          <w:p w14:paraId="7658A4C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二、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液相部分</w:t>
            </w:r>
          </w:p>
          <w:p w14:paraId="5760330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系统控制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6AE0609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仪器面板：支持，彩色液晶触控屏，GUI操作界面；工作站：支持，GUI操作界面；移动终端：支持手机、平板电脑等智能终端，GUI操作界面，仪器可作为前处理装置和温室气体系统联用，也可以单独使用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6B3DCFE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输液泵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466BB010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脱气单元：共5路：4路流动相+1路清洗液（体积400uL）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0602105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泵类型：并联双柱塞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5A0009E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泵腔体积：10uL，减小压力脉动且减小延迟体积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1BCEFC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脉动：&lt;0.1MPa（1.0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/min，10MPa，水）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773F33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流速范围：0.0001～10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/min，精确到小数点后4位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5940D6F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流速重现性：&lt;0.065%RSD或&lt;0.02minSD，其中较大值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4257EFB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7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梯度：4元梯度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7D8F59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8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梯度范围：0～100%（0.1%步进）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799EFC9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9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梯度程序：20步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292C9F3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梯度准确度：±0.55%（0.1～2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/min，1～20MPa，指定条件）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61150888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梯度重现性：±0.1%（1mL/min，10MPa，指定条件）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54D2FC8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最大耐压：≥50MPa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F13582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物理双泵头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2DB29BA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自动进样器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788A345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进样方式：全量进样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BF60A1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最大耐压：≥50MPa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2F3E9DA0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进样准确度：±1.2%（50uL，N=6）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DB7EBC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进样体积：0.1～100uL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649E1F6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进样精度：RSD&lt;0.20%（5.0-2000uL），RSD&lt;0.25%（2.0-4.9uL），RSD&lt;0.5%（1.0-1.9uL），RSD&lt;1.0%（0.5-0.9uL）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27E91628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交叉污染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：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≦0.0025%(典型值)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02F481F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7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进样周期：最小≤14sec（5uL）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73B78553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8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样品数量：≥210位（1.5mL）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2127730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9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样品盘材质：金属材质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4D5CB750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进样线性：&gt;0.9999（1～100uL，指定条件）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00F738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前处理功能：支持样品转移，添加，稀释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1B6C241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柱温箱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1E2B2E6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加热/制冷方式：强制空气循环式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5DB56EF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容量：可放置不少于5根色谱和梯度混合器、柱切换阀等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5112BD0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控温范围：室温-10～90℃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±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1℃；</w:t>
            </w:r>
          </w:p>
          <w:p w14:paraId="5FEEBB6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检测器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46C98DC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波长范围：190～700nm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2B4DB80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噪音：±2.5×10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vertAlign w:val="superscript"/>
              </w:rPr>
              <w:t>-6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AU（250nm，响应≤2sec，空池）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5B02585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漂移：100×10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vertAlign w:val="superscript"/>
              </w:rPr>
              <w:t>-6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AU/h（250nm）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434569C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4）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双波长检测：支持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69F0A25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比例色谱：支持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261F80D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6）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检测器流通池和光学系统的双重调温功能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0ECD6AA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7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流通池控温范围：9-50℃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6A65BCF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8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内置使用内置Ho过滤器与吸光度检查过滤器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。</w:t>
            </w:r>
          </w:p>
          <w:p w14:paraId="77D1038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三、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配置清单</w:t>
            </w:r>
          </w:p>
          <w:p w14:paraId="2000A16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气相色谱主机、三通道自动压力控制器、一通道自动压力控制、氢火焰离子化检测器、电子捕获及介质阻挡放电等离子体检测器各1套、甲烷转化炉1台、自动六通阀和自动十通阀一套、气体定量环一套、标准样品一套、Porapak-Q80/100、Heyasep-D2m×2mm、Heyasep-D1m×2mm等色谱柱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各2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套、三路一体气路净化装置一套、氢气空气发生器一套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732005D9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液相色谱主机（含泵单元、5路脱气机、梯度比例阀、紫外检测器、柱温箱、自动进样器等）、专用色谱柱一支、原厂工作软件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4A634E88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控制终端2台（不低于14代i7-14700 CPU，16G内存，2T固态硬盘，27英寸4k显示器）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。</w:t>
            </w:r>
          </w:p>
        </w:tc>
        <w:tc>
          <w:tcPr>
            <w:tcW w:w="859" w:type="dxa"/>
            <w:noWrap w:val="0"/>
            <w:vAlign w:val="center"/>
          </w:tcPr>
          <w:p w14:paraId="1D46C55D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1</w:t>
            </w:r>
          </w:p>
        </w:tc>
        <w:tc>
          <w:tcPr>
            <w:tcW w:w="1472" w:type="dxa"/>
            <w:noWrap w:val="0"/>
            <w:vAlign w:val="center"/>
          </w:tcPr>
          <w:p w14:paraId="72AE02BE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68.00</w:t>
            </w:r>
          </w:p>
        </w:tc>
      </w:tr>
      <w:tr w14:paraId="515D9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noWrap w:val="0"/>
            <w:vAlign w:val="center"/>
          </w:tcPr>
          <w:p w14:paraId="16294369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3</w:t>
            </w:r>
          </w:p>
        </w:tc>
        <w:tc>
          <w:tcPr>
            <w:tcW w:w="1296" w:type="dxa"/>
            <w:noWrap w:val="0"/>
            <w:vAlign w:val="center"/>
          </w:tcPr>
          <w:p w14:paraId="2B86A58D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X射线衍射仪</w:t>
            </w:r>
          </w:p>
        </w:tc>
        <w:tc>
          <w:tcPr>
            <w:tcW w:w="4413" w:type="dxa"/>
            <w:noWrap w:val="0"/>
            <w:vAlign w:val="top"/>
          </w:tcPr>
          <w:p w14:paraId="0E444AE0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1.X射线源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5E5628F0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最大输出功率：≥600W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39F2010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最大电压：≥40kV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75F8ECE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最大电流：≥15mA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26485A0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安全防护：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0.2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sv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/h（离机柜5cm内）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电流电压数字显示、超高频电压发生器,高压稳定度：≤0.05%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外电压变化10%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）；</w:t>
            </w:r>
          </w:p>
          <w:p w14:paraId="0CCABF7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2.固定靶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077AFCF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靶材：Cu靶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1528A4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3.测角仪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18E1B360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转动方式：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/2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模式，2θ角度扫描范围：-3°&lt;2θ≤145°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2F69DC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编码盘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双光学编码盘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4FAF2513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驱动方式：直流马达驱动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4BCD27E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步进角度：+/-0.0001度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2D65F8A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测角仪半径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：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≥150mm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2F73ADB2">
            <w:pPr>
              <w:widowControl/>
              <w:numPr>
                <w:ilvl w:val="0"/>
                <w:numId w:val="0"/>
              </w:numPr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4.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基本光学系统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5A6C51AD">
            <w:pPr>
              <w:widowControl/>
              <w:numPr>
                <w:ilvl w:val="0"/>
                <w:numId w:val="0"/>
              </w:numPr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光学系统包括：索拉狭缝，发散狭缝，防反射狭缝，接收狭缝等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576D0B8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5.样品台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4057110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样品台：标准粉末样品台1个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B1F519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样品架≥60个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5A67974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6.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一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维阵列计数器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2254CDA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一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维全能矩阵探测器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7AFF858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探测器有效面积：≥256mm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vertAlign w:val="superscript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07EAADE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背景：低于0.1cps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18542F0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0D,1D实时转换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7CD6CAE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7.控制系统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1B7F8F28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*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</w:rPr>
              <w:t>外接独立控制系统（不低于14代i7-14700 CPU，16G内存，2T固态硬盘，27英寸4k显示器）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u w:val="single"/>
                <w:lang w:eastAsia="zh-CN"/>
              </w:rPr>
              <w:t>；</w:t>
            </w:r>
          </w:p>
          <w:p w14:paraId="302DD54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遥控诊断系统：直接与主机连接不通过控制终端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F3A0BA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8.制冷系统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制冷量不低于1600mL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）：</w:t>
            </w:r>
          </w:p>
          <w:p w14:paraId="6CFD72F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工作要求：连续工作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634B8DE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控温精度：优于±0.5℃具有过热保护系统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2EC4932B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9.软件要求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：</w:t>
            </w:r>
          </w:p>
          <w:p w14:paraId="678364C8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软件为Window10操作平台，可对设备进行自动控制。峰形拟合，背底修正，数据平滑，Kα2剥离，物相鉴定程序，包括使用扫描数据或峰位数据或两者结合，原始数据直接检索，自动对残余峰进行鉴定；可以对图形进行进行缩放，叠加，减差、对比和剪贴；三维图形显示，参考强度法半定量分析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310AA7D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包含ICDD PDF-2、ICDD PDF-4+、ICDD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</w:rPr>
              <w:t>PDF-4/（Minerals、Organics、Axiom）五年使用许可</w:t>
            </w: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eastAsia="zh-CN"/>
              </w:rPr>
              <w:t>；</w:t>
            </w:r>
          </w:p>
          <w:p w14:paraId="26AE4CB8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cs="宋体"/>
                <w:color w:val="00000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 w:val="24"/>
                <w:highlight w:val="none"/>
                <w:lang w:val="en-US" w:eastAsia="zh-CN"/>
              </w:rPr>
              <w:t>10.配置：主机，高压发生器，测角仪，标准样品台，一维阵列探测器。</w:t>
            </w:r>
          </w:p>
        </w:tc>
        <w:tc>
          <w:tcPr>
            <w:tcW w:w="859" w:type="dxa"/>
            <w:noWrap w:val="0"/>
            <w:vAlign w:val="center"/>
          </w:tcPr>
          <w:p w14:paraId="0B14ADCF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1</w:t>
            </w:r>
          </w:p>
        </w:tc>
        <w:tc>
          <w:tcPr>
            <w:tcW w:w="1472" w:type="dxa"/>
            <w:noWrap w:val="0"/>
            <w:vAlign w:val="center"/>
          </w:tcPr>
          <w:p w14:paraId="7B10A05C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58.00</w:t>
            </w:r>
          </w:p>
        </w:tc>
      </w:tr>
    </w:tbl>
    <w:p w14:paraId="3758CF22">
      <w:pPr>
        <w:spacing w:line="360" w:lineRule="auto"/>
        <w:ind w:firstLine="482" w:firstLineChars="200"/>
        <w:outlineLvl w:val="2"/>
        <w:rPr>
          <w:rFonts w:hint="eastAsia"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</w:rPr>
        <w:br w:type="page"/>
      </w: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>注：</w:t>
      </w:r>
    </w:p>
    <w:p w14:paraId="323AA142">
      <w:pPr>
        <w:spacing w:line="360" w:lineRule="auto"/>
        <w:ind w:firstLine="482" w:firstLineChars="200"/>
        <w:outlineLvl w:val="2"/>
        <w:rPr>
          <w:rFonts w:hint="eastAsia" w:ascii="宋体" w:hAnsi="宋体" w:eastAsia="宋体" w:cs="宋体"/>
          <w:b/>
          <w:snapToGrid w:val="0"/>
          <w:kern w:val="0"/>
          <w:sz w:val="24"/>
        </w:rPr>
      </w:pPr>
      <w:bookmarkStart w:id="16" w:name="_Toc2481"/>
      <w:bookmarkStart w:id="17" w:name="_Toc31718"/>
      <w:r>
        <w:rPr>
          <w:rFonts w:hint="eastAsia" w:ascii="宋体" w:hAnsi="宋体" w:eastAsia="宋体" w:cs="宋体"/>
          <w:b/>
          <w:snapToGrid w:val="0"/>
          <w:kern w:val="0"/>
          <w:sz w:val="24"/>
        </w:rPr>
        <w:t>1.</w:t>
      </w:r>
      <w:bookmarkEnd w:id="16"/>
      <w:r>
        <w:rPr>
          <w:rFonts w:hint="eastAsia" w:ascii="宋体" w:hAnsi="宋体" w:eastAsia="宋体" w:cs="宋体"/>
          <w:b/>
          <w:snapToGrid w:val="0"/>
          <w:kern w:val="0"/>
          <w:sz w:val="24"/>
        </w:rPr>
        <w:t>第一、二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lang w:eastAsia="zh-CN"/>
        </w:rPr>
        <w:t>、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  <w:t>三</w:t>
      </w: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>包投标人所投产品需提供彩页（须包含技术参数）或产品说明书或厂家出具的技术支撑材料（须加盖厂商公章），或有资质的第三方检测机构出具的产品检测报告,或官网截图等有效资料作为佐证（技术要求有规定的，按规定提供佐证），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lang w:val="zh-CN"/>
        </w:rPr>
        <w:t>如有</w:t>
      </w: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>条款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lang w:val="zh-CN"/>
        </w:rPr>
        <w:t>未</w:t>
      </w: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>提供佐证资料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lang w:val="zh-CN"/>
        </w:rPr>
        <w:t>，</w:t>
      </w: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>该条款按负偏离进行处理。在“响应技术需求情况表”中“偏离情况”一栏标注该佐证资料在投标文件中的页码，以便评标委员会评审。</w:t>
      </w:r>
      <w:bookmarkEnd w:id="17"/>
    </w:p>
    <w:p w14:paraId="02F93692">
      <w:pPr>
        <w:spacing w:line="360" w:lineRule="auto"/>
        <w:ind w:firstLine="482" w:firstLineChars="200"/>
        <w:outlineLvl w:val="2"/>
        <w:rPr>
          <w:rFonts w:hint="eastAsia"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>2.本项目投标人所投产品参数必须与供货产品实际指标完全一致，如果验收不通过投标人需承担相关责任和损失。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E69531"/>
    <w:multiLevelType w:val="singleLevel"/>
    <w:tmpl w:val="BDE69531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IwOTFlYTM4YTI0ZTdjNjI5MDk0MWE5NTA3ZDdmOGUifQ=="/>
  </w:docVars>
  <w:rsids>
    <w:rsidRoot w:val="00000000"/>
    <w:rsid w:val="068E7B94"/>
    <w:rsid w:val="2C9D18E1"/>
    <w:rsid w:val="605716CE"/>
    <w:rsid w:val="78E53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99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99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4"/>
    <w:next w:val="1"/>
    <w:qFormat/>
    <w:uiPriority w:val="99"/>
    <w:pPr>
      <w:keepNext/>
      <w:keepLines/>
      <w:spacing w:before="340" w:after="330" w:line="578" w:lineRule="auto"/>
      <w:outlineLvl w:val="0"/>
    </w:pPr>
    <w:rPr>
      <w:kern w:val="44"/>
      <w:sz w:val="44"/>
      <w:szCs w:val="20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lock Text"/>
    <w:basedOn w:val="1"/>
    <w:semiHidden/>
    <w:qFormat/>
    <w:uiPriority w:val="99"/>
    <w:pPr>
      <w:spacing w:after="120" w:line="276" w:lineRule="auto"/>
      <w:ind w:left="1440" w:leftChars="700" w:right="1440" w:rightChars="700"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4">
    <w:name w:val="Title"/>
    <w:basedOn w:val="1"/>
    <w:next w:val="1"/>
    <w:qFormat/>
    <w:uiPriority w:val="99"/>
    <w:pPr>
      <w:spacing w:before="240" w:after="60" w:line="276" w:lineRule="auto"/>
      <w:jc w:val="center"/>
      <w:outlineLvl w:val="0"/>
    </w:pPr>
    <w:rPr>
      <w:rFonts w:ascii="Cambria" w:hAnsi="Cambria"/>
      <w:b/>
      <w:kern w:val="0"/>
      <w:sz w:val="32"/>
      <w:szCs w:val="20"/>
    </w:rPr>
  </w:style>
  <w:style w:type="paragraph" w:styleId="5">
    <w:name w:val="Body Text"/>
    <w:basedOn w:val="1"/>
    <w:next w:val="1"/>
    <w:qFormat/>
    <w:uiPriority w:val="1"/>
    <w:pPr>
      <w:spacing w:after="120"/>
    </w:pPr>
    <w:rPr>
      <w:kern w:val="0"/>
      <w:sz w:val="24"/>
      <w:szCs w:val="20"/>
    </w:rPr>
  </w:style>
  <w:style w:type="paragraph" w:styleId="6">
    <w:name w:val="toc 1"/>
    <w:basedOn w:val="1"/>
    <w:next w:val="1"/>
    <w:qFormat/>
    <w:uiPriority w:val="39"/>
    <w:pPr>
      <w:spacing w:before="120" w:after="120"/>
      <w:jc w:val="left"/>
    </w:pPr>
    <w:rPr>
      <w:b/>
      <w:bCs/>
      <w:caps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44</Pages>
  <Words>15985</Words>
  <Characters>19920</Characters>
  <Lines>0</Lines>
  <Paragraphs>0</Paragraphs>
  <TotalTime>0</TotalTime>
  <ScaleCrop>false</ScaleCrop>
  <LinksUpToDate>false</LinksUpToDate>
  <CharactersWithSpaces>19959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2024-07-10T10:08:00Z</dcterms:created>
  <dc:creator>admin</dc:creator>
  <cp:lastModifiedBy>清</cp:lastModifiedBy>
  <dcterms:modified xsi:type="dcterms:W3CDTF">2024-10-14T01:19:51Z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70E6DACC1D0F430883DBB68ED617DB04_13</vt:lpwstr>
  </property>
</Properties>
</file>