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FAE9A0">
      <w:pPr>
        <w:numPr>
          <w:ilvl w:val="2"/>
          <w:numId w:val="1"/>
        </w:num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  <w:bookmarkStart w:id="1" w:name="_GoBack"/>
      <w:bookmarkEnd w:id="1"/>
      <w:r>
        <w:rPr>
          <w:rFonts w:hint="eastAsia" w:ascii="宋体" w:hAnsi="宋体"/>
          <w:b/>
          <w:sz w:val="30"/>
          <w:szCs w:val="30"/>
        </w:rPr>
        <w:t>货物需求一览表</w:t>
      </w:r>
    </w:p>
    <w:p w14:paraId="34303C5C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tbl>
      <w:tblPr>
        <w:tblStyle w:val="5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65"/>
        <w:gridCol w:w="2520"/>
      </w:tblGrid>
      <w:tr w14:paraId="32D0D8DA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vAlign w:val="center"/>
          </w:tcPr>
          <w:p w14:paraId="44D1D71A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包号</w:t>
            </w:r>
          </w:p>
        </w:tc>
        <w:tc>
          <w:tcPr>
            <w:tcW w:w="2640" w:type="dxa"/>
            <w:vAlign w:val="center"/>
          </w:tcPr>
          <w:p w14:paraId="4FD722CF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货物名称</w:t>
            </w:r>
          </w:p>
        </w:tc>
        <w:tc>
          <w:tcPr>
            <w:tcW w:w="635" w:type="dxa"/>
            <w:vAlign w:val="center"/>
          </w:tcPr>
          <w:p w14:paraId="63C7843C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数量</w:t>
            </w:r>
          </w:p>
        </w:tc>
        <w:tc>
          <w:tcPr>
            <w:tcW w:w="1320" w:type="dxa"/>
            <w:vAlign w:val="center"/>
          </w:tcPr>
          <w:p w14:paraId="3F0EC95A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交货期</w:t>
            </w:r>
          </w:p>
        </w:tc>
        <w:tc>
          <w:tcPr>
            <w:tcW w:w="1765" w:type="dxa"/>
            <w:vAlign w:val="center"/>
          </w:tcPr>
          <w:p w14:paraId="7940D91B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Bookman Old Style"/>
                <w:sz w:val="24"/>
              </w:rPr>
              <w:t>指定到货港</w:t>
            </w:r>
          </w:p>
        </w:tc>
        <w:tc>
          <w:tcPr>
            <w:tcW w:w="2520" w:type="dxa"/>
            <w:vAlign w:val="center"/>
          </w:tcPr>
          <w:p w14:paraId="3F576673">
            <w:pPr>
              <w:jc w:val="center"/>
              <w:rPr>
                <w:rFonts w:ascii="宋体" w:hAnsi="Bookman Old Style"/>
                <w:sz w:val="24"/>
                <w:shd w:val="pct10" w:color="auto" w:fill="FFFFFF"/>
              </w:rPr>
            </w:pPr>
            <w:r>
              <w:rPr>
                <w:rFonts w:hint="eastAsia" w:ascii="宋体" w:hAnsi="Bookman Old Style"/>
                <w:sz w:val="24"/>
              </w:rPr>
              <w:t>项目现场（交货地点）</w:t>
            </w:r>
          </w:p>
        </w:tc>
      </w:tr>
      <w:tr w14:paraId="3FF5A093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vAlign w:val="center"/>
          </w:tcPr>
          <w:p w14:paraId="106974CA">
            <w:pPr>
              <w:jc w:val="center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1</w:t>
            </w:r>
          </w:p>
        </w:tc>
        <w:tc>
          <w:tcPr>
            <w:tcW w:w="2640" w:type="dxa"/>
            <w:vAlign w:val="center"/>
          </w:tcPr>
          <w:p w14:paraId="77197C09">
            <w:pPr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同步热分析仪</w:t>
            </w:r>
          </w:p>
        </w:tc>
        <w:tc>
          <w:tcPr>
            <w:tcW w:w="635" w:type="dxa"/>
            <w:vAlign w:val="center"/>
          </w:tcPr>
          <w:p w14:paraId="147D2551">
            <w:pPr>
              <w:jc w:val="center"/>
              <w:rPr>
                <w:rFonts w:ascii="宋体" w:hAnsi="Bookman Old Style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1套</w:t>
            </w:r>
          </w:p>
        </w:tc>
        <w:tc>
          <w:tcPr>
            <w:tcW w:w="1320" w:type="dxa"/>
            <w:vAlign w:val="center"/>
          </w:tcPr>
          <w:p w14:paraId="204CC830">
            <w:pPr>
              <w:jc w:val="center"/>
              <w:rPr>
                <w:rFonts w:hint="eastAsia" w:ascii="宋体" w:hAnsi="宋体"/>
                <w:sz w:val="24"/>
                <w:highlight w:val="none"/>
              </w:rPr>
            </w:pPr>
            <w:r>
              <w:rPr>
                <w:rFonts w:hint="eastAsia" w:ascii="宋体" w:hAnsi="宋体"/>
                <w:sz w:val="24"/>
                <w:highlight w:val="none"/>
              </w:rPr>
              <w:t>合同签订后3个月</w:t>
            </w:r>
          </w:p>
        </w:tc>
        <w:tc>
          <w:tcPr>
            <w:tcW w:w="1765" w:type="dxa"/>
            <w:vAlign w:val="center"/>
          </w:tcPr>
          <w:p w14:paraId="55DEFDBA">
            <w:pPr>
              <w:jc w:val="center"/>
              <w:rPr>
                <w:rFonts w:hint="eastAsia"/>
                <w:sz w:val="24"/>
                <w:highlight w:val="none"/>
              </w:rPr>
            </w:pPr>
            <w:r>
              <w:rPr>
                <w:rFonts w:hint="eastAsia"/>
                <w:sz w:val="24"/>
                <w:highlight w:val="none"/>
              </w:rPr>
              <w:t>上海</w:t>
            </w:r>
          </w:p>
        </w:tc>
        <w:tc>
          <w:tcPr>
            <w:tcW w:w="2520" w:type="dxa"/>
            <w:vAlign w:val="center"/>
          </w:tcPr>
          <w:p w14:paraId="6380EE4C">
            <w:pPr>
              <w:jc w:val="center"/>
              <w:rPr>
                <w:sz w:val="24"/>
              </w:rPr>
            </w:pPr>
            <w:r>
              <w:rPr>
                <w:sz w:val="24"/>
              </w:rPr>
              <w:t>青海省西宁市</w:t>
            </w:r>
            <w:r>
              <w:rPr>
                <w:rFonts w:hint="eastAsia"/>
                <w:sz w:val="24"/>
                <w:lang w:val="en-US" w:eastAsia="zh-CN"/>
              </w:rPr>
              <w:t>新宁路18号</w:t>
            </w:r>
            <w:r>
              <w:rPr>
                <w:rFonts w:hint="eastAsia"/>
                <w:sz w:val="24"/>
              </w:rPr>
              <w:t>，中国科学院青海盐湖研究所</w:t>
            </w:r>
          </w:p>
        </w:tc>
      </w:tr>
    </w:tbl>
    <w:p w14:paraId="6C328486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187D9CEB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0604260C">
      <w:pPr>
        <w:adjustRightInd w:val="0"/>
        <w:snapToGrid w:val="0"/>
        <w:jc w:val="center"/>
        <w:rPr>
          <w:rFonts w:hint="eastAsia" w:ascii="宋体" w:hAnsi="宋体"/>
          <w:b/>
          <w:sz w:val="30"/>
          <w:szCs w:val="30"/>
        </w:rPr>
      </w:pPr>
    </w:p>
    <w:p w14:paraId="71218C18">
      <w:pPr>
        <w:rPr>
          <w:rFonts w:ascii="Bookman Old Style" w:hAnsi="Bookman Old Style"/>
          <w:sz w:val="24"/>
        </w:rPr>
      </w:pPr>
      <w:r>
        <w:rPr>
          <w:rFonts w:hint="eastAsia"/>
          <w:sz w:val="24"/>
        </w:rPr>
        <w:t>注：投标人须对上述投标内容中完整的一包或几包进行投标，</w:t>
      </w:r>
      <w:r>
        <w:rPr>
          <w:rFonts w:hint="eastAsia" w:ascii="Bookman Old Style" w:hAnsi="Bookman Old Style"/>
          <w:sz w:val="24"/>
        </w:rPr>
        <w:t>不完整的投标将视为非响应性投标予以拒绝。</w:t>
      </w:r>
    </w:p>
    <w:p w14:paraId="4DE65327">
      <w:pPr>
        <w:adjustRightInd w:val="0"/>
        <w:snapToGrid w:val="0"/>
        <w:rPr>
          <w:rFonts w:hint="eastAsia" w:ascii="宋体" w:hAnsi="宋体"/>
          <w:szCs w:val="21"/>
        </w:rPr>
      </w:pPr>
    </w:p>
    <w:p w14:paraId="7E940F01">
      <w:pPr>
        <w:adjustRightInd w:val="0"/>
        <w:snapToGrid w:val="0"/>
        <w:rPr>
          <w:rFonts w:hint="eastAsia" w:ascii="宋体" w:hAnsi="宋体"/>
          <w:szCs w:val="21"/>
        </w:rPr>
      </w:pPr>
    </w:p>
    <w:p w14:paraId="0D308DF0">
      <w:pPr>
        <w:adjustRightInd w:val="0"/>
        <w:snapToGrid w:val="0"/>
        <w:rPr>
          <w:rFonts w:hint="eastAsia" w:ascii="宋体" w:hAnsi="宋体"/>
          <w:szCs w:val="21"/>
        </w:rPr>
      </w:pPr>
    </w:p>
    <w:p w14:paraId="09B5555C">
      <w:pPr>
        <w:adjustRightInd w:val="0"/>
        <w:snapToGrid w:val="0"/>
        <w:rPr>
          <w:rFonts w:hint="eastAsia" w:ascii="宋体" w:hAnsi="宋体"/>
          <w:szCs w:val="21"/>
        </w:rPr>
      </w:pPr>
    </w:p>
    <w:p w14:paraId="778A1BF9">
      <w:pPr>
        <w:adjustRightInd w:val="0"/>
        <w:snapToGrid w:val="0"/>
        <w:rPr>
          <w:rFonts w:hint="eastAsia" w:ascii="宋体" w:hAnsi="宋体"/>
          <w:szCs w:val="21"/>
        </w:rPr>
      </w:pPr>
    </w:p>
    <w:p w14:paraId="7BD9D363">
      <w:pPr>
        <w:adjustRightInd w:val="0"/>
        <w:snapToGrid w:val="0"/>
        <w:rPr>
          <w:rFonts w:hint="eastAsia" w:ascii="宋体" w:hAnsi="宋体"/>
          <w:szCs w:val="21"/>
        </w:rPr>
      </w:pPr>
    </w:p>
    <w:p w14:paraId="405604DF">
      <w:pPr>
        <w:adjustRightInd w:val="0"/>
        <w:snapToGrid w:val="0"/>
        <w:rPr>
          <w:rFonts w:hint="eastAsia" w:ascii="宋体" w:hAnsi="宋体"/>
          <w:szCs w:val="21"/>
        </w:rPr>
      </w:pPr>
    </w:p>
    <w:p w14:paraId="73980DAC">
      <w:pPr>
        <w:adjustRightInd w:val="0"/>
        <w:snapToGrid w:val="0"/>
        <w:rPr>
          <w:rFonts w:hint="eastAsia" w:ascii="宋体" w:hAnsi="宋体"/>
          <w:szCs w:val="21"/>
        </w:rPr>
      </w:pPr>
    </w:p>
    <w:p w14:paraId="30F2C02C">
      <w:pPr>
        <w:adjustRightInd w:val="0"/>
        <w:snapToGrid w:val="0"/>
        <w:rPr>
          <w:rFonts w:hint="eastAsia" w:ascii="宋体" w:hAnsi="宋体"/>
          <w:szCs w:val="21"/>
        </w:rPr>
      </w:pPr>
    </w:p>
    <w:p w14:paraId="0C59FF00">
      <w:pPr>
        <w:adjustRightInd w:val="0"/>
        <w:snapToGrid w:val="0"/>
        <w:rPr>
          <w:rFonts w:hint="eastAsia" w:ascii="宋体" w:hAnsi="宋体"/>
          <w:szCs w:val="21"/>
        </w:rPr>
      </w:pPr>
    </w:p>
    <w:p w14:paraId="26314EAE">
      <w:pPr>
        <w:adjustRightInd w:val="0"/>
        <w:snapToGrid w:val="0"/>
        <w:rPr>
          <w:rFonts w:hint="eastAsia" w:ascii="宋体" w:hAnsi="宋体"/>
          <w:szCs w:val="21"/>
        </w:rPr>
      </w:pPr>
    </w:p>
    <w:p w14:paraId="294D7322">
      <w:pPr>
        <w:adjustRightInd w:val="0"/>
        <w:snapToGrid w:val="0"/>
        <w:rPr>
          <w:rFonts w:hint="eastAsia" w:ascii="宋体" w:hAnsi="宋体"/>
          <w:szCs w:val="21"/>
        </w:rPr>
      </w:pPr>
    </w:p>
    <w:p w14:paraId="2283AFB3">
      <w:pPr>
        <w:adjustRightInd w:val="0"/>
        <w:snapToGrid w:val="0"/>
        <w:rPr>
          <w:rFonts w:hint="eastAsia" w:ascii="宋体" w:hAnsi="宋体"/>
          <w:b/>
          <w:sz w:val="30"/>
          <w:szCs w:val="30"/>
        </w:rPr>
      </w:pPr>
      <w:r>
        <w:rPr>
          <w:rFonts w:ascii="宋体" w:hAnsi="宋体"/>
          <w:b/>
          <w:sz w:val="30"/>
          <w:szCs w:val="30"/>
        </w:rPr>
        <w:br w:type="page"/>
      </w:r>
    </w:p>
    <w:p w14:paraId="6BAE0230">
      <w:pPr>
        <w:numPr>
          <w:ilvl w:val="2"/>
          <w:numId w:val="1"/>
        </w:numPr>
        <w:tabs>
          <w:tab w:val="left" w:pos="720"/>
          <w:tab w:val="clear" w:pos="1560"/>
        </w:tabs>
        <w:adjustRightInd w:val="0"/>
        <w:snapToGrid w:val="0"/>
        <w:ind w:hanging="1560"/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技术规格</w:t>
      </w:r>
    </w:p>
    <w:p w14:paraId="460407FD">
      <w:pPr>
        <w:spacing w:line="360" w:lineRule="auto"/>
        <w:ind w:left="600" w:hanging="600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一、总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则</w:t>
      </w:r>
    </w:p>
    <w:p w14:paraId="171C189E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ascii="宋体" w:hAnsi="宋体"/>
          <w:b/>
          <w:sz w:val="28"/>
        </w:rPr>
        <w:t>1</w:t>
      </w:r>
      <w:r>
        <w:rPr>
          <w:rFonts w:hint="eastAsia" w:ascii="宋体" w:hAnsi="宋体"/>
          <w:b/>
          <w:sz w:val="28"/>
        </w:rPr>
        <w:t>、工作条件</w:t>
      </w:r>
    </w:p>
    <w:p w14:paraId="183BF86B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除非在技术规格中另有说明，所有仪器、设备和系统都应符合下列要求： </w:t>
      </w:r>
    </w:p>
    <w:p w14:paraId="65BD5D6D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1.1  适于在气温为摄氏-40℃～＋50℃和相对湿度为90％的环境条件下运输和贮存。</w:t>
      </w:r>
    </w:p>
    <w:p w14:paraId="02D368EE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ascii="宋体" w:hAnsi="宋体"/>
          <w:sz w:val="24"/>
        </w:rPr>
        <w:t xml:space="preserve">1.2  </w:t>
      </w:r>
      <w:r>
        <w:rPr>
          <w:rFonts w:hint="eastAsia" w:ascii="宋体" w:hAnsi="宋体"/>
          <w:sz w:val="24"/>
        </w:rPr>
        <w:t>适于在电源</w:t>
      </w:r>
      <w:r>
        <w:rPr>
          <w:rFonts w:ascii="宋体" w:hAnsi="宋体"/>
          <w:sz w:val="24"/>
        </w:rPr>
        <w:t>220V</w:t>
      </w: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10</w:t>
      </w:r>
      <w:r>
        <w:rPr>
          <w:rFonts w:hint="eastAsia" w:ascii="宋体" w:hAnsi="宋体"/>
          <w:sz w:val="24"/>
        </w:rPr>
        <w:t>％）</w:t>
      </w:r>
      <w:r>
        <w:rPr>
          <w:rFonts w:ascii="宋体" w:hAnsi="宋体"/>
          <w:sz w:val="24"/>
        </w:rPr>
        <w:t>/50Hz</w:t>
      </w:r>
      <w:r>
        <w:rPr>
          <w:rFonts w:hint="eastAsia" w:ascii="宋体" w:hAnsi="宋体"/>
          <w:sz w:val="24"/>
        </w:rPr>
        <w:t>、气温摄氏</w:t>
      </w:r>
      <w:r>
        <w:rPr>
          <w:rFonts w:ascii="宋体" w:hAnsi="宋体"/>
          <w:sz w:val="24"/>
        </w:rPr>
        <w:t>+15</w:t>
      </w:r>
      <w:r>
        <w:rPr>
          <w:rFonts w:hint="eastAsia" w:ascii="宋体" w:hAnsi="宋体"/>
          <w:sz w:val="24"/>
        </w:rPr>
        <w:t>℃～＋</w:t>
      </w:r>
      <w:r>
        <w:rPr>
          <w:rFonts w:ascii="宋体" w:hAnsi="宋体"/>
          <w:sz w:val="24"/>
        </w:rPr>
        <w:t>30</w:t>
      </w:r>
      <w:r>
        <w:rPr>
          <w:rFonts w:hint="eastAsia" w:ascii="宋体" w:hAnsi="宋体"/>
          <w:sz w:val="24"/>
        </w:rPr>
        <w:t>℃和相对湿度小于</w:t>
      </w:r>
      <w:r>
        <w:rPr>
          <w:rFonts w:ascii="宋体" w:hAnsi="宋体"/>
          <w:sz w:val="24"/>
        </w:rPr>
        <w:t>80</w:t>
      </w:r>
      <w:r>
        <w:rPr>
          <w:rFonts w:hint="eastAsia" w:ascii="宋体" w:hAnsi="宋体"/>
          <w:sz w:val="24"/>
        </w:rPr>
        <w:t>％的环境条件下运行。能够连续正常工作。</w:t>
      </w:r>
    </w:p>
    <w:p w14:paraId="516BB627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1.3  配置符合中国有关标准要求的插头，如果没有这样的插头，则需提供适当的转换插座。</w:t>
      </w:r>
    </w:p>
    <w:p w14:paraId="0AFD9409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1.4  如产品达不到上述要求，投标人应注明其偏差。如仪器设备需要特殊工作条件（如水、电源、磁场强度、温度、湿度、动强度等）投标人应在投标书中加以说明。</w:t>
      </w:r>
    </w:p>
    <w:p w14:paraId="6FC718AB"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sz w:val="28"/>
        </w:rPr>
      </w:pPr>
      <w:r>
        <w:rPr>
          <w:rFonts w:ascii="宋体" w:hAnsi="宋体"/>
          <w:b/>
          <w:sz w:val="28"/>
        </w:rPr>
        <w:t>2</w:t>
      </w:r>
      <w:r>
        <w:rPr>
          <w:rFonts w:hint="eastAsia" w:ascii="宋体" w:hAnsi="宋体"/>
          <w:b/>
          <w:sz w:val="28"/>
        </w:rPr>
        <w:t>、验收标准</w:t>
      </w:r>
    </w:p>
    <w:p w14:paraId="1B46C5B3">
      <w:pPr>
        <w:spacing w:after="156" w:afterLines="50"/>
        <w:ind w:left="601" w:hanging="60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除非在技术规格中另有说明，所有仪器、设备和系统按下列要求进行验收： </w:t>
      </w:r>
    </w:p>
    <w:p w14:paraId="75C59036">
      <w:pPr>
        <w:spacing w:after="156" w:afterLines="50"/>
        <w:ind w:left="601" w:hanging="60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2.1  仪器设备运抵安装现场后，买方将与卖方共同开箱验收, 如卖方届时不派人来, 则验收结果应以买方的验收报告为最终验收结果。验收时发现短缺、破损, 买方有权要求卖方负责更换。</w:t>
      </w:r>
    </w:p>
    <w:p w14:paraId="6D258E81">
      <w:pPr>
        <w:spacing w:after="156" w:afterLines="50"/>
        <w:ind w:left="601" w:hanging="60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2.2  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601E8BA7">
      <w:pPr>
        <w:spacing w:after="156" w:afterLines="50"/>
        <w:ind w:left="601" w:hanging="60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2.3  验收由采购人、中标人及相关人员依国家有关标准、合同及有关附件要求进行，验收完毕由采购人及中标人在验收报告上签名。</w:t>
      </w:r>
    </w:p>
    <w:p w14:paraId="3C96F949">
      <w:pPr>
        <w:spacing w:after="156" w:afterLines="50"/>
        <w:ind w:left="601" w:hanging="601"/>
        <w:rPr>
          <w:rFonts w:hint="eastAsia" w:ascii="宋体" w:hAnsi="宋体"/>
          <w:sz w:val="24"/>
        </w:rPr>
      </w:pPr>
    </w:p>
    <w:p w14:paraId="7BBD93FC">
      <w:pPr>
        <w:spacing w:after="156" w:afterLines="50"/>
        <w:ind w:left="601" w:hanging="601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3、本技术规格书中标注“*”号的为实质性要求，不满足其投标将被拒绝。</w:t>
      </w:r>
    </w:p>
    <w:p w14:paraId="572DF8DA">
      <w:pPr>
        <w:spacing w:after="156" w:afterLines="50"/>
        <w:ind w:left="601" w:hanging="601"/>
        <w:rPr>
          <w:rFonts w:hint="eastAsia" w:ascii="宋体" w:hAnsi="宋体"/>
          <w:b/>
          <w:sz w:val="24"/>
        </w:rPr>
      </w:pPr>
    </w:p>
    <w:p w14:paraId="2D574938">
      <w:pPr>
        <w:pStyle w:val="2"/>
        <w:spacing w:line="360" w:lineRule="auto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</w:rPr>
        <w:t>4、如在具体技术规格中有本总则不一致之处，以具体技术规格中的要求为准。</w:t>
      </w:r>
    </w:p>
    <w:p w14:paraId="005A5379">
      <w:pPr>
        <w:spacing w:after="156" w:afterLines="50"/>
        <w:ind w:left="601" w:hanging="601"/>
        <w:rPr>
          <w:rFonts w:hint="eastAsia" w:ascii="宋体" w:hAnsi="宋体"/>
          <w:b/>
          <w:sz w:val="28"/>
        </w:rPr>
      </w:pPr>
      <w:r>
        <w:rPr>
          <w:rFonts w:ascii="宋体" w:hAnsi="宋体"/>
          <w:b/>
          <w:sz w:val="28"/>
        </w:rPr>
        <w:br w:type="page"/>
      </w:r>
      <w:r>
        <w:rPr>
          <w:rFonts w:hint="eastAsia" w:ascii="宋体" w:hAnsi="宋体"/>
          <w:b/>
          <w:sz w:val="28"/>
        </w:rPr>
        <w:t>三、具体技术规格</w:t>
      </w:r>
    </w:p>
    <w:p w14:paraId="4BA003B1">
      <w:pPr>
        <w:adjustRightInd w:val="0"/>
        <w:snapToGrid w:val="0"/>
        <w:spacing w:line="360" w:lineRule="auto"/>
        <w:ind w:left="554" w:hanging="554" w:hangingChars="231"/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同步热分析仪</w:t>
      </w:r>
    </w:p>
    <w:p w14:paraId="5E58B315">
      <w:pPr>
        <w:adjustRightInd w:val="0"/>
        <w:snapToGrid w:val="0"/>
        <w:spacing w:line="360" w:lineRule="auto"/>
        <w:jc w:val="center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技术指标及配置要求</w:t>
      </w:r>
    </w:p>
    <w:p w14:paraId="6DB7F570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一、设备名称、数量及主要用途</w:t>
      </w:r>
    </w:p>
    <w:p w14:paraId="2C327F4D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名称：同步热分析仪</w:t>
      </w:r>
    </w:p>
    <w:p w14:paraId="5355F1F6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数量：一套；</w:t>
      </w:r>
    </w:p>
    <w:p w14:paraId="5CB0B49F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用途：热分析技术是表征材料的性质与温度关系的一组技术，包含有TG-DSC/DTA同步热分析及热重分析，它在定性、定量表征材料的热性能、物理性能以及稳定性等方面有着广泛的应用，可用于盐湖矿物、相变材料、熔岩研究、金属冶金、金属材料腐蚀、高温陶瓷材料、无机物、高分子化合物、精细化工产品等领域。同步热分析在高温熔盐及相变材料领域有着重要应用意义。</w:t>
      </w:r>
    </w:p>
    <w:p w14:paraId="23EEA504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本次购置的同步热分析设备应具备以下功能：</w:t>
      </w:r>
    </w:p>
    <w:p w14:paraId="2E9032A4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1、在程序控温条件下，可以测量</w:t>
      </w:r>
      <w:bookmarkStart w:id="0" w:name="OLE_LINK1"/>
      <w:r>
        <w:rPr>
          <w:rFonts w:hint="eastAsia" w:ascii="宋体" w:hAnsi="宋体"/>
          <w:sz w:val="24"/>
        </w:rPr>
        <w:t>所有常规热分析所涉及的测试内容，包括材料的质量变化、热稳定性、氧化/还原、分解行为以及材料的熔融/结晶、固相转变、结晶度、玻璃化转变、抗氧化性等。</w:t>
      </w:r>
      <w:bookmarkEnd w:id="0"/>
      <w:r>
        <w:rPr>
          <w:rFonts w:hint="eastAsia" w:ascii="宋体" w:hAnsi="宋体"/>
          <w:sz w:val="24"/>
        </w:rPr>
        <w:t>可根据某一热效应是否对应质量变化，判断该热效应所对应的物化过程（如区分熔融峰、结晶峰、相变峰与分解峰、氧化峰等）。可实时跟踪样品质量随温度/时间的变化，对相变热、反应热等进行准确计算。</w:t>
      </w:r>
    </w:p>
    <w:p w14:paraId="255D5B20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2、成型、超大样品直接TG测试：要求针对特殊样品可实现无需制样直接成型放置超大样品，能保证样品与反应气氛充分接触，适合于各种固-气两相反应的研究。</w:t>
      </w:r>
    </w:p>
    <w:p w14:paraId="253D0274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3、比热容测试，在程序控制温度条件下，可以精确测量从室温-1400℃区间内比热容测试，配备专门用于比热容测试的传感器及坩埚、标准物及相关软件分析包等。</w:t>
      </w:r>
    </w:p>
    <w:p w14:paraId="6B6D1A59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4、真空测试：满足样品在室温-1500℃区间内真空测试需求。</w:t>
      </w:r>
    </w:p>
    <w:p w14:paraId="22B34C32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二、仪器主要技术参数</w:t>
      </w:r>
    </w:p>
    <w:p w14:paraId="2CEBCE8D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*1、炉体：立式炉体（铂金属高温炉体），最高温度可达1500℃，最低温度可达室温。</w:t>
      </w:r>
    </w:p>
    <w:p w14:paraId="3E3D0408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#2、主机具备可加载双炉体功能，后期根据需要拓展增配炉体，最低温度可达-150℃，最高温度可达2400℃。</w:t>
      </w:r>
    </w:p>
    <w:p w14:paraId="65325E1D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#3、气流控制：3路气体的质量流量计（0-250ml），用于气流量的数字化精确控制和切换，热分析软件同步记录流量流速曲线，提供软件截屏；</w:t>
      </w:r>
    </w:p>
    <w:p w14:paraId="3843DABC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*4、真空度 ：≤10E-2 mbar，真空密闭结构，真空泵由热分析软件自动控制，用于实现高纯惰性气氛和真空条件下进行实验，主机具有独立的真空法兰接口；</w:t>
      </w:r>
    </w:p>
    <w:p w14:paraId="6DA4CD38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5、升温速率：0.1-50℃/min；</w:t>
      </w:r>
    </w:p>
    <w:p w14:paraId="57280248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*6、天平最大称重量：≥30000 mg ；</w:t>
      </w:r>
    </w:p>
    <w:p w14:paraId="4808FC93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#7、最大称量范围：不小于0-30000 mg；</w:t>
      </w:r>
    </w:p>
    <w:p w14:paraId="777F51C7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*8、天平分辨率：0.1μg；</w:t>
      </w:r>
    </w:p>
    <w:p w14:paraId="53E9D9B2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9、TG稳定性：1000℃，TG信号漂移小于10μg/h</w:t>
      </w:r>
    </w:p>
    <w:p w14:paraId="79126432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*10、DSC灵敏度： 1μW；</w:t>
      </w:r>
    </w:p>
    <w:p w14:paraId="5D3CCB8E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*11、量热精度： ±1%（标准金属）；</w:t>
      </w:r>
    </w:p>
    <w:p w14:paraId="6D257C70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*12、温度精度：±0.1℃（标准金属），多点温度校正；</w:t>
      </w:r>
    </w:p>
    <w:p w14:paraId="48FAD88F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13、气氛：惰性，氧化，还原；</w:t>
      </w:r>
    </w:p>
    <w:p w14:paraId="78A4BAB5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*14、比热精度：≤3%</w:t>
      </w:r>
    </w:p>
    <w:p w14:paraId="408C0AD6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#15、天平类型即校准方式：电子天平，开机自校准；</w:t>
      </w:r>
    </w:p>
    <w:p w14:paraId="5F24B136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#16、天平室恒温：采用电子自动恒温，非水冷；</w:t>
      </w:r>
    </w:p>
    <w:p w14:paraId="02D8522B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17、天平室恒温稳定性：±0.02℃；</w:t>
      </w:r>
    </w:p>
    <w:p w14:paraId="0BD9C1AF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18、软件：</w:t>
      </w:r>
    </w:p>
    <w:p w14:paraId="01BE6F8D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1）包含可独立运行实验编程与数据分析软件包，可实现软件程序控温设定、实验气氛种类软件自动切换控制、权限控制检索等专业应用功能；</w:t>
      </w:r>
    </w:p>
    <w:p w14:paraId="4BB14F4C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2）包含测定比热容（Cp）扩充软件，用于测试过程程序编程、数据采集、存储和分析等功能（Cp计算和图示、Cp曲线比较等）。提供室温-1500标准比热容数据，可任意输入Cp标准值表格。</w:t>
      </w:r>
    </w:p>
    <w:p w14:paraId="69775103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3）可自动进行热重基线校正。可实现自定义平滑、剪切、单点拖拽、信号归零、斜率校正、空白基线自动扣除、积分、微分、玻璃化转变温度、氧化诱导时间、结晶度、等一键式分析功能；</w:t>
      </w:r>
    </w:p>
    <w:p w14:paraId="74B57193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4）包含DSC曲线温度校正、灵敏度校正功能软件包；</w:t>
      </w:r>
    </w:p>
    <w:p w14:paraId="38EB2A6F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5）同时提供多种基线处理功能，及基线生成工具；</w:t>
      </w:r>
    </w:p>
    <w:p w14:paraId="7318251D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6）数据可以多种文件格式或图形方式自由导出。</w:t>
      </w:r>
    </w:p>
    <w:p w14:paraId="196CC589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三、主要配置要求：</w:t>
      </w:r>
    </w:p>
    <w:p w14:paraId="609CF078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1、热分析仪主机：配备顶部装样系统及电子天平，天平室电子控温系统, 3路气体质量流量计，炉体提升马达。可在动态或静态的常规 (氧化或还原) 气氛/惰性气氛下测量。 可抽真空，可在动态或静态的常规气氛下工作。 真空密封炉体，1套</w:t>
      </w:r>
    </w:p>
    <w:p w14:paraId="63B60F4E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2、炉体：铂高温炉, 工作温度RT~1500 ℃. 包含Pt/Rh 发热体, 包含保护管, 气体截止阀, 空气制冷双层炉壳. 1套。</w:t>
      </w:r>
    </w:p>
    <w:p w14:paraId="6F7EB9F2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3、传感器配置：室温-1650℃下使用TG-DSC高灵敏度传感器2只；室温-1400℃下使用高精度比热容传感器2只；室温至1650℃下使用单独热重传感器1只。</w:t>
      </w:r>
    </w:p>
    <w:p w14:paraId="3B5B7FC6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4、真空系统配置：真空泵一台及相应连接管件，搭配全自动控制的软件。无需手动操作，通过软件切换就可自由选择真空环境，也可选择在测量期间是否保持真空，真空度≤1×10E-2mbar，1套。</w:t>
      </w:r>
    </w:p>
    <w:p w14:paraId="4BBB6B36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5、附件和备件配置</w:t>
      </w:r>
    </w:p>
    <w:p w14:paraId="1C5F5502">
      <w:pPr>
        <w:adjustRightInd w:val="0"/>
        <w:snapToGrid w:val="0"/>
        <w:spacing w:line="360" w:lineRule="auto"/>
        <w:ind w:left="720" w:hanging="720" w:hangingChars="300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5.1、标定温度和热焓值的校正标样（包含常规7种标准校准标样）标准物质，每种标准物质质量不低于400mg），带证书和详细的校正说明。</w:t>
      </w:r>
    </w:p>
    <w:p w14:paraId="2C598C4E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5.2、标定TGA分析的标准物质一套及相应的证书等证明材料。</w:t>
      </w:r>
    </w:p>
    <w:p w14:paraId="26EC60B8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5.3、标定比热测量（室温-1400℃）的一套标准样品。带品级证书。</w:t>
      </w:r>
    </w:p>
    <w:p w14:paraId="095E5401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5.4、测量比热容的铂坩埚带盖两套，带盖氧化铝坩埚50套。</w:t>
      </w:r>
    </w:p>
    <w:p w14:paraId="19708506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5.5、测比热容用的铝坩埚压盖器、压头各 1套；铝坩埚带盖200套。</w:t>
      </w:r>
    </w:p>
    <w:p w14:paraId="13E4A6EF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5.6、适用于TG-DSC支架的氧化铝坩埚500个，氧化铝垫片20个。</w:t>
      </w:r>
    </w:p>
    <w:p w14:paraId="376ABECC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5.7、适用于TG大样品支架的直径17mm氧化铝平台2个，直径18mm的氧化铝坩埚20个</w:t>
      </w:r>
    </w:p>
    <w:p w14:paraId="4611FDCA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6、计算机1台，配置不低于： Core i5-10400(2.9G/12M/6 核 12 线程)/4G(DDR4 2666)/1T(SATA)/ /Windows 10 64 位企业版/NOFDD/USB KB/USB Optical Mouse /包含九针串口/ThinkVision 24 英寸 IPS 宽屏液晶低蓝光。</w:t>
      </w:r>
    </w:p>
    <w:p w14:paraId="78F7C358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四、技术资料文件</w:t>
      </w:r>
    </w:p>
    <w:p w14:paraId="1CC423C6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1）供方提供设备操作使用说明书、维修手册、设备安装说明书、原理图，其中正本1套，电子版一套。</w:t>
      </w:r>
    </w:p>
    <w:p w14:paraId="2E97A51A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2）分析、控制软件安装光盘（正版1套）。</w:t>
      </w:r>
    </w:p>
    <w:p w14:paraId="47B2941E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3）合同签订后提供设备的预安装场地要求说明书。</w:t>
      </w:r>
    </w:p>
    <w:p w14:paraId="197DF94D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五、技术及售后服务</w:t>
      </w:r>
    </w:p>
    <w:p w14:paraId="0EDD7CE5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1、设备安装及调试</w:t>
      </w:r>
    </w:p>
    <w:p w14:paraId="097DD3E0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1） 合同签订后，投标货物原厂工程师需在客户场地准备完毕后2周内为客户提供场地测试服务，并出具详细的测试报告，对不满足安装要求的场地提出场地改造的建议和指导；</w:t>
      </w:r>
    </w:p>
    <w:p w14:paraId="489A34B2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2） 仪器到达用户所在地后，在接到用户通知后原厂工程师1周内在用户现场执行安装调试直至达到验收指标；</w:t>
      </w:r>
    </w:p>
    <w:p w14:paraId="7F0FC09D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3） 仪器的安装调试应在于15个工作日内完成；</w:t>
      </w:r>
    </w:p>
    <w:p w14:paraId="56973F55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2、技术培训</w:t>
      </w:r>
    </w:p>
    <w:p w14:paraId="6A48C37A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1） 设备安装完毕后，原厂工程师需在用户现场对用户操作人员提供投标货物的操作培训，培训内容包括但不限于设备的基本工作原理、软硬件操作方法、日常维护以及紧急状况应急处理措施；培训直到客户能掌握培训内容为止；</w:t>
      </w:r>
    </w:p>
    <w:p w14:paraId="06C3C10A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2） 投标货物质保期内，投标货物原厂需在和用户协商基础上，提供设备操作的应用提高培训1次，培训时间不少于2个工作日；</w:t>
      </w:r>
    </w:p>
    <w:p w14:paraId="0650648F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3、售后服务</w:t>
      </w:r>
    </w:p>
    <w:p w14:paraId="6D616A63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3.1 由卖方负责设备开箱、安装到买方指定地点、调试以及精度检验，直至设备进入正常工作状态，并符合验收技术条件的指标要求；</w:t>
      </w:r>
    </w:p>
    <w:p w14:paraId="69DDA09A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3.2 在设备运行期间有故障发生时，售后服务方必须保证在24小时内进行反馈；如需工程师上门服务，售后服务工程师在接到用户请求后48小时内必须到场；</w:t>
      </w:r>
    </w:p>
    <w:p w14:paraId="0B570467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3.3 投标货物生产厂家必须设有售后服务中心；</w:t>
      </w:r>
    </w:p>
    <w:p w14:paraId="59E9944F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3.4 </w:t>
      </w:r>
      <w:r>
        <w:rPr>
          <w:rFonts w:hint="eastAsia" w:ascii="宋体" w:hAnsi="宋体"/>
          <w:sz w:val="24"/>
          <w:highlight w:val="none"/>
        </w:rPr>
        <w:t>质保期：</w:t>
      </w:r>
      <w:r>
        <w:rPr>
          <w:rFonts w:hint="eastAsia" w:ascii="宋体" w:hAnsi="宋体"/>
          <w:sz w:val="24"/>
        </w:rPr>
        <w:t>提供1年免费保修，保修期自买方验收签字之日起计算。保修期内除过耗材之外的零部件、配件和人工等均为免费；</w:t>
      </w:r>
    </w:p>
    <w:p w14:paraId="1537750A">
      <w:pPr>
        <w:adjustRightInd w:val="0"/>
        <w:snapToGrid w:val="0"/>
        <w:spacing w:line="360" w:lineRule="auto"/>
        <w:ind w:left="554" w:hanging="554" w:hangingChars="231"/>
        <w:rPr>
          <w:rFonts w:hint="eastAsia" w:ascii="宋体" w:hAnsi="宋体"/>
          <w:sz w:val="24"/>
        </w:rPr>
      </w:pPr>
      <w:r>
        <w:rPr>
          <w:rFonts w:hint="eastAsia" w:ascii="宋体" w:hAnsi="宋体"/>
          <w:sz w:val="24"/>
        </w:rPr>
        <w:t>3.5 质保期外，投标货物制造厂家应保证15年内能够提供设备备件和相关维修服务；如发生故障，需更换零部件，按照成本价收取。</w:t>
      </w:r>
    </w:p>
    <w:p w14:paraId="3FE19DA8"/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03ECCB"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A65DDD">
    <w:pPr>
      <w:pStyle w:val="3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E92AE0">
    <w:pPr>
      <w:pStyle w:val="4"/>
      <w:jc w:val="both"/>
    </w:pPr>
    <w:r>
      <w:rPr>
        <w:rFonts w:hint="eastAsia"/>
        <w:i/>
      </w:rPr>
      <w:t>中国科学院青海盐湖研究所</w:t>
    </w:r>
    <w:r>
      <w:rPr>
        <w:rFonts w:hint="eastAsia"/>
        <w:i/>
        <w:u w:val="single"/>
      </w:rPr>
      <w:t xml:space="preserve"> 同步热分析仪采购项目</w:t>
    </w:r>
    <w:r>
      <w:rPr>
        <w:rFonts w:hint="eastAsia"/>
        <w:i/>
      </w:rPr>
      <w:t>招标文件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YTIzZGUxMzUyYzc4ODFmYzlkNjk5ZTYzODY2NmIifQ=="/>
  </w:docVars>
  <w:rsids>
    <w:rsidRoot w:val="75981516"/>
    <w:rsid w:val="733C39C3"/>
    <w:rsid w:val="7598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3299</Words>
  <Characters>3629</Characters>
  <Lines>0</Lines>
  <Paragraphs>0</Paragraphs>
  <TotalTime>0</TotalTime>
  <ScaleCrop>false</ScaleCrop>
  <LinksUpToDate>false</LinksUpToDate>
  <CharactersWithSpaces>3699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2024-09-05T07:34:00Z</dcterms:created>
  <dc:creator>Robin</dc:creator>
  <cp:lastModifiedBy>清</cp:lastModifiedBy>
  <dcterms:modified xsi:type="dcterms:W3CDTF">2024-09-06T01:46:01Z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30F2B7A01AB7413392371B6C8C585C53_13</vt:lpwstr>
  </property>
</Properties>
</file>