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273C06">
      <w:pPr>
        <w:adjustRightInd w:val="0"/>
        <w:snapToGrid w:val="0"/>
        <w:jc w:val="center"/>
        <w:rPr>
          <w:rFonts w:ascii="宋体" w:hAnsi="宋体"/>
          <w:b/>
          <w:sz w:val="24"/>
        </w:rPr>
      </w:pPr>
      <w:bookmarkStart w:id="0" w:name="_GoBack"/>
      <w:bookmarkEnd w:id="0"/>
    </w:p>
    <w:p w14:paraId="1636A173">
      <w:pPr>
        <w:adjustRightInd w:val="0"/>
        <w:snapToGrid w:val="0"/>
        <w:jc w:val="center"/>
        <w:rPr>
          <w:rFonts w:hint="eastAsia" w:ascii="宋体" w:hAnsi="宋体"/>
          <w:b/>
          <w:sz w:val="24"/>
        </w:rPr>
      </w:pPr>
    </w:p>
    <w:p w14:paraId="48DC8880">
      <w:pPr>
        <w:adjustRightInd w:val="0"/>
        <w:snapToGrid w:val="0"/>
        <w:spacing w:before="936" w:beforeLines="300"/>
        <w:jc w:val="center"/>
        <w:rPr>
          <w:rFonts w:hint="eastAsia" w:ascii="黑体" w:eastAsia="黑体"/>
          <w:b/>
          <w:kern w:val="44"/>
          <w:sz w:val="48"/>
          <w:szCs w:val="20"/>
        </w:rPr>
      </w:pPr>
      <w:r>
        <w:rPr>
          <w:rFonts w:hint="eastAsia" w:ascii="黑体" w:eastAsia="黑体"/>
          <w:b/>
          <w:kern w:val="44"/>
          <w:sz w:val="48"/>
          <w:szCs w:val="20"/>
        </w:rPr>
        <w:t>第八部分  采购需求</w:t>
      </w:r>
      <w:r>
        <w:rPr>
          <w:rFonts w:hint="eastAsia" w:ascii="黑体" w:eastAsia="黑体"/>
          <w:b/>
          <w:kern w:val="44"/>
          <w:sz w:val="48"/>
          <w:szCs w:val="20"/>
        </w:rPr>
        <w:br w:type="page"/>
      </w:r>
    </w:p>
    <w:p w14:paraId="4F6D7A87">
      <w:pPr>
        <w:adjustRightInd w:val="0"/>
        <w:snapToGrid w:val="0"/>
        <w:jc w:val="center"/>
        <w:rPr>
          <w:rFonts w:hint="eastAsia" w:ascii="宋体" w:hAnsi="宋体"/>
          <w:b/>
          <w:sz w:val="30"/>
          <w:szCs w:val="30"/>
        </w:rPr>
      </w:pPr>
      <w:r>
        <w:rPr>
          <w:rFonts w:hint="eastAsia" w:ascii="宋体" w:hAnsi="宋体"/>
          <w:b/>
          <w:sz w:val="30"/>
          <w:szCs w:val="30"/>
        </w:rPr>
        <w:t>一、货物需求一览表</w:t>
      </w:r>
    </w:p>
    <w:p w14:paraId="360279B1">
      <w:pPr>
        <w:adjustRightInd w:val="0"/>
        <w:snapToGrid w:val="0"/>
        <w:jc w:val="center"/>
        <w:rPr>
          <w:rFonts w:hint="eastAsia" w:ascii="宋体" w:hAnsi="宋体"/>
          <w:b/>
          <w:sz w:val="30"/>
          <w:szCs w:val="30"/>
        </w:rPr>
      </w:pPr>
    </w:p>
    <w:tbl>
      <w:tblPr>
        <w:tblStyle w:val="5"/>
        <w:tblW w:w="87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9"/>
        <w:gridCol w:w="1123"/>
        <w:gridCol w:w="2051"/>
        <w:gridCol w:w="2988"/>
      </w:tblGrid>
      <w:tr w14:paraId="1E691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tcBorders>
              <w:top w:val="single" w:color="000000" w:sz="6" w:space="0"/>
              <w:left w:val="single" w:color="000000" w:sz="6" w:space="0"/>
              <w:bottom w:val="single" w:color="000000" w:sz="6" w:space="0"/>
              <w:right w:val="single" w:color="000000" w:sz="6" w:space="0"/>
            </w:tcBorders>
            <w:vAlign w:val="center"/>
          </w:tcPr>
          <w:p w14:paraId="18033D51">
            <w:pPr>
              <w:jc w:val="center"/>
              <w:rPr>
                <w:rFonts w:hint="eastAsia" w:ascii="宋体" w:hAnsi="Bookman Old Style"/>
                <w:sz w:val="24"/>
              </w:rPr>
            </w:pPr>
            <w:r>
              <w:rPr>
                <w:rFonts w:hint="eastAsia" w:ascii="宋体" w:hAnsi="Bookman Old Style"/>
                <w:sz w:val="24"/>
              </w:rPr>
              <w:t>包号</w:t>
            </w:r>
          </w:p>
        </w:tc>
        <w:tc>
          <w:tcPr>
            <w:tcW w:w="1878" w:type="dxa"/>
            <w:tcBorders>
              <w:top w:val="single" w:color="000000" w:sz="6" w:space="0"/>
              <w:left w:val="single" w:color="000000" w:sz="6" w:space="0"/>
              <w:bottom w:val="single" w:color="000000" w:sz="6" w:space="0"/>
              <w:right w:val="single" w:color="000000" w:sz="6" w:space="0"/>
            </w:tcBorders>
            <w:vAlign w:val="center"/>
          </w:tcPr>
          <w:p w14:paraId="4F5400E0">
            <w:pPr>
              <w:jc w:val="center"/>
              <w:rPr>
                <w:rFonts w:hint="eastAsia" w:ascii="宋体" w:hAnsi="Bookman Old Style"/>
                <w:sz w:val="24"/>
              </w:rPr>
            </w:pPr>
            <w:r>
              <w:rPr>
                <w:rFonts w:hint="eastAsia" w:ascii="宋体" w:hAnsi="Bookman Old Style"/>
                <w:sz w:val="24"/>
              </w:rPr>
              <w:t>货物名称</w:t>
            </w:r>
          </w:p>
        </w:tc>
        <w:tc>
          <w:tcPr>
            <w:tcW w:w="1122" w:type="dxa"/>
            <w:tcBorders>
              <w:top w:val="single" w:color="000000" w:sz="6" w:space="0"/>
              <w:left w:val="single" w:color="000000" w:sz="6" w:space="0"/>
              <w:bottom w:val="single" w:color="000000" w:sz="6" w:space="0"/>
              <w:right w:val="single" w:color="000000" w:sz="6" w:space="0"/>
            </w:tcBorders>
            <w:vAlign w:val="center"/>
          </w:tcPr>
          <w:p w14:paraId="64B270E8">
            <w:pPr>
              <w:jc w:val="center"/>
              <w:rPr>
                <w:rFonts w:hint="eastAsia" w:ascii="宋体" w:hAnsi="Bookman Old Style"/>
                <w:sz w:val="24"/>
              </w:rPr>
            </w:pPr>
            <w:r>
              <w:rPr>
                <w:rFonts w:hint="eastAsia" w:ascii="宋体" w:hAnsi="Bookman Old Style"/>
                <w:sz w:val="24"/>
              </w:rPr>
              <w:t>数量</w:t>
            </w:r>
          </w:p>
        </w:tc>
        <w:tc>
          <w:tcPr>
            <w:tcW w:w="2050" w:type="dxa"/>
            <w:tcBorders>
              <w:top w:val="single" w:color="000000" w:sz="6" w:space="0"/>
              <w:left w:val="single" w:color="000000" w:sz="6" w:space="0"/>
              <w:bottom w:val="single" w:color="000000" w:sz="6" w:space="0"/>
              <w:right w:val="single" w:color="000000" w:sz="6" w:space="0"/>
            </w:tcBorders>
            <w:vAlign w:val="center"/>
          </w:tcPr>
          <w:p w14:paraId="2CA264D3">
            <w:pPr>
              <w:jc w:val="center"/>
              <w:rPr>
                <w:rFonts w:hint="eastAsia" w:ascii="宋体" w:hAnsi="Bookman Old Style"/>
                <w:sz w:val="24"/>
              </w:rPr>
            </w:pPr>
            <w:r>
              <w:rPr>
                <w:rFonts w:hint="eastAsia" w:ascii="宋体" w:hAnsi="Bookman Old Style"/>
                <w:sz w:val="24"/>
              </w:rPr>
              <w:t>交货期</w:t>
            </w:r>
          </w:p>
        </w:tc>
        <w:tc>
          <w:tcPr>
            <w:tcW w:w="2987" w:type="dxa"/>
            <w:tcBorders>
              <w:top w:val="single" w:color="000000" w:sz="6" w:space="0"/>
              <w:left w:val="single" w:color="000000" w:sz="6" w:space="0"/>
              <w:bottom w:val="single" w:color="000000" w:sz="6" w:space="0"/>
              <w:right w:val="single" w:color="000000" w:sz="6" w:space="0"/>
            </w:tcBorders>
            <w:vAlign w:val="center"/>
          </w:tcPr>
          <w:p w14:paraId="6D02C5BF">
            <w:pPr>
              <w:jc w:val="center"/>
              <w:rPr>
                <w:rFonts w:hint="eastAsia" w:ascii="宋体" w:hAnsi="Bookman Old Style"/>
                <w:sz w:val="24"/>
                <w:shd w:val="pct10" w:color="auto" w:fill="FFFFFF"/>
              </w:rPr>
            </w:pPr>
            <w:r>
              <w:rPr>
                <w:rFonts w:hint="eastAsia" w:ascii="宋体" w:hAnsi="Bookman Old Style"/>
                <w:sz w:val="24"/>
              </w:rPr>
              <w:t>项目现场（交货地点）</w:t>
            </w:r>
          </w:p>
        </w:tc>
      </w:tr>
      <w:tr w14:paraId="776CB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tcBorders>
              <w:top w:val="single" w:color="000000" w:sz="6" w:space="0"/>
              <w:left w:val="single" w:color="000000" w:sz="6" w:space="0"/>
              <w:bottom w:val="single" w:color="000000" w:sz="6" w:space="0"/>
              <w:right w:val="single" w:color="000000" w:sz="6" w:space="0"/>
            </w:tcBorders>
            <w:vAlign w:val="center"/>
          </w:tcPr>
          <w:p w14:paraId="4140E7A5">
            <w:pPr>
              <w:jc w:val="center"/>
              <w:rPr>
                <w:rFonts w:hint="eastAsia" w:ascii="宋体"/>
                <w:sz w:val="24"/>
              </w:rPr>
            </w:pPr>
            <w:r>
              <w:rPr>
                <w:rFonts w:hint="eastAsia" w:ascii="宋体"/>
                <w:sz w:val="24"/>
              </w:rPr>
              <w:t>1</w:t>
            </w:r>
          </w:p>
        </w:tc>
        <w:tc>
          <w:tcPr>
            <w:tcW w:w="1878" w:type="dxa"/>
            <w:tcBorders>
              <w:top w:val="single" w:color="000000" w:sz="6" w:space="0"/>
              <w:left w:val="single" w:color="000000" w:sz="6" w:space="0"/>
              <w:bottom w:val="single" w:color="000000" w:sz="6" w:space="0"/>
              <w:right w:val="single" w:color="000000" w:sz="6" w:space="0"/>
            </w:tcBorders>
            <w:vAlign w:val="center"/>
          </w:tcPr>
          <w:p w14:paraId="720377CF">
            <w:pPr>
              <w:jc w:val="center"/>
              <w:rPr>
                <w:rFonts w:hint="eastAsia" w:ascii="Bookman Old Style" w:hAnsi="Bookman Old Style"/>
                <w:sz w:val="24"/>
              </w:rPr>
            </w:pPr>
            <w:r>
              <w:rPr>
                <w:rFonts w:hint="eastAsia" w:ascii="宋体" w:hAnsi="宋体" w:cs="宋体"/>
                <w:kern w:val="0"/>
                <w:sz w:val="24"/>
              </w:rPr>
              <w:t>旋转高温粘度计</w:t>
            </w:r>
          </w:p>
        </w:tc>
        <w:tc>
          <w:tcPr>
            <w:tcW w:w="1122" w:type="dxa"/>
            <w:tcBorders>
              <w:top w:val="single" w:color="000000" w:sz="6" w:space="0"/>
              <w:left w:val="single" w:color="000000" w:sz="6" w:space="0"/>
              <w:bottom w:val="single" w:color="000000" w:sz="6" w:space="0"/>
              <w:right w:val="single" w:color="000000" w:sz="6" w:space="0"/>
            </w:tcBorders>
            <w:vAlign w:val="center"/>
          </w:tcPr>
          <w:p w14:paraId="0A183C5C">
            <w:pPr>
              <w:jc w:val="center"/>
              <w:rPr>
                <w:rFonts w:ascii="宋体" w:hAnsi="Bookman Old Style"/>
                <w:sz w:val="24"/>
              </w:rPr>
            </w:pPr>
            <w:r>
              <w:rPr>
                <w:rFonts w:hint="eastAsia" w:ascii="宋体" w:hAnsi="宋体"/>
                <w:sz w:val="24"/>
              </w:rPr>
              <w:t>1套</w:t>
            </w:r>
          </w:p>
        </w:tc>
        <w:tc>
          <w:tcPr>
            <w:tcW w:w="5037" w:type="dxa"/>
            <w:gridSpan w:val="2"/>
            <w:tcBorders>
              <w:top w:val="single" w:color="000000" w:sz="6" w:space="0"/>
              <w:left w:val="single" w:color="000000" w:sz="6" w:space="0"/>
              <w:bottom w:val="single" w:color="000000" w:sz="6" w:space="0"/>
              <w:right w:val="single" w:color="000000" w:sz="6" w:space="0"/>
            </w:tcBorders>
            <w:vAlign w:val="center"/>
          </w:tcPr>
          <w:p w14:paraId="5ED04826">
            <w:pPr>
              <w:jc w:val="center"/>
              <w:rPr>
                <w:rFonts w:hint="eastAsia" w:ascii="宋体" w:hAnsi="Bookman Old Style"/>
                <w:sz w:val="24"/>
              </w:rPr>
            </w:pPr>
            <w:r>
              <w:rPr>
                <w:rFonts w:hint="eastAsia" w:ascii="宋体" w:hAnsi="Bookman Old Style"/>
                <w:sz w:val="24"/>
              </w:rPr>
              <w:t>详见具体技术规格</w:t>
            </w:r>
          </w:p>
        </w:tc>
      </w:tr>
    </w:tbl>
    <w:p w14:paraId="2009748E">
      <w:pPr>
        <w:adjustRightInd w:val="0"/>
        <w:snapToGrid w:val="0"/>
        <w:jc w:val="center"/>
        <w:rPr>
          <w:rFonts w:hint="eastAsia" w:ascii="宋体" w:hAnsi="宋体"/>
          <w:b/>
          <w:sz w:val="30"/>
          <w:szCs w:val="30"/>
        </w:rPr>
      </w:pPr>
    </w:p>
    <w:p w14:paraId="25C93624">
      <w:pPr>
        <w:adjustRightInd w:val="0"/>
        <w:snapToGrid w:val="0"/>
        <w:jc w:val="center"/>
        <w:rPr>
          <w:rFonts w:hint="eastAsia" w:ascii="宋体" w:hAnsi="宋体"/>
          <w:b/>
          <w:sz w:val="30"/>
          <w:szCs w:val="30"/>
        </w:rPr>
      </w:pPr>
    </w:p>
    <w:p w14:paraId="332ED2A7">
      <w:pPr>
        <w:adjustRightInd w:val="0"/>
        <w:snapToGrid w:val="0"/>
        <w:jc w:val="center"/>
        <w:rPr>
          <w:rFonts w:hint="eastAsia" w:ascii="宋体" w:hAnsi="宋体"/>
          <w:b/>
          <w:sz w:val="30"/>
          <w:szCs w:val="30"/>
        </w:rPr>
      </w:pPr>
    </w:p>
    <w:p w14:paraId="265426C3">
      <w:pPr>
        <w:rPr>
          <w:rFonts w:hint="eastAsia"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055FD55E">
      <w:pPr>
        <w:adjustRightInd w:val="0"/>
        <w:snapToGrid w:val="0"/>
        <w:rPr>
          <w:rFonts w:ascii="宋体" w:hAnsi="宋体"/>
          <w:szCs w:val="21"/>
        </w:rPr>
      </w:pPr>
    </w:p>
    <w:p w14:paraId="48893869">
      <w:pPr>
        <w:adjustRightInd w:val="0"/>
        <w:snapToGrid w:val="0"/>
        <w:rPr>
          <w:rFonts w:hint="eastAsia" w:ascii="宋体" w:hAnsi="宋体"/>
          <w:szCs w:val="21"/>
        </w:rPr>
      </w:pPr>
    </w:p>
    <w:p w14:paraId="5345F600">
      <w:pPr>
        <w:adjustRightInd w:val="0"/>
        <w:snapToGrid w:val="0"/>
        <w:rPr>
          <w:rFonts w:hint="eastAsia" w:ascii="宋体" w:hAnsi="宋体"/>
          <w:szCs w:val="21"/>
        </w:rPr>
      </w:pPr>
    </w:p>
    <w:p w14:paraId="3DFB4062">
      <w:pPr>
        <w:adjustRightInd w:val="0"/>
        <w:snapToGrid w:val="0"/>
        <w:rPr>
          <w:rFonts w:hint="eastAsia" w:ascii="宋体" w:hAnsi="宋体"/>
          <w:szCs w:val="21"/>
        </w:rPr>
      </w:pPr>
    </w:p>
    <w:p w14:paraId="6AE1B608">
      <w:pPr>
        <w:adjustRightInd w:val="0"/>
        <w:snapToGrid w:val="0"/>
        <w:rPr>
          <w:rFonts w:hint="eastAsia" w:ascii="宋体" w:hAnsi="宋体"/>
          <w:szCs w:val="21"/>
        </w:rPr>
      </w:pPr>
    </w:p>
    <w:p w14:paraId="70114737">
      <w:pPr>
        <w:adjustRightInd w:val="0"/>
        <w:snapToGrid w:val="0"/>
        <w:rPr>
          <w:rFonts w:hint="eastAsia" w:ascii="宋体" w:hAnsi="宋体"/>
          <w:szCs w:val="21"/>
        </w:rPr>
      </w:pPr>
    </w:p>
    <w:p w14:paraId="61E601FD">
      <w:pPr>
        <w:adjustRightInd w:val="0"/>
        <w:snapToGrid w:val="0"/>
        <w:rPr>
          <w:rFonts w:hint="eastAsia" w:ascii="宋体" w:hAnsi="宋体"/>
          <w:szCs w:val="21"/>
        </w:rPr>
      </w:pPr>
    </w:p>
    <w:p w14:paraId="4FE72E3C">
      <w:pPr>
        <w:adjustRightInd w:val="0"/>
        <w:snapToGrid w:val="0"/>
        <w:rPr>
          <w:rFonts w:hint="eastAsia" w:ascii="宋体" w:hAnsi="宋体"/>
          <w:szCs w:val="21"/>
        </w:rPr>
      </w:pPr>
    </w:p>
    <w:p w14:paraId="72E5A024">
      <w:pPr>
        <w:adjustRightInd w:val="0"/>
        <w:snapToGrid w:val="0"/>
        <w:rPr>
          <w:rFonts w:hint="eastAsia" w:ascii="宋体" w:hAnsi="宋体"/>
          <w:szCs w:val="21"/>
        </w:rPr>
      </w:pPr>
    </w:p>
    <w:p w14:paraId="6E3D77F1">
      <w:pPr>
        <w:adjustRightInd w:val="0"/>
        <w:snapToGrid w:val="0"/>
        <w:rPr>
          <w:rFonts w:hint="eastAsia" w:ascii="宋体" w:hAnsi="宋体"/>
          <w:szCs w:val="21"/>
        </w:rPr>
      </w:pPr>
    </w:p>
    <w:p w14:paraId="472F43EC">
      <w:pPr>
        <w:adjustRightInd w:val="0"/>
        <w:snapToGrid w:val="0"/>
        <w:rPr>
          <w:rFonts w:hint="eastAsia" w:ascii="宋体" w:hAnsi="宋体"/>
          <w:szCs w:val="21"/>
        </w:rPr>
      </w:pPr>
    </w:p>
    <w:p w14:paraId="7B4D99CF">
      <w:pPr>
        <w:adjustRightInd w:val="0"/>
        <w:snapToGrid w:val="0"/>
        <w:rPr>
          <w:rFonts w:hint="eastAsia" w:ascii="宋体" w:hAnsi="宋体"/>
          <w:szCs w:val="21"/>
        </w:rPr>
      </w:pPr>
    </w:p>
    <w:p w14:paraId="6B129BAC">
      <w:pPr>
        <w:tabs>
          <w:tab w:val="left" w:pos="720"/>
        </w:tabs>
        <w:adjustRightInd w:val="0"/>
        <w:snapToGrid w:val="0"/>
        <w:jc w:val="center"/>
        <w:rPr>
          <w:rFonts w:hint="eastAsia" w:ascii="宋体" w:hAnsi="宋体"/>
          <w:b/>
          <w:sz w:val="30"/>
          <w:szCs w:val="30"/>
        </w:rPr>
      </w:pPr>
      <w:r>
        <w:rPr>
          <w:rFonts w:hint="eastAsia" w:ascii="宋体" w:hAnsi="宋体"/>
          <w:b/>
          <w:sz w:val="30"/>
          <w:szCs w:val="30"/>
        </w:rPr>
        <w:br w:type="page"/>
      </w:r>
      <w:r>
        <w:rPr>
          <w:rFonts w:hint="eastAsia" w:ascii="宋体" w:hAnsi="宋体"/>
          <w:b/>
          <w:sz w:val="30"/>
          <w:szCs w:val="30"/>
        </w:rPr>
        <w:t>二、总则</w:t>
      </w:r>
    </w:p>
    <w:p w14:paraId="43EB10E4">
      <w:pPr>
        <w:spacing w:before="156" w:beforeLines="50" w:after="156" w:afterLines="50" w:line="360" w:lineRule="auto"/>
        <w:ind w:left="601" w:hanging="601"/>
        <w:rPr>
          <w:rFonts w:hint="eastAsia" w:ascii="宋体" w:hAnsi="宋体"/>
          <w:b/>
          <w:sz w:val="28"/>
        </w:rPr>
      </w:pPr>
      <w:r>
        <w:rPr>
          <w:rFonts w:hint="eastAsia" w:ascii="宋体" w:hAnsi="宋体"/>
          <w:b/>
          <w:sz w:val="28"/>
        </w:rPr>
        <w:t>1、投标要求</w:t>
      </w:r>
    </w:p>
    <w:p w14:paraId="2BF3DAF6">
      <w:pPr>
        <w:spacing w:line="360" w:lineRule="auto"/>
        <w:ind w:left="554" w:hanging="554" w:hangingChars="231"/>
        <w:rPr>
          <w:rFonts w:hint="eastAsia" w:ascii="宋体" w:hAnsi="宋体"/>
          <w:sz w:val="24"/>
        </w:rPr>
      </w:pPr>
      <w:r>
        <w:rPr>
          <w:rFonts w:hint="eastAsia" w:ascii="宋体" w:hAnsi="宋体"/>
          <w:sz w:val="24"/>
        </w:rPr>
        <w:t>1.1  投标人在准备投标书时，务必在所提供的商品的技术规格文件中，标明型号、商标名称、目录号。</w:t>
      </w:r>
    </w:p>
    <w:p w14:paraId="4523EAEE">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DF884F4">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12114BFA">
      <w:pPr>
        <w:spacing w:line="360" w:lineRule="auto"/>
        <w:ind w:left="554" w:hanging="554" w:hangingChars="231"/>
        <w:rPr>
          <w:rFonts w:hint="eastAsia"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C9C664D">
      <w:pPr>
        <w:spacing w:before="156" w:beforeLines="50" w:after="156" w:afterLines="50" w:line="360" w:lineRule="auto"/>
        <w:ind w:left="601" w:hanging="601"/>
        <w:rPr>
          <w:rFonts w:hint="eastAsia" w:ascii="宋体" w:hAnsi="宋体"/>
          <w:b/>
          <w:sz w:val="28"/>
        </w:rPr>
      </w:pPr>
      <w:r>
        <w:rPr>
          <w:rFonts w:hint="eastAsia" w:ascii="宋体" w:hAnsi="宋体"/>
          <w:b/>
          <w:sz w:val="28"/>
        </w:rPr>
        <w:t>2、评标标准</w:t>
      </w:r>
    </w:p>
    <w:p w14:paraId="570D5F74">
      <w:pPr>
        <w:spacing w:line="360" w:lineRule="auto"/>
        <w:ind w:left="554" w:hanging="554" w:hangingChars="231"/>
        <w:rPr>
          <w:rFonts w:hint="eastAsia" w:ascii="宋体"/>
          <w:sz w:val="24"/>
        </w:rPr>
      </w:pPr>
      <w:r>
        <w:rPr>
          <w:rFonts w:hint="eastAsia" w:ascii="宋体" w:hAnsi="宋体"/>
          <w:sz w:val="24"/>
        </w:rPr>
        <w:t xml:space="preserve">2.1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3713C9EC">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0D3621FA">
      <w:pPr>
        <w:spacing w:line="360" w:lineRule="auto"/>
        <w:ind w:left="554" w:hanging="554" w:hangingChars="231"/>
        <w:rPr>
          <w:rFonts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70C232FB">
      <w:pPr>
        <w:spacing w:line="360" w:lineRule="auto"/>
        <w:ind w:left="554" w:hanging="554" w:hangingChars="231"/>
        <w:rPr>
          <w:rFonts w:hint="eastAsia" w:ascii="宋体" w:hAnsi="宋体"/>
          <w:sz w:val="24"/>
        </w:rPr>
      </w:pPr>
      <w:r>
        <w:rPr>
          <w:rFonts w:hint="eastAsia" w:ascii="宋体" w:hAnsi="宋体"/>
          <w:sz w:val="24"/>
        </w:rPr>
        <w:t>2.4  关于设备的安装调试，如果有必要的安装准备条件，卖方应在合同生效后一个月内向买方提出详细的要求或计划。安装调试的费用应计入投标价中，并应单独列出，供评标使用。</w:t>
      </w:r>
    </w:p>
    <w:p w14:paraId="652ACC1B">
      <w:pPr>
        <w:spacing w:line="360" w:lineRule="auto"/>
        <w:ind w:left="554" w:hanging="554" w:hangingChars="231"/>
        <w:rPr>
          <w:rFonts w:hint="eastAsia" w:ascii="宋体" w:hAnsi="宋体"/>
          <w:sz w:val="24"/>
        </w:rPr>
      </w:pPr>
      <w:r>
        <w:rPr>
          <w:rFonts w:hint="eastAsia" w:ascii="宋体" w:hAnsi="宋体"/>
          <w:sz w:val="24"/>
        </w:rPr>
        <w:t>2.5  制造厂家提供的培训指的是涉及货物的基本原理、操作使用和保养维修等有关内容的培训。培训教员的培训费、旅费、食宿费等费用和培训场地费及培训资料费均应由卖方支付。</w:t>
      </w:r>
    </w:p>
    <w:p w14:paraId="35E50AA4">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14:paraId="2ED5FF75">
      <w:pPr>
        <w:spacing w:after="312" w:afterLines="100" w:line="360" w:lineRule="auto"/>
        <w:rPr>
          <w:rFonts w:hint="eastAsia" w:ascii="宋体" w:hAnsi="宋体"/>
          <w:sz w:val="24"/>
        </w:rPr>
      </w:pPr>
      <w:r>
        <w:rPr>
          <w:rFonts w:hint="eastAsia" w:ascii="宋体" w:hAnsi="宋体"/>
          <w:sz w:val="24"/>
        </w:rPr>
        <w:t xml:space="preserve">除非在技术规格中另有说明，所有仪器、设备和系统都应符合下列要求： </w:t>
      </w:r>
    </w:p>
    <w:p w14:paraId="62B60916">
      <w:pPr>
        <w:spacing w:line="360" w:lineRule="auto"/>
        <w:ind w:left="554" w:hanging="554" w:hangingChars="231"/>
        <w:rPr>
          <w:rFonts w:hint="eastAsia" w:ascii="宋体" w:hAnsi="宋体"/>
          <w:sz w:val="24"/>
        </w:rPr>
      </w:pPr>
      <w:r>
        <w:rPr>
          <w:rFonts w:hint="eastAsia" w:ascii="宋体" w:hAnsi="宋体"/>
          <w:sz w:val="24"/>
        </w:rPr>
        <w:t>3.1  适于在气温为摄氏</w:t>
      </w:r>
      <w:r>
        <w:rPr>
          <w:rFonts w:hint="eastAsia" w:ascii="宋体" w:hAnsi="宋体"/>
          <w:b/>
          <w:sz w:val="24"/>
        </w:rPr>
        <w:t>-40℃～＋50℃</w:t>
      </w:r>
      <w:r>
        <w:rPr>
          <w:rFonts w:hint="eastAsia" w:ascii="宋体" w:hAnsi="宋体"/>
          <w:sz w:val="24"/>
        </w:rPr>
        <w:t>和相对湿度为</w:t>
      </w:r>
      <w:r>
        <w:rPr>
          <w:rFonts w:hint="eastAsia" w:ascii="宋体" w:hAnsi="宋体"/>
          <w:b/>
          <w:sz w:val="24"/>
        </w:rPr>
        <w:t>90％</w:t>
      </w:r>
      <w:r>
        <w:rPr>
          <w:rFonts w:hint="eastAsia" w:ascii="宋体" w:hAnsi="宋体"/>
          <w:sz w:val="24"/>
        </w:rPr>
        <w:t>的环境条件下运输和贮存。</w:t>
      </w:r>
    </w:p>
    <w:p w14:paraId="7C878C2C">
      <w:pPr>
        <w:spacing w:line="360" w:lineRule="auto"/>
        <w:ind w:left="554" w:hanging="554" w:hangingChars="231"/>
        <w:rPr>
          <w:rFonts w:hint="eastAsia" w:ascii="宋体" w:hAnsi="宋体"/>
          <w:sz w:val="24"/>
        </w:rPr>
      </w:pPr>
      <w:r>
        <w:rPr>
          <w:rFonts w:hint="eastAsia" w:ascii="宋体" w:hAnsi="宋体"/>
          <w:sz w:val="24"/>
        </w:rPr>
        <w:t>3.2  适于在电源</w:t>
      </w:r>
      <w:r>
        <w:rPr>
          <w:rFonts w:hint="eastAsia" w:ascii="宋体" w:hAnsi="宋体"/>
          <w:b/>
          <w:sz w:val="24"/>
        </w:rPr>
        <w:t>220V（</w:t>
      </w:r>
      <w:r>
        <w:rPr>
          <w:rFonts w:ascii="宋体" w:hAnsi="宋体"/>
          <w:b/>
          <w:sz w:val="24"/>
        </w:rPr>
        <w:sym w:font="Symbol" w:char="F0B1"/>
      </w:r>
      <w:r>
        <w:rPr>
          <w:rFonts w:hint="eastAsia" w:ascii="宋体" w:hAnsi="宋体"/>
          <w:b/>
          <w:sz w:val="24"/>
        </w:rPr>
        <w:t>10％）/50Hz</w:t>
      </w:r>
      <w:r>
        <w:rPr>
          <w:rFonts w:hint="eastAsia" w:ascii="宋体" w:hAnsi="宋体"/>
          <w:sz w:val="24"/>
        </w:rPr>
        <w:t>、气温摄氏</w:t>
      </w:r>
      <w:r>
        <w:rPr>
          <w:rFonts w:hint="eastAsia" w:ascii="宋体" w:hAnsi="宋体"/>
          <w:b/>
          <w:sz w:val="24"/>
        </w:rPr>
        <w:t>+15℃～＋30℃</w:t>
      </w:r>
      <w:r>
        <w:rPr>
          <w:rFonts w:hint="eastAsia" w:ascii="宋体" w:hAnsi="宋体"/>
          <w:sz w:val="24"/>
        </w:rPr>
        <w:t>和相对湿度小于</w:t>
      </w:r>
      <w:r>
        <w:rPr>
          <w:rFonts w:hint="eastAsia" w:ascii="宋体" w:hAnsi="宋体"/>
          <w:b/>
          <w:sz w:val="24"/>
        </w:rPr>
        <w:t>80％</w:t>
      </w:r>
      <w:r>
        <w:rPr>
          <w:rFonts w:hint="eastAsia" w:ascii="宋体" w:hAnsi="宋体"/>
          <w:sz w:val="24"/>
        </w:rPr>
        <w:t>的环境条件下运行。</w:t>
      </w:r>
      <w:r>
        <w:rPr>
          <w:rFonts w:hint="eastAsia" w:ascii="宋体" w:hAnsi="宋体"/>
          <w:b/>
          <w:sz w:val="24"/>
        </w:rPr>
        <w:t>能够连续正常工作。</w:t>
      </w:r>
    </w:p>
    <w:p w14:paraId="7719657F">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2457C089">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558203F0">
      <w:pPr>
        <w:rPr>
          <w:rFonts w:hint="eastAsia" w:eastAsia="黑体"/>
          <w:b/>
          <w:bCs/>
          <w:kern w:val="44"/>
          <w:sz w:val="24"/>
        </w:rPr>
      </w:pPr>
    </w:p>
    <w:p w14:paraId="77DDE28E">
      <w:pPr>
        <w:spacing w:before="156" w:beforeLines="50" w:after="156" w:afterLines="50" w:line="360" w:lineRule="auto"/>
        <w:ind w:left="601" w:hanging="601"/>
        <w:rPr>
          <w:rFonts w:ascii="宋体" w:hAnsi="宋体"/>
          <w:b/>
          <w:sz w:val="28"/>
        </w:rPr>
      </w:pPr>
      <w:r>
        <w:rPr>
          <w:rFonts w:hint="eastAsia" w:ascii="宋体" w:hAnsi="宋体"/>
          <w:b/>
          <w:sz w:val="28"/>
        </w:rPr>
        <w:t>4、验收标准</w:t>
      </w:r>
    </w:p>
    <w:p w14:paraId="16494FA9">
      <w:pPr>
        <w:spacing w:after="312" w:afterLines="100" w:line="360" w:lineRule="auto"/>
        <w:rPr>
          <w:rFonts w:hint="eastAsia" w:ascii="宋体" w:hAnsi="宋体"/>
          <w:sz w:val="24"/>
        </w:rPr>
      </w:pPr>
      <w:r>
        <w:rPr>
          <w:rFonts w:hint="eastAsia" w:ascii="宋体" w:hAnsi="宋体"/>
          <w:sz w:val="24"/>
        </w:rPr>
        <w:t xml:space="preserve">除非在技术规格中另有说明，所有仪器、设备和系统按下列要求进行验收： </w:t>
      </w:r>
    </w:p>
    <w:p w14:paraId="1581B36E">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 如卖方届时不派人来, 则验收结果应以买方的验收报告为最终验收结果。验收时发现短缺、破损, 买方有权要求卖方负责更换。</w:t>
      </w:r>
    </w:p>
    <w:p w14:paraId="2BCD3CCF">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7BA28D5D">
      <w:pPr>
        <w:spacing w:line="360" w:lineRule="auto"/>
        <w:ind w:left="554" w:hanging="554" w:hangingChars="231"/>
        <w:rPr>
          <w:rFonts w:hint="eastAsia" w:ascii="宋体" w:hAnsi="宋体"/>
          <w:sz w:val="24"/>
        </w:rPr>
      </w:pPr>
      <w:r>
        <w:rPr>
          <w:rFonts w:hint="eastAsia" w:ascii="宋体" w:hAnsi="宋体"/>
          <w:sz w:val="24"/>
        </w:rPr>
        <w:t>4.3  验收由采购人、中标人及相关人员依国家有关标准、合同及有关附件要求进行，验收完毕由采购人及中标人在验收报告上签名。</w:t>
      </w:r>
    </w:p>
    <w:p w14:paraId="26162385">
      <w:pPr>
        <w:pStyle w:val="2"/>
        <w:spacing w:line="360" w:lineRule="auto"/>
        <w:ind w:left="410" w:hanging="410" w:hangingChars="170"/>
        <w:rPr>
          <w:rFonts w:hint="eastAsia" w:hAnsi="宋体"/>
          <w:b/>
          <w:sz w:val="24"/>
          <w:szCs w:val="24"/>
        </w:rPr>
      </w:pPr>
    </w:p>
    <w:p w14:paraId="3A5D6D2C">
      <w:pPr>
        <w:pStyle w:val="2"/>
        <w:spacing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14:paraId="2D32123E">
      <w:pPr>
        <w:pStyle w:val="2"/>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14:paraId="74F2A585">
      <w:pPr>
        <w:spacing w:after="156" w:afterLines="50"/>
        <w:ind w:left="601" w:hanging="601"/>
        <w:rPr>
          <w:rFonts w:hint="eastAsia" w:ascii="宋体" w:hAnsi="宋体"/>
          <w:b/>
          <w:sz w:val="28"/>
        </w:rPr>
      </w:pPr>
      <w:r>
        <w:rPr>
          <w:rFonts w:hint="eastAsia" w:ascii="宋体" w:hAnsi="宋体"/>
          <w:b/>
          <w:sz w:val="28"/>
        </w:rPr>
        <w:t>三、具体技术规格</w:t>
      </w:r>
    </w:p>
    <w:p w14:paraId="1BC4C6B8">
      <w:pPr>
        <w:rPr>
          <w:rFonts w:hint="eastAsia"/>
          <w:sz w:val="24"/>
        </w:rPr>
      </w:pPr>
    </w:p>
    <w:p w14:paraId="67084DCB">
      <w:pPr>
        <w:jc w:val="center"/>
        <w:rPr>
          <w:b/>
          <w:color w:val="000000"/>
          <w:sz w:val="24"/>
        </w:rPr>
      </w:pPr>
      <w:r>
        <w:rPr>
          <w:rFonts w:hint="eastAsia"/>
          <w:b/>
          <w:color w:val="000000"/>
          <w:sz w:val="24"/>
        </w:rPr>
        <w:t>第</w:t>
      </w:r>
      <w:r>
        <w:rPr>
          <w:b/>
          <w:color w:val="000000"/>
          <w:sz w:val="24"/>
        </w:rPr>
        <w:t>1</w:t>
      </w:r>
      <w:r>
        <w:rPr>
          <w:rFonts w:hint="eastAsia"/>
          <w:b/>
          <w:color w:val="000000"/>
          <w:sz w:val="24"/>
        </w:rPr>
        <w:t>包</w:t>
      </w:r>
      <w:r>
        <w:rPr>
          <w:b/>
          <w:color w:val="000000"/>
          <w:sz w:val="24"/>
        </w:rPr>
        <w:t xml:space="preserve"> </w:t>
      </w:r>
      <w:r>
        <w:rPr>
          <w:rFonts w:hint="eastAsia" w:ascii="宋体" w:hAnsi="宋体" w:cs="宋体"/>
          <w:b/>
          <w:bCs/>
          <w:color w:val="000000"/>
          <w:kern w:val="0"/>
          <w:sz w:val="24"/>
        </w:rPr>
        <w:t>旋转高温粘度计</w:t>
      </w:r>
    </w:p>
    <w:p w14:paraId="449D537D">
      <w:pPr>
        <w:rPr>
          <w:b/>
          <w:sz w:val="24"/>
        </w:rPr>
      </w:pPr>
    </w:p>
    <w:p w14:paraId="6298CE15">
      <w:pPr>
        <w:rPr>
          <w:b/>
          <w:sz w:val="24"/>
        </w:rPr>
      </w:pPr>
    </w:p>
    <w:p w14:paraId="1B26D625">
      <w:pPr>
        <w:numPr>
          <w:ilvl w:val="0"/>
          <w:numId w:val="1"/>
        </w:numPr>
        <w:rPr>
          <w:b/>
          <w:sz w:val="24"/>
        </w:rPr>
      </w:pPr>
      <w:r>
        <w:rPr>
          <w:rFonts w:hint="eastAsia"/>
          <w:b/>
          <w:sz w:val="24"/>
        </w:rPr>
        <w:t>技术要求：</w:t>
      </w:r>
    </w:p>
    <w:p w14:paraId="3BF20D1A">
      <w:pPr>
        <w:rPr>
          <w:b/>
          <w:sz w:val="24"/>
        </w:rPr>
      </w:pPr>
    </w:p>
    <w:p w14:paraId="4FED791C">
      <w:pPr>
        <w:numPr>
          <w:ilvl w:val="0"/>
          <w:numId w:val="2"/>
        </w:numPr>
        <w:spacing w:line="360" w:lineRule="auto"/>
        <w:rPr>
          <w:b/>
          <w:sz w:val="24"/>
        </w:rPr>
      </w:pPr>
      <w:r>
        <w:rPr>
          <w:rFonts w:hint="eastAsia"/>
          <w:b/>
          <w:sz w:val="24"/>
        </w:rPr>
        <w:t>工作条件：</w:t>
      </w:r>
    </w:p>
    <w:p w14:paraId="644BF8C4">
      <w:pPr>
        <w:spacing w:line="360" w:lineRule="auto"/>
        <w:rPr>
          <w:sz w:val="24"/>
        </w:rPr>
      </w:pPr>
      <w:r>
        <w:rPr>
          <w:sz w:val="24"/>
        </w:rPr>
        <w:t xml:space="preserve">1.1 </w:t>
      </w:r>
      <w:r>
        <w:rPr>
          <w:rFonts w:hint="eastAsia"/>
          <w:sz w:val="24"/>
        </w:rPr>
        <w:t>电源：</w:t>
      </w:r>
      <w:r>
        <w:rPr>
          <w:sz w:val="24"/>
        </w:rPr>
        <w:t>220 VAC</w:t>
      </w:r>
      <w:r>
        <w:rPr>
          <w:rFonts w:hint="eastAsia"/>
          <w:sz w:val="24"/>
        </w:rPr>
        <w:t>，</w:t>
      </w:r>
      <w:r>
        <w:rPr>
          <w:sz w:val="24"/>
        </w:rPr>
        <w:t>50 Hz</w:t>
      </w:r>
      <w:r>
        <w:rPr>
          <w:rFonts w:hint="eastAsia"/>
          <w:sz w:val="24"/>
        </w:rPr>
        <w:t>，</w:t>
      </w:r>
      <w:r>
        <w:rPr>
          <w:sz w:val="24"/>
        </w:rPr>
        <w:t>3.2 kW</w:t>
      </w:r>
    </w:p>
    <w:p w14:paraId="51936FFD">
      <w:pPr>
        <w:spacing w:line="360" w:lineRule="auto"/>
        <w:rPr>
          <w:sz w:val="24"/>
        </w:rPr>
      </w:pPr>
    </w:p>
    <w:p w14:paraId="203C0F42">
      <w:pPr>
        <w:numPr>
          <w:ilvl w:val="0"/>
          <w:numId w:val="2"/>
        </w:numPr>
        <w:spacing w:line="360" w:lineRule="auto"/>
        <w:rPr>
          <w:b/>
          <w:sz w:val="24"/>
        </w:rPr>
      </w:pPr>
      <w:r>
        <w:rPr>
          <w:rFonts w:hint="eastAsia"/>
          <w:b/>
          <w:sz w:val="24"/>
        </w:rPr>
        <w:t>设备用途：</w:t>
      </w:r>
    </w:p>
    <w:p w14:paraId="3B22225B">
      <w:pPr>
        <w:spacing w:line="360" w:lineRule="auto"/>
        <w:rPr>
          <w:sz w:val="24"/>
        </w:rPr>
      </w:pPr>
      <w:r>
        <w:rPr>
          <w:sz w:val="24"/>
        </w:rPr>
        <w:t xml:space="preserve">2.1 </w:t>
      </w:r>
      <w:r>
        <w:rPr>
          <w:rFonts w:hint="eastAsia"/>
          <w:sz w:val="24"/>
        </w:rPr>
        <w:t>用于岩石、玻璃、煤灰、陶瓷等高温熔体（温度</w:t>
      </w:r>
      <w:r>
        <w:rPr>
          <w:sz w:val="24"/>
        </w:rPr>
        <w:t xml:space="preserve">~1700 </w:t>
      </w:r>
      <w:r>
        <w:rPr>
          <w:sz w:val="24"/>
          <w:vertAlign w:val="superscript"/>
        </w:rPr>
        <w:t>o</w:t>
      </w:r>
      <w:r>
        <w:rPr>
          <w:sz w:val="24"/>
        </w:rPr>
        <w:t>C</w:t>
      </w:r>
      <w:r>
        <w:rPr>
          <w:rFonts w:hint="eastAsia"/>
          <w:sz w:val="24"/>
        </w:rPr>
        <w:t>）的粘度及张力测定。采用高温熔炉将待测样品熔化，然后在高温状态下通过浸入被测熔融液中的转子持续旋转形成的扭矩来测量粘度值，扭矩与浸入样品中的转子被粘性拖拉形成的阻力成比例，因而与粘度也成比例，从而为材料的制备及成型提供参数。</w:t>
      </w:r>
    </w:p>
    <w:p w14:paraId="278CCC8F">
      <w:pPr>
        <w:spacing w:line="360" w:lineRule="auto"/>
        <w:rPr>
          <w:sz w:val="24"/>
        </w:rPr>
      </w:pPr>
    </w:p>
    <w:p w14:paraId="5F905912">
      <w:pPr>
        <w:numPr>
          <w:ilvl w:val="0"/>
          <w:numId w:val="2"/>
        </w:numPr>
        <w:spacing w:line="360" w:lineRule="auto"/>
        <w:rPr>
          <w:b/>
          <w:sz w:val="24"/>
        </w:rPr>
      </w:pPr>
      <w:r>
        <w:rPr>
          <w:rFonts w:hint="eastAsia"/>
          <w:b/>
          <w:sz w:val="24"/>
        </w:rPr>
        <w:t>技术规格：</w:t>
      </w:r>
    </w:p>
    <w:p w14:paraId="3FB6008C">
      <w:pPr>
        <w:spacing w:line="360" w:lineRule="auto"/>
        <w:rPr>
          <w:bCs/>
          <w:sz w:val="24"/>
        </w:rPr>
      </w:pPr>
      <w:r>
        <w:rPr>
          <w:bCs/>
          <w:sz w:val="24"/>
        </w:rPr>
        <w:t xml:space="preserve">*3.1 </w:t>
      </w:r>
      <w:r>
        <w:rPr>
          <w:rFonts w:hint="eastAsia"/>
          <w:bCs/>
          <w:sz w:val="24"/>
        </w:rPr>
        <w:t>粘度范围：</w:t>
      </w:r>
      <w:r>
        <w:rPr>
          <w:bCs/>
          <w:sz w:val="24"/>
        </w:rPr>
        <w:t>1.2 cP</w:t>
      </w:r>
      <w:r>
        <w:rPr>
          <w:rFonts w:hint="eastAsia"/>
          <w:bCs/>
          <w:sz w:val="24"/>
        </w:rPr>
        <w:t>～</w:t>
      </w:r>
      <w:r>
        <w:rPr>
          <w:bCs/>
          <w:sz w:val="24"/>
        </w:rPr>
        <w:t>5</w:t>
      </w:r>
      <w:r>
        <w:rPr>
          <w:rFonts w:hint="eastAsia"/>
          <w:bCs/>
          <w:sz w:val="24"/>
        </w:rPr>
        <w:t>×</w:t>
      </w:r>
      <w:r>
        <w:rPr>
          <w:bCs/>
          <w:sz w:val="24"/>
        </w:rPr>
        <w:t>10</w:t>
      </w:r>
      <w:r>
        <w:rPr>
          <w:rFonts w:hint="eastAsia" w:ascii="微软雅黑" w:hAnsi="微软雅黑" w:eastAsia="微软雅黑" w:cs="微软雅黑"/>
          <w:bCs/>
          <w:sz w:val="24"/>
        </w:rPr>
        <w:t>⁷</w:t>
      </w:r>
      <w:r>
        <w:rPr>
          <w:bCs/>
          <w:sz w:val="24"/>
        </w:rPr>
        <w:t xml:space="preserve"> cP</w:t>
      </w:r>
    </w:p>
    <w:p w14:paraId="443FE21C">
      <w:pPr>
        <w:spacing w:line="360" w:lineRule="auto"/>
        <w:rPr>
          <w:bCs/>
          <w:sz w:val="24"/>
        </w:rPr>
      </w:pPr>
      <w:r>
        <w:rPr>
          <w:bCs/>
          <w:sz w:val="24"/>
        </w:rPr>
        <w:t xml:space="preserve">*3.2 </w:t>
      </w:r>
      <w:r>
        <w:rPr>
          <w:rFonts w:hint="eastAsia"/>
          <w:bCs/>
          <w:sz w:val="24"/>
        </w:rPr>
        <w:t>粘度测量精度：≤±</w:t>
      </w:r>
      <w:r>
        <w:rPr>
          <w:bCs/>
          <w:sz w:val="24"/>
        </w:rPr>
        <w:t>1.0%</w:t>
      </w:r>
    </w:p>
    <w:p w14:paraId="61D2318C">
      <w:pPr>
        <w:spacing w:line="360" w:lineRule="auto"/>
        <w:rPr>
          <w:bCs/>
          <w:sz w:val="24"/>
        </w:rPr>
      </w:pPr>
      <w:r>
        <w:rPr>
          <w:bCs/>
          <w:sz w:val="24"/>
        </w:rPr>
        <w:t xml:space="preserve">3.3 </w:t>
      </w:r>
      <w:r>
        <w:rPr>
          <w:rFonts w:hint="eastAsia"/>
          <w:bCs/>
          <w:sz w:val="24"/>
        </w:rPr>
        <w:t>样重现性：≤±</w:t>
      </w:r>
      <w:r>
        <w:rPr>
          <w:bCs/>
          <w:sz w:val="24"/>
        </w:rPr>
        <w:t>0.2%</w:t>
      </w:r>
    </w:p>
    <w:p w14:paraId="57C3BED8">
      <w:pPr>
        <w:spacing w:line="360" w:lineRule="auto"/>
        <w:rPr>
          <w:bCs/>
          <w:sz w:val="24"/>
        </w:rPr>
      </w:pPr>
      <w:r>
        <w:rPr>
          <w:bCs/>
          <w:sz w:val="24"/>
        </w:rPr>
        <w:t xml:space="preserve">3.4 </w:t>
      </w:r>
      <w:r>
        <w:rPr>
          <w:rFonts w:hint="eastAsia"/>
          <w:bCs/>
          <w:sz w:val="24"/>
        </w:rPr>
        <w:t>转速范围：</w:t>
      </w:r>
      <w:r>
        <w:rPr>
          <w:bCs/>
          <w:sz w:val="24"/>
        </w:rPr>
        <w:t>0.01</w:t>
      </w:r>
      <w:r>
        <w:rPr>
          <w:rFonts w:hint="eastAsia"/>
          <w:bCs/>
          <w:sz w:val="24"/>
        </w:rPr>
        <w:t>～</w:t>
      </w:r>
      <w:r>
        <w:rPr>
          <w:bCs/>
          <w:sz w:val="24"/>
        </w:rPr>
        <w:t>250 Rpm</w:t>
      </w:r>
    </w:p>
    <w:p w14:paraId="0B7D4F65">
      <w:pPr>
        <w:spacing w:line="360" w:lineRule="auto"/>
        <w:rPr>
          <w:bCs/>
          <w:sz w:val="24"/>
        </w:rPr>
      </w:pPr>
      <w:r>
        <w:rPr>
          <w:bCs/>
          <w:sz w:val="24"/>
        </w:rPr>
        <w:t xml:space="preserve">3.5 </w:t>
      </w:r>
      <w:r>
        <w:rPr>
          <w:rFonts w:hint="eastAsia"/>
          <w:bCs/>
          <w:sz w:val="24"/>
        </w:rPr>
        <w:t>张力范围：</w:t>
      </w:r>
      <w:r>
        <w:rPr>
          <w:bCs/>
          <w:sz w:val="24"/>
        </w:rPr>
        <w:t>0-250 mN/m</w:t>
      </w:r>
    </w:p>
    <w:p w14:paraId="615B90E2">
      <w:pPr>
        <w:spacing w:line="360" w:lineRule="auto"/>
        <w:rPr>
          <w:bCs/>
          <w:sz w:val="24"/>
        </w:rPr>
      </w:pPr>
      <w:r>
        <w:rPr>
          <w:bCs/>
          <w:sz w:val="24"/>
        </w:rPr>
        <w:t xml:space="preserve">3.6 </w:t>
      </w:r>
      <w:r>
        <w:rPr>
          <w:rFonts w:hint="eastAsia"/>
          <w:bCs/>
          <w:sz w:val="24"/>
        </w:rPr>
        <w:t>张力精度：</w:t>
      </w:r>
      <w:r>
        <w:rPr>
          <w:bCs/>
          <w:sz w:val="24"/>
        </w:rPr>
        <w:t>0.02 mN</w:t>
      </w:r>
    </w:p>
    <w:p w14:paraId="10D21AFA">
      <w:pPr>
        <w:spacing w:line="360" w:lineRule="auto"/>
        <w:rPr>
          <w:bCs/>
          <w:sz w:val="24"/>
        </w:rPr>
      </w:pPr>
      <w:r>
        <w:rPr>
          <w:bCs/>
          <w:sz w:val="24"/>
        </w:rPr>
        <w:t xml:space="preserve">3.7 </w:t>
      </w:r>
      <w:r>
        <w:rPr>
          <w:rFonts w:hint="eastAsia"/>
          <w:bCs/>
          <w:sz w:val="24"/>
        </w:rPr>
        <w:t>测距行程：≥</w:t>
      </w:r>
      <w:r>
        <w:rPr>
          <w:bCs/>
          <w:sz w:val="24"/>
        </w:rPr>
        <w:t>100 mm</w:t>
      </w:r>
    </w:p>
    <w:p w14:paraId="6761995F">
      <w:pPr>
        <w:spacing w:line="360" w:lineRule="auto"/>
        <w:rPr>
          <w:bCs/>
          <w:sz w:val="24"/>
        </w:rPr>
      </w:pPr>
      <w:r>
        <w:rPr>
          <w:bCs/>
          <w:sz w:val="24"/>
        </w:rPr>
        <w:t xml:space="preserve">3.8 </w:t>
      </w:r>
      <w:r>
        <w:rPr>
          <w:rFonts w:hint="eastAsia"/>
          <w:bCs/>
          <w:sz w:val="24"/>
        </w:rPr>
        <w:t>位移分辨率：≤</w:t>
      </w:r>
      <w:r>
        <w:rPr>
          <w:bCs/>
          <w:sz w:val="24"/>
        </w:rPr>
        <w:t>0.01 mm</w:t>
      </w:r>
    </w:p>
    <w:p w14:paraId="2645C654">
      <w:pPr>
        <w:spacing w:line="360" w:lineRule="auto"/>
        <w:rPr>
          <w:bCs/>
          <w:sz w:val="24"/>
        </w:rPr>
      </w:pPr>
      <w:r>
        <w:rPr>
          <w:bCs/>
          <w:sz w:val="24"/>
        </w:rPr>
        <w:t>3.9</w:t>
      </w:r>
      <w:r>
        <w:rPr>
          <w:rFonts w:hint="eastAsia"/>
          <w:bCs/>
          <w:sz w:val="24"/>
        </w:rPr>
        <w:t>移位方式：激光移位测距</w:t>
      </w:r>
    </w:p>
    <w:p w14:paraId="5DD63ECF">
      <w:pPr>
        <w:spacing w:line="360" w:lineRule="auto"/>
        <w:rPr>
          <w:bCs/>
          <w:sz w:val="24"/>
        </w:rPr>
      </w:pPr>
      <w:r>
        <w:rPr>
          <w:bCs/>
          <w:sz w:val="24"/>
        </w:rPr>
        <w:t xml:space="preserve">*3.10 </w:t>
      </w:r>
      <w:r>
        <w:rPr>
          <w:rFonts w:hint="eastAsia"/>
          <w:bCs/>
          <w:sz w:val="24"/>
        </w:rPr>
        <w:t>控温范围：</w:t>
      </w:r>
      <w:r>
        <w:rPr>
          <w:bCs/>
          <w:sz w:val="24"/>
        </w:rPr>
        <w:t>Rt</w:t>
      </w:r>
      <w:r>
        <w:rPr>
          <w:rFonts w:hint="eastAsia"/>
          <w:bCs/>
          <w:sz w:val="24"/>
        </w:rPr>
        <w:t>～</w:t>
      </w:r>
      <w:r>
        <w:rPr>
          <w:bCs/>
          <w:sz w:val="24"/>
        </w:rPr>
        <w:t xml:space="preserve">1700 </w:t>
      </w:r>
      <w:r>
        <w:rPr>
          <w:rFonts w:hint="eastAsia"/>
          <w:bCs/>
          <w:sz w:val="24"/>
        </w:rPr>
        <w:t>℃（长期使用温度）</w:t>
      </w:r>
    </w:p>
    <w:p w14:paraId="7F34712C">
      <w:pPr>
        <w:spacing w:line="360" w:lineRule="auto"/>
        <w:rPr>
          <w:bCs/>
          <w:sz w:val="24"/>
        </w:rPr>
      </w:pPr>
      <w:r>
        <w:rPr>
          <w:bCs/>
          <w:sz w:val="24"/>
        </w:rPr>
        <w:t xml:space="preserve">*3.11 </w:t>
      </w:r>
      <w:r>
        <w:rPr>
          <w:rFonts w:hint="eastAsia"/>
          <w:bCs/>
          <w:sz w:val="24"/>
        </w:rPr>
        <w:t>控温精度：±</w:t>
      </w:r>
      <w:r>
        <w:rPr>
          <w:bCs/>
          <w:sz w:val="24"/>
        </w:rPr>
        <w:t xml:space="preserve">0.1 </w:t>
      </w:r>
      <w:r>
        <w:rPr>
          <w:rFonts w:hint="eastAsia"/>
          <w:bCs/>
          <w:sz w:val="24"/>
        </w:rPr>
        <w:t>℃</w:t>
      </w:r>
    </w:p>
    <w:p w14:paraId="19E6AD5B">
      <w:pPr>
        <w:spacing w:line="360" w:lineRule="auto"/>
        <w:rPr>
          <w:bCs/>
          <w:sz w:val="24"/>
        </w:rPr>
      </w:pPr>
      <w:r>
        <w:rPr>
          <w:bCs/>
          <w:sz w:val="24"/>
        </w:rPr>
        <w:t>*3.12</w:t>
      </w:r>
      <w:r>
        <w:rPr>
          <w:rFonts w:hint="eastAsia"/>
          <w:bCs/>
          <w:sz w:val="24"/>
        </w:rPr>
        <w:t>热稳定性：±</w:t>
      </w:r>
      <w:r>
        <w:rPr>
          <w:bCs/>
          <w:sz w:val="24"/>
        </w:rPr>
        <w:t xml:space="preserve">1.0 </w:t>
      </w:r>
      <w:r>
        <w:rPr>
          <w:rFonts w:hint="eastAsia"/>
          <w:bCs/>
          <w:sz w:val="24"/>
        </w:rPr>
        <w:t>℃</w:t>
      </w:r>
    </w:p>
    <w:p w14:paraId="41954603">
      <w:pPr>
        <w:spacing w:line="360" w:lineRule="auto"/>
        <w:rPr>
          <w:bCs/>
          <w:sz w:val="24"/>
        </w:rPr>
      </w:pPr>
      <w:r>
        <w:rPr>
          <w:bCs/>
          <w:sz w:val="24"/>
        </w:rPr>
        <w:t xml:space="preserve">3.13 </w:t>
      </w:r>
      <w:r>
        <w:rPr>
          <w:rFonts w:hint="eastAsia"/>
          <w:bCs/>
          <w:sz w:val="24"/>
        </w:rPr>
        <w:t>升温速度：</w:t>
      </w:r>
      <w:r>
        <w:rPr>
          <w:bCs/>
          <w:sz w:val="24"/>
        </w:rPr>
        <w:t>0</w:t>
      </w:r>
      <w:r>
        <w:rPr>
          <w:rFonts w:hint="eastAsia"/>
          <w:bCs/>
          <w:sz w:val="24"/>
        </w:rPr>
        <w:t>～</w:t>
      </w:r>
      <w:r>
        <w:rPr>
          <w:bCs/>
          <w:sz w:val="24"/>
        </w:rPr>
        <w:t xml:space="preserve">60 </w:t>
      </w:r>
      <w:r>
        <w:rPr>
          <w:rFonts w:hint="eastAsia"/>
          <w:bCs/>
          <w:sz w:val="24"/>
        </w:rPr>
        <w:t>℃</w:t>
      </w:r>
      <w:r>
        <w:rPr>
          <w:bCs/>
          <w:sz w:val="24"/>
        </w:rPr>
        <w:t>/min</w:t>
      </w:r>
      <w:r>
        <w:rPr>
          <w:rFonts w:hint="eastAsia"/>
          <w:bCs/>
          <w:sz w:val="24"/>
        </w:rPr>
        <w:t>（显示时间</w:t>
      </w:r>
      <w:r>
        <w:rPr>
          <w:bCs/>
          <w:sz w:val="24"/>
        </w:rPr>
        <w:t>/</w:t>
      </w:r>
      <w:r>
        <w:rPr>
          <w:rFonts w:hint="eastAsia"/>
          <w:bCs/>
          <w:sz w:val="24"/>
        </w:rPr>
        <w:t>温度进度条）</w:t>
      </w:r>
    </w:p>
    <w:p w14:paraId="16ABC5A5">
      <w:pPr>
        <w:spacing w:line="360" w:lineRule="auto"/>
        <w:rPr>
          <w:bCs/>
          <w:sz w:val="24"/>
        </w:rPr>
      </w:pPr>
      <w:r>
        <w:rPr>
          <w:bCs/>
          <w:sz w:val="24"/>
        </w:rPr>
        <w:t xml:space="preserve">*3.14 </w:t>
      </w:r>
      <w:r>
        <w:rPr>
          <w:rFonts w:hint="eastAsia"/>
          <w:bCs/>
          <w:sz w:val="24"/>
        </w:rPr>
        <w:t>极限真空：</w:t>
      </w:r>
      <w:r>
        <w:rPr>
          <w:bCs/>
          <w:sz w:val="24"/>
        </w:rPr>
        <w:t>4</w:t>
      </w:r>
      <w:r>
        <w:rPr>
          <w:rFonts w:hint="eastAsia"/>
          <w:bCs/>
          <w:sz w:val="24"/>
        </w:rPr>
        <w:t>×</w:t>
      </w:r>
      <w:r>
        <w:rPr>
          <w:bCs/>
          <w:sz w:val="24"/>
        </w:rPr>
        <w:t>10</w:t>
      </w:r>
      <w:r>
        <w:rPr>
          <w:rFonts w:hint="eastAsia" w:ascii="MS Gothic" w:hAnsi="MS Gothic" w:eastAsia="MS Gothic" w:cs="MS Gothic"/>
          <w:bCs/>
          <w:sz w:val="24"/>
        </w:rPr>
        <w:t>⁻⁴</w:t>
      </w:r>
      <w:r>
        <w:rPr>
          <w:bCs/>
          <w:sz w:val="24"/>
        </w:rPr>
        <w:t xml:space="preserve"> mbar</w:t>
      </w:r>
    </w:p>
    <w:p w14:paraId="56CA1BA3">
      <w:pPr>
        <w:spacing w:line="360" w:lineRule="auto"/>
        <w:rPr>
          <w:bCs/>
          <w:sz w:val="24"/>
        </w:rPr>
      </w:pPr>
      <w:r>
        <w:rPr>
          <w:bCs/>
          <w:sz w:val="24"/>
        </w:rPr>
        <w:t xml:space="preserve">3.15 </w:t>
      </w:r>
      <w:r>
        <w:rPr>
          <w:rFonts w:hint="eastAsia"/>
          <w:bCs/>
          <w:sz w:val="24"/>
        </w:rPr>
        <w:t>标准</w:t>
      </w:r>
      <w:r>
        <w:rPr>
          <w:bCs/>
          <w:sz w:val="24"/>
        </w:rPr>
        <w:t>:</w:t>
      </w:r>
      <w:r>
        <w:rPr>
          <w:rFonts w:hint="eastAsia"/>
          <w:bCs/>
          <w:sz w:val="24"/>
        </w:rPr>
        <w:t>符合</w:t>
      </w:r>
      <w:r>
        <w:rPr>
          <w:bCs/>
          <w:sz w:val="24"/>
        </w:rPr>
        <w:t>GB/T 31424-2015</w:t>
      </w:r>
      <w:r>
        <w:rPr>
          <w:rFonts w:hint="eastAsia"/>
          <w:bCs/>
          <w:sz w:val="24"/>
        </w:rPr>
        <w:t>《煤灰黏度测定方法》标准</w:t>
      </w:r>
    </w:p>
    <w:p w14:paraId="22932E1C">
      <w:pPr>
        <w:spacing w:line="360" w:lineRule="auto"/>
        <w:rPr>
          <w:bCs/>
          <w:sz w:val="24"/>
        </w:rPr>
      </w:pPr>
      <w:r>
        <w:rPr>
          <w:bCs/>
          <w:sz w:val="24"/>
        </w:rPr>
        <w:t xml:space="preserve">3.16 </w:t>
      </w:r>
      <w:r>
        <w:rPr>
          <w:rFonts w:hint="eastAsia"/>
          <w:bCs/>
          <w:sz w:val="24"/>
        </w:rPr>
        <w:t>测试方法：旋转法，变转速扭变测试，变扭矩连续测试</w:t>
      </w:r>
    </w:p>
    <w:p w14:paraId="035C9F40">
      <w:pPr>
        <w:spacing w:line="360" w:lineRule="auto"/>
        <w:rPr>
          <w:bCs/>
          <w:sz w:val="24"/>
        </w:rPr>
      </w:pPr>
      <w:r>
        <w:rPr>
          <w:bCs/>
          <w:sz w:val="24"/>
        </w:rPr>
        <w:t xml:space="preserve">3.17 </w:t>
      </w:r>
      <w:r>
        <w:rPr>
          <w:rFonts w:hint="eastAsia"/>
          <w:bCs/>
          <w:sz w:val="24"/>
        </w:rPr>
        <w:t>测试氛围：真空、氧化性气氛、还原性气氛、惰性气氛可选</w:t>
      </w:r>
    </w:p>
    <w:p w14:paraId="1355FAC6">
      <w:pPr>
        <w:spacing w:line="360" w:lineRule="auto"/>
        <w:rPr>
          <w:bCs/>
          <w:sz w:val="24"/>
        </w:rPr>
      </w:pPr>
      <w:r>
        <w:rPr>
          <w:bCs/>
          <w:sz w:val="24"/>
        </w:rPr>
        <w:t xml:space="preserve">3.18 </w:t>
      </w:r>
      <w:r>
        <w:rPr>
          <w:rFonts w:hint="eastAsia"/>
          <w:bCs/>
          <w:sz w:val="24"/>
        </w:rPr>
        <w:t>热电偶：铂铑热电偶</w:t>
      </w:r>
    </w:p>
    <w:p w14:paraId="64822AF6">
      <w:pPr>
        <w:spacing w:line="360" w:lineRule="auto"/>
        <w:rPr>
          <w:bCs/>
          <w:sz w:val="24"/>
        </w:rPr>
      </w:pPr>
      <w:r>
        <w:rPr>
          <w:bCs/>
          <w:sz w:val="24"/>
        </w:rPr>
        <w:t xml:space="preserve">3.19 </w:t>
      </w:r>
      <w:r>
        <w:rPr>
          <w:rFonts w:hint="eastAsia"/>
          <w:bCs/>
          <w:sz w:val="24"/>
        </w:rPr>
        <w:t>气体控制：真空单向防回流控制</w:t>
      </w:r>
    </w:p>
    <w:p w14:paraId="70B6FF93">
      <w:pPr>
        <w:spacing w:line="360" w:lineRule="auto"/>
        <w:rPr>
          <w:bCs/>
          <w:sz w:val="24"/>
        </w:rPr>
      </w:pPr>
      <w:r>
        <w:rPr>
          <w:bCs/>
          <w:sz w:val="24"/>
        </w:rPr>
        <w:t xml:space="preserve">3.20 </w:t>
      </w:r>
      <w:r>
        <w:rPr>
          <w:rFonts w:hint="eastAsia"/>
          <w:bCs/>
          <w:sz w:val="24"/>
        </w:rPr>
        <w:t>气体纯度：入口气体纯度（</w:t>
      </w:r>
      <w:r>
        <w:rPr>
          <w:bCs/>
          <w:sz w:val="24"/>
        </w:rPr>
        <w:t>99.999</w:t>
      </w:r>
      <w:r>
        <w:rPr>
          <w:rFonts w:hint="eastAsia"/>
          <w:bCs/>
          <w:sz w:val="24"/>
        </w:rPr>
        <w:t>）</w:t>
      </w:r>
    </w:p>
    <w:p w14:paraId="37778CEF">
      <w:pPr>
        <w:spacing w:line="360" w:lineRule="auto"/>
        <w:rPr>
          <w:bCs/>
          <w:sz w:val="24"/>
        </w:rPr>
      </w:pPr>
      <w:r>
        <w:rPr>
          <w:bCs/>
          <w:sz w:val="24"/>
        </w:rPr>
        <w:t xml:space="preserve">3.21 </w:t>
      </w:r>
      <w:r>
        <w:rPr>
          <w:rFonts w:hint="eastAsia"/>
          <w:bCs/>
          <w:sz w:val="24"/>
        </w:rPr>
        <w:t>取样方式：电动升降取放样品</w:t>
      </w:r>
    </w:p>
    <w:p w14:paraId="00668146">
      <w:pPr>
        <w:spacing w:line="360" w:lineRule="auto"/>
        <w:rPr>
          <w:bCs/>
          <w:sz w:val="24"/>
        </w:rPr>
      </w:pPr>
      <w:r>
        <w:rPr>
          <w:bCs/>
          <w:sz w:val="24"/>
        </w:rPr>
        <w:t xml:space="preserve">*3.22 </w:t>
      </w:r>
      <w:r>
        <w:rPr>
          <w:rFonts w:hint="eastAsia"/>
          <w:bCs/>
          <w:sz w:val="24"/>
        </w:rPr>
        <w:t>粘度测试主机：高端流变仪</w:t>
      </w:r>
    </w:p>
    <w:p w14:paraId="777A02BD">
      <w:pPr>
        <w:spacing w:line="360" w:lineRule="auto"/>
        <w:rPr>
          <w:bCs/>
          <w:sz w:val="24"/>
        </w:rPr>
      </w:pPr>
      <w:r>
        <w:rPr>
          <w:bCs/>
          <w:sz w:val="24"/>
        </w:rPr>
        <w:t xml:space="preserve">3.23 </w:t>
      </w:r>
      <w:r>
        <w:rPr>
          <w:rFonts w:hint="eastAsia"/>
          <w:bCs/>
          <w:sz w:val="24"/>
        </w:rPr>
        <w:t>高温系统保护：若实验过程中关闭软件或停止测试，温控仪自动在当前瞬间温度恒温，以保护仪器内刚玉材质配件的安全以及使用寿命</w:t>
      </w:r>
    </w:p>
    <w:p w14:paraId="1EC8023A">
      <w:pPr>
        <w:spacing w:line="360" w:lineRule="auto"/>
        <w:rPr>
          <w:bCs/>
          <w:sz w:val="24"/>
        </w:rPr>
      </w:pPr>
      <w:r>
        <w:rPr>
          <w:bCs/>
          <w:sz w:val="24"/>
        </w:rPr>
        <w:t xml:space="preserve">3.24 </w:t>
      </w:r>
      <w:r>
        <w:rPr>
          <w:rFonts w:hint="eastAsia"/>
          <w:bCs/>
          <w:sz w:val="24"/>
        </w:rPr>
        <w:t>高温程序控制软件：被测材料的整个温度变化过程可设</w:t>
      </w:r>
      <w:r>
        <w:rPr>
          <w:bCs/>
          <w:sz w:val="24"/>
        </w:rPr>
        <w:t>8</w:t>
      </w:r>
      <w:r>
        <w:rPr>
          <w:rFonts w:hint="eastAsia"/>
          <w:bCs/>
          <w:sz w:val="24"/>
        </w:rPr>
        <w:t>段</w:t>
      </w:r>
      <w:r>
        <w:rPr>
          <w:bCs/>
          <w:sz w:val="24"/>
        </w:rPr>
        <w:t>16</w:t>
      </w:r>
      <w:r>
        <w:rPr>
          <w:rFonts w:hint="eastAsia"/>
          <w:bCs/>
          <w:sz w:val="24"/>
        </w:rPr>
        <w:t>个步骤，如升温速率或最大冷却速率设定，恒温保温时间设定，温度程序运行显示进度条，同时计算达到之最高温与剩余时间。</w:t>
      </w:r>
    </w:p>
    <w:p w14:paraId="7A0A2CC7">
      <w:pPr>
        <w:spacing w:line="360" w:lineRule="auto"/>
        <w:rPr>
          <w:bCs/>
          <w:sz w:val="24"/>
        </w:rPr>
      </w:pPr>
      <w:r>
        <w:rPr>
          <w:bCs/>
          <w:sz w:val="24"/>
        </w:rPr>
        <w:t xml:space="preserve">3.25 </w:t>
      </w:r>
      <w:r>
        <w:rPr>
          <w:rFonts w:hint="eastAsia"/>
          <w:bCs/>
          <w:sz w:val="24"/>
        </w:rPr>
        <w:t>粘度程序控制软件：可允许用户自定义特殊转子编号和名称，自定义特殊转子（</w:t>
      </w:r>
      <w:r>
        <w:rPr>
          <w:bCs/>
          <w:sz w:val="24"/>
        </w:rPr>
        <w:t>SMC</w:t>
      </w:r>
      <w:r>
        <w:rPr>
          <w:rFonts w:hint="eastAsia"/>
          <w:bCs/>
          <w:sz w:val="24"/>
        </w:rPr>
        <w:t>）转化常量用于将测量的扭矩转换为粘度，（</w:t>
      </w:r>
      <w:r>
        <w:rPr>
          <w:bCs/>
          <w:sz w:val="24"/>
        </w:rPr>
        <w:t>SRC</w:t>
      </w:r>
      <w:r>
        <w:rPr>
          <w:rFonts w:hint="eastAsia"/>
          <w:bCs/>
          <w:sz w:val="24"/>
        </w:rPr>
        <w:t>）剪切率常量将</w:t>
      </w:r>
      <w:r>
        <w:rPr>
          <w:bCs/>
          <w:sz w:val="24"/>
        </w:rPr>
        <w:t>RPM</w:t>
      </w:r>
      <w:r>
        <w:rPr>
          <w:rFonts w:hint="eastAsia"/>
          <w:bCs/>
          <w:sz w:val="24"/>
        </w:rPr>
        <w:t>转换为剪切速率并计算出剪切应力。标准模式：可在恒定温度下设置不同转速步骤测试粘度，设定循环步骤让转速多次循环。扭变模式：设定扭矩最小限度和最大限制值，让转速在扭矩范围自动变化，定扭矩值。速变模式：设定转速从最小</w:t>
      </w:r>
      <w:r>
        <w:rPr>
          <w:bCs/>
          <w:sz w:val="24"/>
        </w:rPr>
        <w:t>0.01</w:t>
      </w:r>
      <w:r>
        <w:rPr>
          <w:rFonts w:hint="eastAsia"/>
          <w:bCs/>
          <w:sz w:val="24"/>
        </w:rPr>
        <w:t>转或最大</w:t>
      </w:r>
      <w:r>
        <w:rPr>
          <w:bCs/>
          <w:sz w:val="24"/>
        </w:rPr>
        <w:t>250</w:t>
      </w:r>
      <w:r>
        <w:rPr>
          <w:rFonts w:hint="eastAsia"/>
          <w:bCs/>
          <w:sz w:val="24"/>
        </w:rPr>
        <w:t>转，按照给定条件匀速增减，实现流变测试。</w:t>
      </w:r>
    </w:p>
    <w:p w14:paraId="7364D9F5">
      <w:pPr>
        <w:spacing w:line="360" w:lineRule="auto"/>
        <w:rPr>
          <w:bCs/>
          <w:sz w:val="24"/>
        </w:rPr>
      </w:pPr>
      <w:r>
        <w:rPr>
          <w:bCs/>
          <w:sz w:val="24"/>
        </w:rPr>
        <w:t xml:space="preserve">3.26 </w:t>
      </w:r>
      <w:r>
        <w:rPr>
          <w:rFonts w:hint="eastAsia"/>
          <w:bCs/>
          <w:sz w:val="24"/>
        </w:rPr>
        <w:t>表面张力控制软件：表面张力根据位移数据与重力传感器数据，得出刚刚接触时张力的变化，计算出表面张力数据。</w:t>
      </w:r>
    </w:p>
    <w:p w14:paraId="7F0A7C05">
      <w:pPr>
        <w:spacing w:line="360" w:lineRule="auto"/>
        <w:rPr>
          <w:bCs/>
          <w:sz w:val="24"/>
        </w:rPr>
      </w:pPr>
    </w:p>
    <w:p w14:paraId="5044BAEF">
      <w:pPr>
        <w:numPr>
          <w:ilvl w:val="0"/>
          <w:numId w:val="2"/>
        </w:numPr>
        <w:spacing w:line="360" w:lineRule="auto"/>
        <w:rPr>
          <w:b/>
          <w:sz w:val="24"/>
        </w:rPr>
      </w:pPr>
      <w:r>
        <w:rPr>
          <w:rFonts w:hint="eastAsia"/>
          <w:b/>
          <w:sz w:val="24"/>
        </w:rPr>
        <w:t>产品配置要求</w:t>
      </w:r>
    </w:p>
    <w:p w14:paraId="77C44B0C">
      <w:pPr>
        <w:spacing w:line="360" w:lineRule="auto"/>
        <w:rPr>
          <w:sz w:val="24"/>
        </w:rPr>
      </w:pPr>
      <w:r>
        <w:rPr>
          <w:sz w:val="24"/>
        </w:rPr>
        <w:t xml:space="preserve">4.1 </w:t>
      </w:r>
      <w:r>
        <w:rPr>
          <w:rFonts w:hint="eastAsia"/>
          <w:sz w:val="24"/>
        </w:rPr>
        <w:t>工作环境：密闭通风橱，透明橱窗推门，排风功能</w:t>
      </w:r>
    </w:p>
    <w:p w14:paraId="407FFE99">
      <w:pPr>
        <w:spacing w:line="360" w:lineRule="auto"/>
        <w:rPr>
          <w:sz w:val="24"/>
        </w:rPr>
      </w:pPr>
      <w:r>
        <w:rPr>
          <w:sz w:val="24"/>
        </w:rPr>
        <w:t xml:space="preserve">4.2 </w:t>
      </w:r>
      <w:r>
        <w:rPr>
          <w:rFonts w:hint="eastAsia"/>
          <w:sz w:val="24"/>
        </w:rPr>
        <w:t>工作尺寸：</w:t>
      </w:r>
      <w:r>
        <w:rPr>
          <w:sz w:val="24"/>
        </w:rPr>
        <w:t>2100</w:t>
      </w:r>
      <w:r>
        <w:rPr>
          <w:rFonts w:hint="eastAsia"/>
          <w:sz w:val="24"/>
        </w:rPr>
        <w:t>×</w:t>
      </w:r>
      <w:r>
        <w:rPr>
          <w:sz w:val="24"/>
        </w:rPr>
        <w:t>1500</w:t>
      </w:r>
      <w:r>
        <w:rPr>
          <w:rFonts w:hint="eastAsia"/>
          <w:sz w:val="24"/>
        </w:rPr>
        <w:t>×</w:t>
      </w:r>
      <w:r>
        <w:rPr>
          <w:sz w:val="24"/>
        </w:rPr>
        <w:t>620 mm</w:t>
      </w:r>
      <w:r>
        <w:rPr>
          <w:rFonts w:hint="eastAsia"/>
          <w:sz w:val="24"/>
        </w:rPr>
        <w:t>高×宽×纵深</w:t>
      </w:r>
    </w:p>
    <w:p w14:paraId="09571B83">
      <w:pPr>
        <w:spacing w:line="360" w:lineRule="auto"/>
        <w:rPr>
          <w:sz w:val="24"/>
        </w:rPr>
      </w:pPr>
      <w:r>
        <w:rPr>
          <w:sz w:val="24"/>
        </w:rPr>
        <w:t xml:space="preserve">4.3 </w:t>
      </w:r>
      <w:r>
        <w:rPr>
          <w:rFonts w:hint="eastAsia"/>
          <w:sz w:val="24"/>
        </w:rPr>
        <w:t>主计算机：（</w:t>
      </w:r>
      <w:r>
        <w:rPr>
          <w:sz w:val="24"/>
        </w:rPr>
        <w:t>CPU i5</w:t>
      </w:r>
      <w:r>
        <w:rPr>
          <w:rFonts w:hint="eastAsia"/>
          <w:sz w:val="24"/>
        </w:rPr>
        <w:t>，内存</w:t>
      </w:r>
      <w:r>
        <w:rPr>
          <w:sz w:val="24"/>
        </w:rPr>
        <w:t xml:space="preserve"> 8G</w:t>
      </w:r>
      <w:r>
        <w:rPr>
          <w:rFonts w:hint="eastAsia"/>
          <w:sz w:val="24"/>
        </w:rPr>
        <w:t>，硬盘</w:t>
      </w:r>
      <w:r>
        <w:rPr>
          <w:sz w:val="24"/>
        </w:rPr>
        <w:t>1T</w:t>
      </w:r>
      <w:r>
        <w:rPr>
          <w:rFonts w:hint="eastAsia"/>
          <w:sz w:val="24"/>
        </w:rPr>
        <w:t>以上）</w:t>
      </w:r>
    </w:p>
    <w:p w14:paraId="6DC72197">
      <w:pPr>
        <w:spacing w:line="360" w:lineRule="auto"/>
        <w:rPr>
          <w:sz w:val="24"/>
        </w:rPr>
      </w:pPr>
      <w:r>
        <w:rPr>
          <w:sz w:val="24"/>
        </w:rPr>
        <w:t xml:space="preserve">4.4 </w:t>
      </w:r>
      <w:r>
        <w:rPr>
          <w:rFonts w:hint="eastAsia"/>
          <w:sz w:val="24"/>
        </w:rPr>
        <w:t>配套环境：大气、真空、惰性气氛、还原性气氛、冷却循环水机</w:t>
      </w:r>
    </w:p>
    <w:p w14:paraId="0B60961E">
      <w:pPr>
        <w:spacing w:line="360" w:lineRule="auto"/>
        <w:rPr>
          <w:sz w:val="24"/>
        </w:rPr>
      </w:pPr>
      <w:r>
        <w:rPr>
          <w:sz w:val="24"/>
        </w:rPr>
        <w:t xml:space="preserve">4.5 </w:t>
      </w:r>
      <w:r>
        <w:rPr>
          <w:rFonts w:hint="eastAsia"/>
          <w:sz w:val="24"/>
        </w:rPr>
        <w:t>控制场所的交流磁场：有大功率设备运行产生交变磁场，如：大功率马弗炉，大功率变压器运行，大功率电机运转都会对仪器粘度传感器产生干扰影响。</w:t>
      </w:r>
    </w:p>
    <w:p w14:paraId="136BC4E8">
      <w:pPr>
        <w:spacing w:line="360" w:lineRule="auto"/>
        <w:rPr>
          <w:sz w:val="24"/>
        </w:rPr>
      </w:pPr>
      <w:r>
        <w:rPr>
          <w:sz w:val="24"/>
        </w:rPr>
        <w:t xml:space="preserve">4.6 </w:t>
      </w:r>
      <w:r>
        <w:rPr>
          <w:rFonts w:hint="eastAsia"/>
          <w:sz w:val="24"/>
        </w:rPr>
        <w:t>空调请误对着仪器，否则会影响仪器加热及测试</w:t>
      </w:r>
    </w:p>
    <w:p w14:paraId="286DC11D">
      <w:pPr>
        <w:spacing w:line="360" w:lineRule="auto"/>
        <w:rPr>
          <w:sz w:val="24"/>
        </w:rPr>
      </w:pPr>
      <w:r>
        <w:rPr>
          <w:sz w:val="24"/>
        </w:rPr>
        <w:t xml:space="preserve">4.7 </w:t>
      </w:r>
      <w:r>
        <w:rPr>
          <w:rFonts w:hint="eastAsia"/>
          <w:sz w:val="24"/>
        </w:rPr>
        <w:t>大型研磨振动设备请勿同时运行</w:t>
      </w:r>
    </w:p>
    <w:p w14:paraId="15963E4B">
      <w:pPr>
        <w:spacing w:line="360" w:lineRule="auto"/>
        <w:rPr>
          <w:sz w:val="24"/>
        </w:rPr>
      </w:pPr>
      <w:r>
        <w:rPr>
          <w:sz w:val="24"/>
        </w:rPr>
        <w:t xml:space="preserve">4.8 </w:t>
      </w:r>
      <w:r>
        <w:rPr>
          <w:rFonts w:hint="eastAsia"/>
          <w:sz w:val="24"/>
        </w:rPr>
        <w:t>浮游交流磁场</w:t>
      </w:r>
      <w:r>
        <w:rPr>
          <w:sz w:val="24"/>
        </w:rPr>
        <w:tab/>
      </w:r>
      <w:r>
        <w:rPr>
          <w:sz w:val="24"/>
        </w:rPr>
        <w:tab/>
      </w:r>
      <w:r>
        <w:rPr>
          <w:sz w:val="24"/>
        </w:rPr>
        <w:t>0.3 uT</w:t>
      </w:r>
      <w:r>
        <w:rPr>
          <w:rFonts w:hint="eastAsia"/>
          <w:sz w:val="24"/>
        </w:rPr>
        <w:t>（</w:t>
      </w:r>
      <w:r>
        <w:rPr>
          <w:sz w:val="24"/>
        </w:rPr>
        <w:t>3 mGauss</w:t>
      </w:r>
      <w:r>
        <w:rPr>
          <w:rFonts w:hint="eastAsia"/>
          <w:sz w:val="24"/>
        </w:rPr>
        <w:t>）以下</w:t>
      </w:r>
      <w:r>
        <w:rPr>
          <w:sz w:val="24"/>
        </w:rPr>
        <w:tab/>
      </w:r>
      <w:r>
        <w:rPr>
          <w:sz w:val="24"/>
        </w:rPr>
        <w:tab/>
      </w:r>
      <w:r>
        <w:rPr>
          <w:sz w:val="24"/>
        </w:rPr>
        <w:t xml:space="preserve">50/60 Hz </w:t>
      </w:r>
      <w:r>
        <w:rPr>
          <w:rFonts w:hint="eastAsia"/>
          <w:sz w:val="24"/>
        </w:rPr>
        <w:t>正弦波</w:t>
      </w:r>
    </w:p>
    <w:p w14:paraId="3FE08509">
      <w:pPr>
        <w:spacing w:line="360" w:lineRule="auto"/>
        <w:rPr>
          <w:sz w:val="24"/>
        </w:rPr>
      </w:pPr>
      <w:r>
        <w:rPr>
          <w:sz w:val="24"/>
        </w:rPr>
        <w:t xml:space="preserve">4.9 </w:t>
      </w:r>
      <w:r>
        <w:rPr>
          <w:rFonts w:hint="eastAsia"/>
          <w:sz w:val="24"/>
        </w:rPr>
        <w:t>非同期磁场</w:t>
      </w:r>
      <w:r>
        <w:rPr>
          <w:sz w:val="24"/>
        </w:rPr>
        <w:tab/>
      </w:r>
      <w:r>
        <w:rPr>
          <w:sz w:val="24"/>
        </w:rPr>
        <w:tab/>
      </w:r>
      <w:r>
        <w:rPr>
          <w:sz w:val="24"/>
        </w:rPr>
        <w:t xml:space="preserve">   0.1 uT</w:t>
      </w:r>
      <w:r>
        <w:rPr>
          <w:rFonts w:hint="eastAsia"/>
          <w:sz w:val="24"/>
        </w:rPr>
        <w:t>（</w:t>
      </w:r>
      <w:r>
        <w:rPr>
          <w:sz w:val="24"/>
        </w:rPr>
        <w:t>1 mGauss</w:t>
      </w:r>
      <w:r>
        <w:rPr>
          <w:rFonts w:hint="eastAsia"/>
          <w:sz w:val="24"/>
        </w:rPr>
        <w:t>）以下</w:t>
      </w:r>
    </w:p>
    <w:p w14:paraId="235C702E">
      <w:pPr>
        <w:tabs>
          <w:tab w:val="left" w:pos="540"/>
        </w:tabs>
        <w:spacing w:line="360" w:lineRule="auto"/>
        <w:rPr>
          <w:sz w:val="24"/>
        </w:rPr>
      </w:pPr>
      <w:r>
        <w:rPr>
          <w:sz w:val="24"/>
        </w:rPr>
        <w:t xml:space="preserve">   </w:t>
      </w:r>
    </w:p>
    <w:p w14:paraId="2C485A3F">
      <w:pPr>
        <w:tabs>
          <w:tab w:val="left" w:pos="540"/>
        </w:tabs>
        <w:spacing w:line="360" w:lineRule="auto"/>
        <w:rPr>
          <w:b/>
          <w:sz w:val="24"/>
        </w:rPr>
      </w:pPr>
      <w:r>
        <w:rPr>
          <w:b/>
          <w:sz w:val="24"/>
        </w:rPr>
        <w:t xml:space="preserve">5.  </w:t>
      </w:r>
      <w:r>
        <w:rPr>
          <w:rFonts w:hint="eastAsia"/>
          <w:b/>
          <w:sz w:val="24"/>
        </w:rPr>
        <w:t>技术文件：</w:t>
      </w:r>
    </w:p>
    <w:p w14:paraId="6EBAEBF0">
      <w:pPr>
        <w:spacing w:line="360" w:lineRule="auto"/>
        <w:rPr>
          <w:sz w:val="24"/>
        </w:rPr>
      </w:pPr>
      <w:r>
        <w:rPr>
          <w:sz w:val="24"/>
        </w:rPr>
        <w:t xml:space="preserve">5.1 </w:t>
      </w:r>
      <w:r>
        <w:rPr>
          <w:rFonts w:hint="eastAsia"/>
          <w:sz w:val="24"/>
        </w:rPr>
        <w:t>每台提供对应的印刷版中英文说明书及电子版中文说明书。（随包装发货）</w:t>
      </w:r>
    </w:p>
    <w:p w14:paraId="13FA5A37">
      <w:pPr>
        <w:spacing w:line="360" w:lineRule="auto"/>
        <w:rPr>
          <w:sz w:val="24"/>
        </w:rPr>
      </w:pPr>
      <w:r>
        <w:rPr>
          <w:sz w:val="24"/>
        </w:rPr>
        <w:t xml:space="preserve">5.2 </w:t>
      </w:r>
      <w:r>
        <w:rPr>
          <w:rFonts w:hint="eastAsia"/>
          <w:sz w:val="24"/>
        </w:rPr>
        <w:t>仪器质量出厂检定合格证书</w:t>
      </w:r>
      <w:r>
        <w:rPr>
          <w:sz w:val="24"/>
        </w:rPr>
        <w:t>/</w:t>
      </w:r>
      <w:r>
        <w:rPr>
          <w:rFonts w:hint="eastAsia"/>
          <w:sz w:val="24"/>
        </w:rPr>
        <w:t>出厂测试报告：数据单（随包装发货）</w:t>
      </w:r>
    </w:p>
    <w:p w14:paraId="0663A58F">
      <w:pPr>
        <w:spacing w:line="360" w:lineRule="auto"/>
        <w:rPr>
          <w:sz w:val="24"/>
        </w:rPr>
      </w:pPr>
      <w:r>
        <w:rPr>
          <w:sz w:val="24"/>
        </w:rPr>
        <w:t xml:space="preserve">5.3 </w:t>
      </w:r>
      <w:r>
        <w:rPr>
          <w:rFonts w:hint="eastAsia"/>
          <w:sz w:val="24"/>
        </w:rPr>
        <w:t>仪器校准检定证书：提供第三方检定校准机构出具的检定校准认证证书（随包装发货）</w:t>
      </w:r>
    </w:p>
    <w:p w14:paraId="37D30D8E">
      <w:pPr>
        <w:spacing w:line="360" w:lineRule="auto"/>
        <w:rPr>
          <w:sz w:val="24"/>
        </w:rPr>
      </w:pPr>
      <w:r>
        <w:rPr>
          <w:sz w:val="24"/>
        </w:rPr>
        <w:t xml:space="preserve">5.4 </w:t>
      </w:r>
      <w:r>
        <w:rPr>
          <w:rFonts w:hint="eastAsia"/>
          <w:sz w:val="24"/>
        </w:rPr>
        <w:t>仪器原产地证明</w:t>
      </w:r>
    </w:p>
    <w:p w14:paraId="36BBD9AD">
      <w:pPr>
        <w:spacing w:line="360" w:lineRule="auto"/>
        <w:rPr>
          <w:sz w:val="24"/>
        </w:rPr>
      </w:pPr>
      <w:r>
        <w:rPr>
          <w:sz w:val="24"/>
        </w:rPr>
        <w:t xml:space="preserve">5.5 </w:t>
      </w:r>
      <w:r>
        <w:rPr>
          <w:rFonts w:hint="eastAsia"/>
          <w:sz w:val="24"/>
        </w:rPr>
        <w:t>仪器装箱清单</w:t>
      </w:r>
    </w:p>
    <w:p w14:paraId="5F9A9A90">
      <w:pPr>
        <w:spacing w:line="360" w:lineRule="auto"/>
        <w:rPr>
          <w:sz w:val="24"/>
        </w:rPr>
      </w:pPr>
      <w:r>
        <w:rPr>
          <w:sz w:val="24"/>
        </w:rPr>
        <w:t xml:space="preserve">   </w:t>
      </w:r>
    </w:p>
    <w:p w14:paraId="4928628D">
      <w:pPr>
        <w:spacing w:line="360" w:lineRule="auto"/>
        <w:rPr>
          <w:b/>
          <w:sz w:val="24"/>
        </w:rPr>
      </w:pPr>
      <w:r>
        <w:rPr>
          <w:rFonts w:hint="eastAsia"/>
          <w:b/>
          <w:sz w:val="24"/>
        </w:rPr>
        <w:t>（二）质保及售后服务：</w:t>
      </w:r>
    </w:p>
    <w:p w14:paraId="2D5985B4">
      <w:pPr>
        <w:spacing w:line="360" w:lineRule="auto"/>
        <w:rPr>
          <w:sz w:val="24"/>
        </w:rPr>
      </w:pPr>
      <w:r>
        <w:rPr>
          <w:sz w:val="24"/>
        </w:rPr>
        <w:t xml:space="preserve">1.1 </w:t>
      </w:r>
      <w:r>
        <w:rPr>
          <w:rFonts w:hint="eastAsia"/>
          <w:sz w:val="24"/>
        </w:rPr>
        <w:t>设备安装调试</w:t>
      </w:r>
    </w:p>
    <w:p w14:paraId="5E6B12FF">
      <w:pPr>
        <w:spacing w:line="360" w:lineRule="auto"/>
        <w:ind w:firstLine="480" w:firstLineChars="200"/>
        <w:rPr>
          <w:sz w:val="24"/>
        </w:rPr>
      </w:pPr>
      <w:r>
        <w:rPr>
          <w:sz w:val="24"/>
        </w:rPr>
        <w:t xml:space="preserve">1.1.1 </w:t>
      </w:r>
      <w:r>
        <w:rPr>
          <w:rFonts w:hint="eastAsia"/>
          <w:sz w:val="24"/>
        </w:rPr>
        <w:t>乙方在合同生效后两周内，向甲方提供设备安装资料，包括设备的外型尺寸和水、电、气等外部安装条件要求、安装图纸及特殊安装要求（如有）等。</w:t>
      </w:r>
    </w:p>
    <w:p w14:paraId="4CC49ADA">
      <w:pPr>
        <w:spacing w:line="360" w:lineRule="auto"/>
        <w:ind w:firstLine="480" w:firstLineChars="200"/>
        <w:rPr>
          <w:sz w:val="24"/>
        </w:rPr>
      </w:pPr>
      <w:r>
        <w:rPr>
          <w:sz w:val="24"/>
        </w:rPr>
        <w:t xml:space="preserve">1.1.2 </w:t>
      </w:r>
      <w:r>
        <w:rPr>
          <w:rFonts w:hint="eastAsia"/>
          <w:sz w:val="24"/>
        </w:rPr>
        <w:t>乙方在接到甲方书面通知后</w:t>
      </w:r>
      <w:r>
        <w:rPr>
          <w:sz w:val="24"/>
        </w:rPr>
        <w:t>3</w:t>
      </w:r>
      <w:r>
        <w:rPr>
          <w:rFonts w:hint="eastAsia"/>
          <w:sz w:val="24"/>
        </w:rPr>
        <w:t>天内派人到现场与甲方共同进行开箱验收，乙方须向甲方出具仪器设备的原产地证明、出厂测试报告等，发送的货物与装箱单相符无误并与技术协议相符。在最终用户现场开箱验收还应达到如下要求后：</w:t>
      </w:r>
    </w:p>
    <w:p w14:paraId="2D756B59">
      <w:pPr>
        <w:spacing w:line="360" w:lineRule="auto"/>
        <w:ind w:firstLine="960" w:firstLineChars="400"/>
        <w:rPr>
          <w:sz w:val="24"/>
        </w:rPr>
      </w:pPr>
      <w:r>
        <w:rPr>
          <w:sz w:val="24"/>
        </w:rPr>
        <w:t xml:space="preserve">1.1.2.1 </w:t>
      </w:r>
      <w:r>
        <w:rPr>
          <w:rFonts w:hint="eastAsia"/>
          <w:sz w:val="24"/>
        </w:rPr>
        <w:t>所有设备的外观、喷漆、电缆的外壳和接头完好，铭牌正确。</w:t>
      </w:r>
    </w:p>
    <w:p w14:paraId="0CA3FA1F">
      <w:pPr>
        <w:spacing w:line="360" w:lineRule="auto"/>
        <w:ind w:firstLine="960" w:firstLineChars="400"/>
        <w:rPr>
          <w:sz w:val="24"/>
        </w:rPr>
      </w:pPr>
      <w:r>
        <w:rPr>
          <w:sz w:val="24"/>
        </w:rPr>
        <w:t xml:space="preserve">1.1.2.2 </w:t>
      </w:r>
      <w:r>
        <w:rPr>
          <w:rFonts w:hint="eastAsia"/>
          <w:sz w:val="24"/>
        </w:rPr>
        <w:t>所有设备的附件、备件必须完整、齐全，标识清楚。</w:t>
      </w:r>
    </w:p>
    <w:p w14:paraId="09BF2100">
      <w:pPr>
        <w:spacing w:line="360" w:lineRule="auto"/>
        <w:ind w:firstLine="960" w:firstLineChars="400"/>
        <w:rPr>
          <w:sz w:val="24"/>
        </w:rPr>
      </w:pPr>
      <w:r>
        <w:rPr>
          <w:sz w:val="24"/>
        </w:rPr>
        <w:t xml:space="preserve">1.1.2.3 </w:t>
      </w:r>
      <w:r>
        <w:rPr>
          <w:rFonts w:hint="eastAsia"/>
          <w:sz w:val="24"/>
        </w:rPr>
        <w:t>所有的设备资料必须完整。包括现场准备和安装说明书、操作手册、订货单规定的所有供货项目的详细清单、出厂验收测试报告等。</w:t>
      </w:r>
    </w:p>
    <w:p w14:paraId="0461B726">
      <w:pPr>
        <w:spacing w:line="360" w:lineRule="auto"/>
        <w:ind w:firstLine="480" w:firstLineChars="200"/>
        <w:rPr>
          <w:sz w:val="24"/>
        </w:rPr>
      </w:pPr>
      <w:r>
        <w:rPr>
          <w:sz w:val="24"/>
        </w:rPr>
        <w:t xml:space="preserve">1.1.3 </w:t>
      </w:r>
      <w:r>
        <w:rPr>
          <w:rFonts w:hint="eastAsia"/>
          <w:sz w:val="24"/>
        </w:rPr>
        <w:t>乙方在双方约定的时间到甲方现场免费安装、调试设备。安装调试所需相关物品由乙方提供，甲方需提供相应的人力支持和搬运工具。仪器应在一周内调试完毕。</w:t>
      </w:r>
    </w:p>
    <w:p w14:paraId="33BBDE7C">
      <w:pPr>
        <w:spacing w:line="360" w:lineRule="auto"/>
        <w:ind w:firstLine="480" w:firstLineChars="200"/>
        <w:rPr>
          <w:sz w:val="24"/>
        </w:rPr>
      </w:pPr>
      <w:r>
        <w:rPr>
          <w:sz w:val="24"/>
        </w:rPr>
        <w:t xml:space="preserve">1.1.4 </w:t>
      </w:r>
      <w:r>
        <w:rPr>
          <w:rFonts w:hint="eastAsia"/>
          <w:sz w:val="24"/>
        </w:rPr>
        <w:t>乙方对仪器配置的完整性和配套性负责（包括辅助设备），保证仪器的正常使用，对于缺漏的部分乙方必须免费提供。</w:t>
      </w:r>
    </w:p>
    <w:p w14:paraId="4952FEEF">
      <w:pPr>
        <w:spacing w:line="360" w:lineRule="auto"/>
        <w:ind w:firstLine="480" w:firstLineChars="200"/>
        <w:rPr>
          <w:sz w:val="24"/>
        </w:rPr>
      </w:pPr>
      <w:r>
        <w:rPr>
          <w:sz w:val="24"/>
        </w:rPr>
        <w:t xml:space="preserve">1.1.5 </w:t>
      </w:r>
      <w:r>
        <w:rPr>
          <w:rFonts w:hint="eastAsia"/>
          <w:sz w:val="24"/>
        </w:rPr>
        <w:t>仪器安装调试完成，分析方法建立后，经最终用户进行验收确认后，由乙方技术人员和最终用户共同在调试报告上签字，以确认仪器的安装调试工作完成，并以此签字时间作为质保期的开始时间。</w:t>
      </w:r>
    </w:p>
    <w:p w14:paraId="100AE008">
      <w:pPr>
        <w:spacing w:line="360" w:lineRule="auto"/>
        <w:ind w:firstLine="480" w:firstLineChars="200"/>
        <w:rPr>
          <w:sz w:val="24"/>
        </w:rPr>
      </w:pPr>
      <w:r>
        <w:rPr>
          <w:sz w:val="24"/>
        </w:rPr>
        <w:t xml:space="preserve">1.1.6 </w:t>
      </w:r>
      <w:r>
        <w:rPr>
          <w:rFonts w:hint="eastAsia"/>
          <w:sz w:val="24"/>
        </w:rPr>
        <w:t>性能保证：</w:t>
      </w:r>
    </w:p>
    <w:p w14:paraId="0C415825">
      <w:pPr>
        <w:spacing w:line="360" w:lineRule="auto"/>
        <w:ind w:firstLine="960" w:firstLineChars="400"/>
        <w:rPr>
          <w:sz w:val="24"/>
        </w:rPr>
      </w:pPr>
      <w:r>
        <w:rPr>
          <w:sz w:val="24"/>
        </w:rPr>
        <w:t xml:space="preserve">1.1.6.1 </w:t>
      </w:r>
      <w:r>
        <w:rPr>
          <w:rFonts w:hint="eastAsia"/>
          <w:sz w:val="24"/>
        </w:rPr>
        <w:t>线性检测范围：粘度</w:t>
      </w:r>
      <w:r>
        <w:rPr>
          <w:sz w:val="24"/>
        </w:rPr>
        <w:t>log10 [viscosity(Pa)]a</w:t>
      </w:r>
      <w:r>
        <w:rPr>
          <w:rFonts w:hint="eastAsia"/>
          <w:sz w:val="24"/>
        </w:rPr>
        <w:t>对数与温度成线性范围</w:t>
      </w:r>
    </w:p>
    <w:p w14:paraId="41DF30A0">
      <w:pPr>
        <w:spacing w:line="360" w:lineRule="auto"/>
        <w:ind w:firstLine="960" w:firstLineChars="400"/>
        <w:rPr>
          <w:sz w:val="24"/>
        </w:rPr>
      </w:pPr>
      <w:r>
        <w:rPr>
          <w:sz w:val="24"/>
        </w:rPr>
        <w:t xml:space="preserve">1.1.6.2 </w:t>
      </w:r>
      <w:r>
        <w:rPr>
          <w:rFonts w:hint="eastAsia"/>
          <w:sz w:val="24"/>
        </w:rPr>
        <w:t>符合分析标准：煤灰粘度测定方法标准</w:t>
      </w:r>
      <w:r>
        <w:rPr>
          <w:sz w:val="24"/>
        </w:rPr>
        <w:t>GB/T31424-2015</w:t>
      </w:r>
      <w:r>
        <w:rPr>
          <w:rFonts w:hint="eastAsia"/>
          <w:sz w:val="24"/>
        </w:rPr>
        <w:t>中对仪器规定</w:t>
      </w:r>
    </w:p>
    <w:p w14:paraId="2A5931E8">
      <w:pPr>
        <w:spacing w:line="360" w:lineRule="auto"/>
        <w:ind w:firstLine="960" w:firstLineChars="400"/>
        <w:rPr>
          <w:sz w:val="24"/>
        </w:rPr>
      </w:pPr>
      <w:r>
        <w:rPr>
          <w:sz w:val="24"/>
        </w:rPr>
        <w:t xml:space="preserve">1.1.6.3 </w:t>
      </w:r>
      <w:r>
        <w:rPr>
          <w:rFonts w:hint="eastAsia"/>
          <w:sz w:val="24"/>
        </w:rPr>
        <w:t>精密度要求：常温</w:t>
      </w:r>
      <w:r>
        <w:rPr>
          <w:sz w:val="24"/>
        </w:rPr>
        <w:t xml:space="preserve">25 </w:t>
      </w:r>
      <w:r>
        <w:rPr>
          <w:rFonts w:hint="eastAsia"/>
          <w:sz w:val="24"/>
        </w:rPr>
        <w:t>℃下标准硅油对比精度</w:t>
      </w:r>
      <w:r>
        <w:rPr>
          <w:sz w:val="24"/>
        </w:rPr>
        <w:t>1%</w:t>
      </w:r>
      <w:r>
        <w:rPr>
          <w:rFonts w:hint="eastAsia"/>
          <w:sz w:val="24"/>
        </w:rPr>
        <w:t>，重现性</w:t>
      </w:r>
      <w:r>
        <w:rPr>
          <w:sz w:val="24"/>
        </w:rPr>
        <w:t>0.2%</w:t>
      </w:r>
      <w:r>
        <w:rPr>
          <w:rFonts w:hint="eastAsia"/>
          <w:sz w:val="24"/>
        </w:rPr>
        <w:t>；高温下要求用美国</w:t>
      </w:r>
      <w:r>
        <w:rPr>
          <w:sz w:val="24"/>
        </w:rPr>
        <w:t>NIST</w:t>
      </w:r>
      <w:r>
        <w:rPr>
          <w:rFonts w:hint="eastAsia"/>
          <w:sz w:val="24"/>
        </w:rPr>
        <w:t>标准玻璃</w:t>
      </w:r>
      <w:r>
        <w:rPr>
          <w:sz w:val="24"/>
        </w:rPr>
        <w:t>717a</w:t>
      </w:r>
      <w:r>
        <w:rPr>
          <w:rFonts w:hint="eastAsia"/>
          <w:sz w:val="24"/>
        </w:rPr>
        <w:t>对应温度点下粘度比较。</w:t>
      </w:r>
    </w:p>
    <w:p w14:paraId="3ADC6B92">
      <w:pPr>
        <w:spacing w:line="360" w:lineRule="auto"/>
        <w:ind w:firstLine="960" w:firstLineChars="400"/>
        <w:rPr>
          <w:sz w:val="24"/>
        </w:rPr>
      </w:pPr>
      <w:r>
        <w:rPr>
          <w:sz w:val="24"/>
        </w:rPr>
        <w:t xml:space="preserve">1.1.6.4 </w:t>
      </w:r>
      <w:r>
        <w:rPr>
          <w:rFonts w:hint="eastAsia"/>
          <w:sz w:val="24"/>
        </w:rPr>
        <w:t>准确度：取样品每个温度点对应标准物质粘度</w:t>
      </w:r>
      <w:r>
        <w:rPr>
          <w:sz w:val="24"/>
        </w:rPr>
        <w:t>log10 [viscosity(Pa)]a</w:t>
      </w:r>
      <w:r>
        <w:rPr>
          <w:rFonts w:hint="eastAsia"/>
          <w:sz w:val="24"/>
        </w:rPr>
        <w:t>值，检测结果在有证标准物质允许误差范围之间</w:t>
      </w:r>
    </w:p>
    <w:p w14:paraId="35179529">
      <w:pPr>
        <w:spacing w:line="360" w:lineRule="auto"/>
        <w:ind w:firstLine="480" w:firstLineChars="200"/>
        <w:rPr>
          <w:sz w:val="24"/>
        </w:rPr>
      </w:pPr>
      <w:r>
        <w:rPr>
          <w:sz w:val="24"/>
        </w:rPr>
        <w:t xml:space="preserve">1.1.7 </w:t>
      </w:r>
      <w:r>
        <w:rPr>
          <w:rFonts w:hint="eastAsia"/>
          <w:sz w:val="24"/>
        </w:rPr>
        <w:t>验收方法：按</w:t>
      </w:r>
      <w:r>
        <w:rPr>
          <w:sz w:val="24"/>
        </w:rPr>
        <w:t>GB31424-2015</w:t>
      </w:r>
      <w:r>
        <w:rPr>
          <w:rFonts w:hint="eastAsia"/>
          <w:sz w:val="24"/>
        </w:rPr>
        <w:t>、</w:t>
      </w:r>
      <w:r>
        <w:rPr>
          <w:sz w:val="24"/>
        </w:rPr>
        <w:t>NIST 717a</w:t>
      </w:r>
      <w:r>
        <w:rPr>
          <w:rFonts w:hint="eastAsia"/>
          <w:sz w:val="24"/>
        </w:rPr>
        <w:t>标准玻璃检定规程对性能保证值进行验收。</w:t>
      </w:r>
    </w:p>
    <w:p w14:paraId="64C2068E">
      <w:pPr>
        <w:spacing w:line="360" w:lineRule="auto"/>
        <w:ind w:firstLine="480" w:firstLineChars="200"/>
        <w:rPr>
          <w:sz w:val="24"/>
        </w:rPr>
      </w:pPr>
    </w:p>
    <w:p w14:paraId="02826C6D">
      <w:pPr>
        <w:spacing w:line="360" w:lineRule="auto"/>
        <w:rPr>
          <w:sz w:val="24"/>
        </w:rPr>
      </w:pPr>
      <w:r>
        <w:rPr>
          <w:sz w:val="24"/>
        </w:rPr>
        <w:t xml:space="preserve">1.2  </w:t>
      </w:r>
      <w:r>
        <w:rPr>
          <w:rFonts w:hint="eastAsia"/>
          <w:sz w:val="24"/>
        </w:rPr>
        <w:t>技术培训</w:t>
      </w:r>
    </w:p>
    <w:p w14:paraId="60864838">
      <w:pPr>
        <w:spacing w:line="360" w:lineRule="auto"/>
        <w:ind w:firstLine="480" w:firstLineChars="200"/>
        <w:rPr>
          <w:sz w:val="24"/>
        </w:rPr>
      </w:pPr>
      <w:r>
        <w:rPr>
          <w:sz w:val="24"/>
        </w:rPr>
        <w:t xml:space="preserve">1.2.1 </w:t>
      </w:r>
      <w:r>
        <w:rPr>
          <w:rFonts w:hint="eastAsia"/>
          <w:sz w:val="24"/>
        </w:rPr>
        <w:t>在安装调试期间，乙方安排工程师在最终用户现场进行技术指导和培训，包括：仪器构造，工作原理，仪器操作使用，样品分析，日常的维护保养等方面的内容，直到最终用户操作人员能够独立使用仪器分析、会进行维护保养为止。</w:t>
      </w:r>
    </w:p>
    <w:p w14:paraId="1A8D7626">
      <w:pPr>
        <w:spacing w:line="360" w:lineRule="auto"/>
        <w:ind w:firstLine="480" w:firstLineChars="200"/>
        <w:rPr>
          <w:sz w:val="24"/>
        </w:rPr>
      </w:pPr>
      <w:r>
        <w:rPr>
          <w:sz w:val="24"/>
        </w:rPr>
        <w:t xml:space="preserve">1.2.2 </w:t>
      </w:r>
      <w:r>
        <w:rPr>
          <w:rFonts w:hint="eastAsia"/>
          <w:sz w:val="24"/>
        </w:rPr>
        <w:t>乙方根据最终用户要求进行定期或不定期回访，对维修人员进行专业仪器维修培训，并对仪器的常见故障的诊断及处理提出建议。</w:t>
      </w:r>
    </w:p>
    <w:p w14:paraId="3FFA4634">
      <w:pPr>
        <w:spacing w:line="360" w:lineRule="auto"/>
        <w:rPr>
          <w:sz w:val="24"/>
        </w:rPr>
      </w:pPr>
      <w:r>
        <w:rPr>
          <w:sz w:val="24"/>
        </w:rPr>
        <w:t xml:space="preserve">1.3 </w:t>
      </w:r>
      <w:r>
        <w:rPr>
          <w:rFonts w:hint="eastAsia"/>
          <w:sz w:val="24"/>
        </w:rPr>
        <w:t>保修期：设备验收合格起质保期为</w:t>
      </w:r>
      <w:r>
        <w:rPr>
          <w:sz w:val="24"/>
        </w:rPr>
        <w:t>24</w:t>
      </w:r>
      <w:r>
        <w:rPr>
          <w:rFonts w:hint="eastAsia"/>
          <w:sz w:val="24"/>
        </w:rPr>
        <w:t>个月。质保期内，免费更换正常情况下损坏零配件和提供全免费保修；质保期后，零配件价格给予优惠并及时供应，终身维护并免费上门服务。</w:t>
      </w:r>
    </w:p>
    <w:p w14:paraId="7F640DC8">
      <w:pPr>
        <w:spacing w:line="360" w:lineRule="auto"/>
        <w:rPr>
          <w:sz w:val="24"/>
        </w:rPr>
      </w:pPr>
      <w:r>
        <w:rPr>
          <w:sz w:val="24"/>
        </w:rPr>
        <w:t xml:space="preserve">1.4 </w:t>
      </w:r>
      <w:r>
        <w:rPr>
          <w:rFonts w:hint="eastAsia"/>
          <w:sz w:val="24"/>
        </w:rPr>
        <w:t>维修响应时间：设备发生故障，要求厂家</w:t>
      </w:r>
      <w:r>
        <w:rPr>
          <w:sz w:val="24"/>
        </w:rPr>
        <w:t>24</w:t>
      </w:r>
      <w:r>
        <w:rPr>
          <w:rFonts w:hint="eastAsia"/>
          <w:sz w:val="24"/>
        </w:rPr>
        <w:t>小时内解决问题，重大问题或其它无法迅速解决的问题应在一周内解决或提出明确的解决方案。有专业工程师专人负责客户的技术问题咨询或要求指导，及时给予解释和帮助，并保证与用户保持长期、良好的技术交流和协作关系。</w:t>
      </w:r>
    </w:p>
    <w:p w14:paraId="3C71AA24">
      <w:pPr>
        <w:spacing w:line="360" w:lineRule="auto"/>
        <w:rPr>
          <w:sz w:val="24"/>
        </w:rPr>
      </w:pPr>
      <w:r>
        <w:rPr>
          <w:sz w:val="24"/>
        </w:rPr>
        <w:t xml:space="preserve">1.5 </w:t>
      </w:r>
      <w:r>
        <w:rPr>
          <w:rFonts w:hint="eastAsia"/>
          <w:sz w:val="24"/>
        </w:rPr>
        <w:t>仪器在运输过程中，出现的一切损失由供方负责。</w:t>
      </w:r>
    </w:p>
    <w:p w14:paraId="6F9903E9">
      <w:pPr>
        <w:spacing w:line="360" w:lineRule="auto"/>
        <w:rPr>
          <w:sz w:val="24"/>
        </w:rPr>
      </w:pPr>
    </w:p>
    <w:p w14:paraId="5C3803DE">
      <w:pPr>
        <w:spacing w:line="360" w:lineRule="auto"/>
        <w:rPr>
          <w:b/>
          <w:sz w:val="24"/>
        </w:rPr>
      </w:pPr>
      <w:r>
        <w:rPr>
          <w:rFonts w:hint="eastAsia"/>
          <w:b/>
          <w:sz w:val="24"/>
        </w:rPr>
        <w:t>（三）</w:t>
      </w:r>
      <w:r>
        <w:rPr>
          <w:b/>
          <w:sz w:val="24"/>
        </w:rPr>
        <w:t xml:space="preserve"> </w:t>
      </w:r>
      <w:r>
        <w:rPr>
          <w:rFonts w:hint="eastAsia"/>
          <w:b/>
          <w:sz w:val="24"/>
        </w:rPr>
        <w:t>订货数量：</w:t>
      </w:r>
    </w:p>
    <w:p w14:paraId="6BF95029">
      <w:pPr>
        <w:spacing w:line="360" w:lineRule="auto"/>
        <w:ind w:firstLine="480" w:firstLineChars="200"/>
        <w:rPr>
          <w:sz w:val="24"/>
        </w:rPr>
      </w:pPr>
      <w:r>
        <w:rPr>
          <w:rFonts w:hint="eastAsia"/>
          <w:sz w:val="24"/>
        </w:rPr>
        <w:t>旋转高温粘度计</w:t>
      </w:r>
      <w:r>
        <w:rPr>
          <w:sz w:val="24"/>
        </w:rPr>
        <w:t>1</w:t>
      </w:r>
      <w:r>
        <w:rPr>
          <w:rFonts w:hint="eastAsia"/>
          <w:sz w:val="24"/>
        </w:rPr>
        <w:t>套</w:t>
      </w:r>
    </w:p>
    <w:p w14:paraId="5685200A">
      <w:pPr>
        <w:spacing w:line="360" w:lineRule="auto"/>
        <w:ind w:firstLine="480" w:firstLineChars="200"/>
        <w:rPr>
          <w:sz w:val="24"/>
        </w:rPr>
      </w:pPr>
    </w:p>
    <w:p w14:paraId="4C2B163E">
      <w:pPr>
        <w:spacing w:line="360" w:lineRule="auto"/>
        <w:rPr>
          <w:b/>
          <w:sz w:val="24"/>
        </w:rPr>
      </w:pPr>
      <w:r>
        <w:rPr>
          <w:rFonts w:hint="eastAsia"/>
          <w:b/>
          <w:sz w:val="24"/>
        </w:rPr>
        <w:t>（四）</w:t>
      </w:r>
      <w:r>
        <w:rPr>
          <w:b/>
          <w:sz w:val="24"/>
        </w:rPr>
        <w:t xml:space="preserve"> </w:t>
      </w:r>
      <w:r>
        <w:rPr>
          <w:rFonts w:hint="eastAsia"/>
          <w:b/>
          <w:sz w:val="24"/>
        </w:rPr>
        <w:t>交货地：</w:t>
      </w:r>
    </w:p>
    <w:p w14:paraId="2C0136F8">
      <w:pPr>
        <w:spacing w:line="360" w:lineRule="auto"/>
        <w:ind w:firstLine="240"/>
        <w:rPr>
          <w:sz w:val="24"/>
        </w:rPr>
      </w:pPr>
      <w:r>
        <w:rPr>
          <w:sz w:val="24"/>
        </w:rPr>
        <w:tab/>
      </w:r>
      <w:r>
        <w:rPr>
          <w:rFonts w:hint="eastAsia"/>
          <w:sz w:val="24"/>
        </w:rPr>
        <w:t>用户指定地点</w:t>
      </w:r>
    </w:p>
    <w:p w14:paraId="45A697E4">
      <w:pPr>
        <w:spacing w:line="360" w:lineRule="auto"/>
        <w:rPr>
          <w:sz w:val="24"/>
        </w:rPr>
      </w:pPr>
    </w:p>
    <w:p w14:paraId="231DF0D4">
      <w:pPr>
        <w:spacing w:line="360" w:lineRule="auto"/>
        <w:rPr>
          <w:b/>
          <w:sz w:val="24"/>
        </w:rPr>
      </w:pPr>
      <w:r>
        <w:rPr>
          <w:rFonts w:hint="eastAsia"/>
          <w:b/>
          <w:sz w:val="24"/>
        </w:rPr>
        <w:t>（五）交货日期：</w:t>
      </w:r>
    </w:p>
    <w:p w14:paraId="4EACB72D">
      <w:pPr>
        <w:spacing w:line="360" w:lineRule="auto"/>
        <w:rPr>
          <w:sz w:val="24"/>
        </w:rPr>
      </w:pPr>
      <w:r>
        <w:rPr>
          <w:sz w:val="24"/>
        </w:rPr>
        <w:tab/>
      </w:r>
      <w:r>
        <w:rPr>
          <w:rFonts w:hint="eastAsia"/>
          <w:sz w:val="24"/>
        </w:rPr>
        <w:t>合同生效期后</w:t>
      </w:r>
      <w:r>
        <w:rPr>
          <w:sz w:val="24"/>
        </w:rPr>
        <w:t>90</w:t>
      </w:r>
      <w:r>
        <w:rPr>
          <w:rFonts w:hint="eastAsia"/>
          <w:sz w:val="24"/>
        </w:rPr>
        <w:t>天内交货。</w:t>
      </w:r>
      <w:r>
        <w:rPr>
          <w:sz w:val="24"/>
        </w:rPr>
        <w:t xml:space="preserve">                                          </w:t>
      </w:r>
    </w:p>
    <w:p w14:paraId="52FC2219">
      <w:pPr>
        <w:spacing w:line="360" w:lineRule="auto"/>
        <w:rPr>
          <w:sz w:val="24"/>
        </w:rPr>
      </w:pPr>
    </w:p>
    <w:p w14:paraId="2DB4F060">
      <w:pPr>
        <w:spacing w:line="360" w:lineRule="auto"/>
        <w:rPr>
          <w:b/>
          <w:sz w:val="24"/>
        </w:rPr>
      </w:pPr>
      <w:r>
        <w:rPr>
          <w:rFonts w:hint="eastAsia"/>
          <w:b/>
          <w:sz w:val="24"/>
        </w:rPr>
        <w:t>（六）执行的相关标准</w:t>
      </w:r>
    </w:p>
    <w:p w14:paraId="11765DCE">
      <w:pPr>
        <w:spacing w:line="360" w:lineRule="auto"/>
        <w:rPr>
          <w:rFonts w:ascii="inherit" w:hAnsi="inherit" w:cs="宋体"/>
          <w:kern w:val="0"/>
          <w:sz w:val="24"/>
        </w:rPr>
      </w:pPr>
      <w:r>
        <w:rPr>
          <w:rFonts w:ascii="inherit" w:hAnsi="inherit" w:cs="宋体"/>
          <w:kern w:val="0"/>
          <w:sz w:val="24"/>
        </w:rPr>
        <w:tab/>
      </w:r>
      <w:r>
        <w:rPr>
          <w:rFonts w:hint="eastAsia" w:ascii="inherit" w:hAnsi="inherit" w:cs="宋体"/>
          <w:kern w:val="0"/>
          <w:sz w:val="24"/>
        </w:rPr>
        <w:t>产品应满</w:t>
      </w:r>
      <w:r>
        <w:rPr>
          <w:rFonts w:hint="eastAsia"/>
          <w:kern w:val="0"/>
          <w:sz w:val="24"/>
        </w:rPr>
        <w:t>足</w:t>
      </w:r>
      <w:r>
        <w:rPr>
          <w:kern w:val="0"/>
          <w:sz w:val="24"/>
        </w:rPr>
        <w:t>GB/T 31424-2015</w:t>
      </w:r>
      <w:r>
        <w:rPr>
          <w:rFonts w:hint="eastAsia"/>
          <w:kern w:val="0"/>
          <w:sz w:val="24"/>
        </w:rPr>
        <w:t>《煤灰</w:t>
      </w:r>
      <w:r>
        <w:rPr>
          <w:rFonts w:hint="eastAsia" w:ascii="inherit" w:hAnsi="inherit" w:cs="宋体"/>
          <w:kern w:val="0"/>
          <w:sz w:val="24"/>
        </w:rPr>
        <w:t>黏度测定方法》标准。</w:t>
      </w:r>
    </w:p>
    <w:p w14:paraId="0E059E2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Bookman Old Style">
    <w:panose1 w:val="02050604050505020204"/>
    <w:charset w:val="00"/>
    <w:family w:val="roman"/>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inherit">
    <w:altName w:val="微软雅黑"/>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pPr>
        <w:ind w:left="0" w:firstLine="0"/>
      </w:pPr>
    </w:lvl>
  </w:abstractNum>
  <w:abstractNum w:abstractNumId="1">
    <w:nsid w:val="4E5B42B3"/>
    <w:multiLevelType w:val="multilevel"/>
    <w:tmpl w:val="4E5B42B3"/>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lvlOverride w:ilvl="0">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928"/>
    <w:rsid w:val="00915928"/>
    <w:rsid w:val="00BB28F0"/>
    <w:rsid w:val="00C83BEF"/>
    <w:rsid w:val="00E71747"/>
    <w:rsid w:val="51963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Plain Text"/>
    <w:basedOn w:val="1"/>
    <w:link w:val="9"/>
    <w:semiHidden/>
    <w:unhideWhenUsed/>
    <w:uiPriority w:val="0"/>
    <w:rPr>
      <w:rFonts w:ascii="宋体" w:hAnsi="Courier New"/>
      <w:szCs w:val="20"/>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uiPriority w:val="99"/>
    <w:rPr>
      <w:sz w:val="18"/>
      <w:szCs w:val="18"/>
    </w:rPr>
  </w:style>
  <w:style w:type="character" w:customStyle="1" w:styleId="8">
    <w:name w:val="页脚 字符"/>
    <w:basedOn w:val="6"/>
    <w:link w:val="3"/>
    <w:uiPriority w:val="99"/>
    <w:rPr>
      <w:sz w:val="18"/>
      <w:szCs w:val="18"/>
    </w:rPr>
  </w:style>
  <w:style w:type="character" w:customStyle="1" w:styleId="9">
    <w:name w:val="纯文本 字符"/>
    <w:basedOn w:val="6"/>
    <w:link w:val="2"/>
    <w:semiHidden/>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3913</Words>
  <Characters>4384</Characters>
  <Lines>33</Lines>
  <Paragraphs>9</Paragraphs>
  <TotalTime>0</TotalTime>
  <ScaleCrop>false</ScaleCrop>
  <LinksUpToDate>false</LinksUpToDate>
  <CharactersWithSpaces>4581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2024-08-21T12:09:00Z</dcterms:created>
  <dc:creator>lenovo</dc:creator>
  <cp:lastModifiedBy>清</cp:lastModifiedBy>
  <dcterms:modified xsi:type="dcterms:W3CDTF">2024-08-22T02:27:42Z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DE8B0A3AF5B047B5A7A49223EB5A1A96_13</vt:lpwstr>
  </property>
</Properties>
</file>