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936" w:beforeLines="300"/>
        <w:jc w:val="center"/>
        <w:rPr>
          <w:rFonts w:ascii="黑体" w:eastAsia="黑体"/>
          <w:b/>
          <w:color w:val="auto"/>
          <w:kern w:val="44"/>
          <w:sz w:val="48"/>
          <w:szCs w:val="20"/>
          <w:highlight w:val="none"/>
        </w:rPr>
      </w:pPr>
      <w:bookmarkStart w:id="6" w:name="_GoBack"/>
      <w:bookmarkEnd w:id="6"/>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p>
      <w:pPr>
        <w:adjustRightInd w:val="0"/>
        <w:snapToGrid w:val="0"/>
        <w:jc w:val="center"/>
        <w:rPr>
          <w:rFonts w:ascii="宋体" w:hAnsi="宋体"/>
          <w:b/>
          <w:color w:val="auto"/>
          <w:sz w:val="30"/>
          <w:szCs w:val="30"/>
          <w:highlight w:val="none"/>
        </w:rPr>
      </w:pPr>
      <w:r>
        <w:rPr>
          <w:rFonts w:hint="eastAsia" w:ascii="宋体" w:hAnsi="宋体"/>
          <w:b/>
          <w:color w:val="auto"/>
          <w:sz w:val="30"/>
          <w:szCs w:val="30"/>
          <w:highlight w:val="none"/>
        </w:rPr>
        <w:t>一、货物需求一览表</w:t>
      </w:r>
    </w:p>
    <w:p>
      <w:pPr>
        <w:adjustRightInd w:val="0"/>
        <w:snapToGrid w:val="0"/>
        <w:jc w:val="center"/>
        <w:rPr>
          <w:rFonts w:ascii="宋体" w:hAnsi="宋体"/>
          <w:b/>
          <w:color w:val="auto"/>
          <w:sz w:val="30"/>
          <w:szCs w:val="30"/>
          <w:highlight w:val="none"/>
        </w:rPr>
      </w:pPr>
    </w:p>
    <w:tbl>
      <w:tblPr>
        <w:tblStyle w:val="7"/>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noWrap/>
            <w:vAlign w:val="center"/>
          </w:tcPr>
          <w:p>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1878" w:type="dxa"/>
            <w:noWrap/>
            <w:vAlign w:val="center"/>
          </w:tcPr>
          <w:p>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122" w:type="dxa"/>
            <w:noWrap/>
            <w:vAlign w:val="center"/>
          </w:tcPr>
          <w:p>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011" w:type="dxa"/>
            <w:noWrap/>
            <w:vAlign w:val="center"/>
          </w:tcPr>
          <w:p>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567" w:type="dxa"/>
            <w:noWrap/>
            <w:vAlign w:val="center"/>
          </w:tcPr>
          <w:p>
            <w:pPr>
              <w:jc w:val="center"/>
              <w:rPr>
                <w:rFonts w:ascii="宋体" w:hAnsi="Bookman Old Style"/>
                <w:color w:val="auto"/>
                <w:sz w:val="24"/>
                <w:highlight w:val="none"/>
              </w:rPr>
            </w:pPr>
            <w:r>
              <w:rPr>
                <w:rFonts w:hint="eastAsia" w:ascii="宋体" w:hAnsi="Bookman Old Style"/>
                <w:color w:val="auto"/>
                <w:sz w:val="24"/>
                <w:highlight w:val="none"/>
              </w:rPr>
              <w:t>指定到货港</w:t>
            </w:r>
          </w:p>
        </w:tc>
        <w:tc>
          <w:tcPr>
            <w:tcW w:w="2459" w:type="dxa"/>
            <w:noWrap/>
            <w:vAlign w:val="center"/>
          </w:tcPr>
          <w:p>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noWrap/>
            <w:vAlign w:val="center"/>
          </w:tcPr>
          <w:p>
            <w:pPr>
              <w:jc w:val="center"/>
              <w:rPr>
                <w:rFonts w:ascii="宋体"/>
                <w:color w:val="auto"/>
                <w:sz w:val="24"/>
                <w:highlight w:val="none"/>
              </w:rPr>
            </w:pPr>
            <w:r>
              <w:rPr>
                <w:rFonts w:hint="eastAsia" w:ascii="宋体"/>
                <w:color w:val="auto"/>
                <w:sz w:val="24"/>
                <w:highlight w:val="none"/>
              </w:rPr>
              <w:t>1</w:t>
            </w:r>
          </w:p>
        </w:tc>
        <w:tc>
          <w:tcPr>
            <w:tcW w:w="1878" w:type="dxa"/>
            <w:noWrap/>
            <w:vAlign w:val="center"/>
          </w:tcPr>
          <w:p>
            <w:pPr>
              <w:jc w:val="center"/>
              <w:rPr>
                <w:rFonts w:ascii="Bookman Old Style" w:hAnsi="Bookman Old Style"/>
                <w:color w:val="auto"/>
                <w:sz w:val="24"/>
                <w:highlight w:val="none"/>
              </w:rPr>
            </w:pPr>
            <w:r>
              <w:rPr>
                <w:rFonts w:hint="eastAsia" w:ascii="Bookman Old Style" w:hAnsi="Bookman Old Style"/>
                <w:color w:val="auto"/>
                <w:sz w:val="24"/>
                <w:highlight w:val="none"/>
              </w:rPr>
              <w:t>激光粒度粒形分析仪</w:t>
            </w:r>
          </w:p>
        </w:tc>
        <w:tc>
          <w:tcPr>
            <w:tcW w:w="1122" w:type="dxa"/>
            <w:noWrap/>
            <w:vAlign w:val="center"/>
          </w:tcPr>
          <w:p>
            <w:pPr>
              <w:jc w:val="center"/>
              <w:rPr>
                <w:rFonts w:ascii="宋体" w:hAnsi="Bookman Old Style"/>
                <w:color w:val="auto"/>
                <w:sz w:val="24"/>
                <w:highlight w:val="none"/>
              </w:rPr>
            </w:pPr>
            <w:r>
              <w:rPr>
                <w:rFonts w:ascii="宋体" w:hAnsi="宋体"/>
                <w:color w:val="auto"/>
                <w:sz w:val="24"/>
                <w:highlight w:val="none"/>
              </w:rPr>
              <w:t>1</w:t>
            </w:r>
            <w:r>
              <w:rPr>
                <w:rFonts w:hint="eastAsia" w:ascii="宋体" w:hAnsi="宋体"/>
                <w:color w:val="auto"/>
                <w:sz w:val="24"/>
                <w:highlight w:val="none"/>
              </w:rPr>
              <w:t>套</w:t>
            </w:r>
          </w:p>
        </w:tc>
        <w:tc>
          <w:tcPr>
            <w:tcW w:w="5037" w:type="dxa"/>
            <w:gridSpan w:val="3"/>
            <w:noWrap/>
            <w:vAlign w:val="center"/>
          </w:tcPr>
          <w:p>
            <w:pPr>
              <w:jc w:val="center"/>
              <w:rPr>
                <w:rFonts w:ascii="宋体" w:hAnsi="Bookman Old Style"/>
                <w:color w:val="auto"/>
                <w:sz w:val="24"/>
                <w:highlight w:val="none"/>
              </w:rPr>
            </w:pPr>
            <w:r>
              <w:rPr>
                <w:rFonts w:hint="eastAsia" w:ascii="宋体" w:hAnsi="Bookman Old Style"/>
                <w:color w:val="auto"/>
                <w:sz w:val="24"/>
                <w:highlight w:val="none"/>
              </w:rPr>
              <w:t>详见具体技术规格</w:t>
            </w:r>
          </w:p>
        </w:tc>
      </w:tr>
    </w:tbl>
    <w:p>
      <w:pPr>
        <w:adjustRightInd w:val="0"/>
        <w:snapToGrid w:val="0"/>
        <w:jc w:val="center"/>
        <w:rPr>
          <w:rFonts w:ascii="宋体" w:hAnsi="宋体"/>
          <w:b/>
          <w:color w:val="auto"/>
          <w:sz w:val="30"/>
          <w:szCs w:val="30"/>
          <w:highlight w:val="none"/>
        </w:rPr>
      </w:pPr>
    </w:p>
    <w:p>
      <w:pPr>
        <w:adjustRightInd w:val="0"/>
        <w:snapToGrid w:val="0"/>
        <w:jc w:val="center"/>
        <w:rPr>
          <w:rFonts w:ascii="宋体" w:hAnsi="宋体"/>
          <w:b/>
          <w:color w:val="auto"/>
          <w:sz w:val="30"/>
          <w:szCs w:val="30"/>
          <w:highlight w:val="none"/>
        </w:rPr>
      </w:pPr>
    </w:p>
    <w:p>
      <w:pPr>
        <w:adjustRightInd w:val="0"/>
        <w:snapToGrid w:val="0"/>
        <w:jc w:val="center"/>
        <w:rPr>
          <w:rFonts w:ascii="宋体" w:hAnsi="宋体"/>
          <w:b/>
          <w:color w:val="auto"/>
          <w:sz w:val="30"/>
          <w:szCs w:val="30"/>
          <w:highlight w:val="none"/>
        </w:rPr>
      </w:pPr>
    </w:p>
    <w:p>
      <w:pPr>
        <w:rPr>
          <w:rFonts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tabs>
          <w:tab w:val="left" w:pos="720"/>
        </w:tabs>
        <w:adjustRightInd w:val="0"/>
        <w:snapToGrid w:val="0"/>
        <w:jc w:val="center"/>
        <w:rPr>
          <w:rFonts w:ascii="宋体" w:hAnsi="宋体"/>
          <w:b/>
          <w:color w:val="auto"/>
          <w:sz w:val="30"/>
          <w:szCs w:val="30"/>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二、总则</w:t>
      </w:r>
    </w:p>
    <w:p>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pPr>
        <w:spacing w:line="360" w:lineRule="auto"/>
        <w:ind w:left="554" w:hanging="554" w:hangingChars="231"/>
        <w:rPr>
          <w:rFonts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pPr>
        <w:spacing w:line="360" w:lineRule="auto"/>
        <w:ind w:left="554" w:hanging="554" w:hangingChars="231"/>
        <w:rPr>
          <w:rFonts w:ascii="宋体"/>
          <w:color w:val="auto"/>
          <w:sz w:val="24"/>
          <w:highlight w:val="none"/>
        </w:rPr>
      </w:pPr>
      <w:r>
        <w:rPr>
          <w:rFonts w:hint="eastAsia" w:ascii="宋体"/>
          <w:color w:val="auto"/>
          <w:sz w:val="24"/>
          <w:highlight w:val="none"/>
        </w:rPr>
        <w:t>1.4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2、评标标准</w:t>
      </w:r>
    </w:p>
    <w:p>
      <w:pPr>
        <w:spacing w:line="360" w:lineRule="auto"/>
        <w:ind w:left="554" w:hanging="554" w:hangingChars="231"/>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3、工作条件</w:t>
      </w:r>
    </w:p>
    <w:p>
      <w:pPr>
        <w:spacing w:after="312" w:afterLines="100" w:line="360" w:lineRule="auto"/>
        <w:rPr>
          <w:rFonts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pPr>
        <w:rPr>
          <w:rFonts w:eastAsia="黑体"/>
          <w:b/>
          <w:bCs/>
          <w:color w:val="auto"/>
          <w:kern w:val="44"/>
          <w:sz w:val="24"/>
          <w:highlight w:val="none"/>
        </w:rPr>
      </w:pP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4、验收标准</w:t>
      </w:r>
    </w:p>
    <w:p>
      <w:pPr>
        <w:spacing w:after="312" w:afterLines="100" w:line="360" w:lineRule="auto"/>
        <w:rPr>
          <w:rFonts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Ansi="宋体"/>
          <w:b/>
          <w:color w:val="auto"/>
          <w:sz w:val="24"/>
          <w:szCs w:val="24"/>
          <w:highlight w:val="none"/>
        </w:rPr>
      </w:pPr>
    </w:p>
    <w:p>
      <w:pPr>
        <w:pStyle w:val="2"/>
        <w:spacing w:line="360" w:lineRule="auto"/>
        <w:ind w:left="410" w:hanging="410" w:hangingChars="170"/>
        <w:rPr>
          <w:rFonts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pPr>
        <w:pStyle w:val="2"/>
        <w:spacing w:line="360" w:lineRule="auto"/>
        <w:rPr>
          <w:rFonts w:hAnsi="宋体"/>
          <w:b/>
          <w:color w:val="auto"/>
          <w:sz w:val="24"/>
          <w:szCs w:val="24"/>
          <w:highlight w:val="none"/>
        </w:rPr>
      </w:pPr>
      <w:r>
        <w:rPr>
          <w:rFonts w:hint="eastAsia" w:hAnsi="宋体"/>
          <w:b/>
          <w:color w:val="auto"/>
          <w:sz w:val="24"/>
          <w:szCs w:val="24"/>
          <w:highlight w:val="none"/>
        </w:rPr>
        <w:t>6、如在具体技术规格中有本总则不一致之处，以具体技术规格中的要求为准。</w:t>
      </w:r>
    </w:p>
    <w:p>
      <w:pPr>
        <w:spacing w:after="156" w:afterLines="50"/>
        <w:ind w:left="601" w:hanging="601"/>
        <w:rPr>
          <w:rFonts w:ascii="宋体" w:hAnsi="宋体"/>
          <w:b/>
          <w:color w:val="auto"/>
          <w:sz w:val="28"/>
          <w:highlight w:val="none"/>
        </w:rPr>
      </w:pPr>
      <w:r>
        <w:rPr>
          <w:rFonts w:hint="eastAsia" w:ascii="宋体" w:hAnsi="宋体"/>
          <w:b/>
          <w:color w:val="auto"/>
          <w:sz w:val="28"/>
          <w:highlight w:val="none"/>
        </w:rPr>
        <w:t>三、具体技术规格</w:t>
      </w:r>
    </w:p>
    <w:p>
      <w:pPr>
        <w:rPr>
          <w:color w:val="auto"/>
          <w:sz w:val="24"/>
          <w:highlight w:val="none"/>
        </w:rPr>
      </w:pPr>
    </w:p>
    <w:p>
      <w:pPr>
        <w:jc w:val="center"/>
        <w:rPr>
          <w:b/>
          <w:color w:val="auto"/>
          <w:sz w:val="24"/>
          <w:highlight w:val="none"/>
        </w:rPr>
      </w:pPr>
      <w:r>
        <w:rPr>
          <w:rFonts w:hint="eastAsia"/>
          <w:b/>
          <w:color w:val="auto"/>
          <w:sz w:val="24"/>
          <w:highlight w:val="none"/>
        </w:rPr>
        <w:t>第1包 激光粒度粒形分析仪</w:t>
      </w:r>
    </w:p>
    <w:p>
      <w:pPr>
        <w:rPr>
          <w:b/>
          <w:color w:val="auto"/>
          <w:sz w:val="24"/>
          <w:highlight w:val="none"/>
        </w:rPr>
      </w:pPr>
    </w:p>
    <w:p>
      <w:pPr>
        <w:rPr>
          <w:b/>
          <w:color w:val="auto"/>
          <w:sz w:val="24"/>
          <w:highlight w:val="none"/>
        </w:rPr>
      </w:pPr>
    </w:p>
    <w:p>
      <w:pPr>
        <w:numPr>
          <w:ilvl w:val="0"/>
          <w:numId w:val="1"/>
        </w:numPr>
        <w:rPr>
          <w:rFonts w:ascii="宋体" w:hAnsi="宋体" w:cs="宋体"/>
          <w:b/>
          <w:color w:val="auto"/>
          <w:sz w:val="24"/>
          <w:highlight w:val="none"/>
        </w:rPr>
      </w:pPr>
      <w:r>
        <w:rPr>
          <w:rFonts w:hint="eastAsia" w:ascii="宋体" w:hAnsi="宋体" w:cs="宋体"/>
          <w:b/>
          <w:color w:val="auto"/>
          <w:sz w:val="24"/>
          <w:highlight w:val="none"/>
        </w:rPr>
        <w:t>技术要求：</w:t>
      </w:r>
    </w:p>
    <w:p>
      <w:pPr>
        <w:numPr>
          <w:ilvl w:val="0"/>
          <w:numId w:val="2"/>
        </w:numPr>
        <w:spacing w:line="360" w:lineRule="auto"/>
        <w:rPr>
          <w:rFonts w:ascii="宋体" w:hAnsi="宋体" w:cs="宋体"/>
          <w:b/>
          <w:color w:val="auto"/>
          <w:sz w:val="24"/>
          <w:highlight w:val="none"/>
        </w:rPr>
      </w:pPr>
      <w:r>
        <w:rPr>
          <w:rFonts w:hint="eastAsia" w:ascii="宋体" w:hAnsi="宋体" w:cs="宋体"/>
          <w:b/>
          <w:color w:val="auto"/>
          <w:sz w:val="24"/>
          <w:highlight w:val="none"/>
        </w:rPr>
        <w:t>工作条件：</w:t>
      </w:r>
    </w:p>
    <w:p>
      <w:pPr>
        <w:spacing w:line="360" w:lineRule="auto"/>
        <w:rPr>
          <w:rFonts w:ascii="宋体" w:hAnsi="宋体" w:cs="宋体"/>
          <w:color w:val="auto"/>
          <w:sz w:val="24"/>
          <w:highlight w:val="none"/>
        </w:rPr>
      </w:pPr>
      <w:r>
        <w:rPr>
          <w:rFonts w:hint="eastAsia" w:ascii="宋体" w:hAnsi="宋体" w:cs="宋体"/>
          <w:color w:val="auto"/>
          <w:sz w:val="24"/>
          <w:highlight w:val="none"/>
        </w:rPr>
        <w:t>1.1</w:t>
      </w:r>
      <w:r>
        <w:rPr>
          <w:rFonts w:hint="eastAsia" w:ascii="宋体" w:hAnsi="宋体" w:cs="宋体"/>
          <w:color w:val="auto"/>
          <w:sz w:val="24"/>
          <w:highlight w:val="none"/>
        </w:rPr>
        <w:tab/>
      </w:r>
      <w:r>
        <w:rPr>
          <w:rFonts w:hint="eastAsia" w:ascii="宋体" w:hAnsi="宋体" w:cs="宋体"/>
          <w:color w:val="auto"/>
          <w:sz w:val="24"/>
          <w:highlight w:val="none"/>
        </w:rPr>
        <w:t>工作电压：220 ± 10% V</w:t>
      </w:r>
    </w:p>
    <w:p>
      <w:pPr>
        <w:spacing w:line="360" w:lineRule="auto"/>
        <w:rPr>
          <w:rFonts w:ascii="宋体" w:hAnsi="宋体" w:cs="宋体"/>
          <w:color w:val="auto"/>
          <w:sz w:val="24"/>
          <w:highlight w:val="none"/>
        </w:rPr>
      </w:pPr>
      <w:r>
        <w:rPr>
          <w:rFonts w:hint="eastAsia" w:ascii="宋体" w:hAnsi="宋体" w:cs="宋体"/>
          <w:color w:val="auto"/>
          <w:sz w:val="24"/>
          <w:highlight w:val="none"/>
        </w:rPr>
        <w:t>1.2</w:t>
      </w:r>
      <w:r>
        <w:rPr>
          <w:rFonts w:hint="eastAsia" w:ascii="宋体" w:hAnsi="宋体" w:cs="宋体"/>
          <w:color w:val="auto"/>
          <w:sz w:val="24"/>
          <w:highlight w:val="none"/>
        </w:rPr>
        <w:tab/>
      </w:r>
      <w:r>
        <w:rPr>
          <w:rFonts w:hint="eastAsia" w:ascii="宋体" w:hAnsi="宋体" w:cs="宋体"/>
          <w:color w:val="auto"/>
          <w:sz w:val="24"/>
          <w:highlight w:val="none"/>
        </w:rPr>
        <w:t xml:space="preserve">操作温度：15~30 ℃ </w:t>
      </w:r>
    </w:p>
    <w:p>
      <w:pPr>
        <w:spacing w:line="360" w:lineRule="auto"/>
        <w:rPr>
          <w:rFonts w:ascii="宋体" w:hAnsi="宋体" w:cs="宋体"/>
          <w:color w:val="auto"/>
          <w:sz w:val="24"/>
          <w:highlight w:val="none"/>
        </w:rPr>
      </w:pPr>
      <w:r>
        <w:rPr>
          <w:rFonts w:hint="eastAsia" w:ascii="宋体" w:hAnsi="宋体" w:cs="宋体"/>
          <w:color w:val="auto"/>
          <w:sz w:val="24"/>
          <w:highlight w:val="none"/>
        </w:rPr>
        <w:t>1.3</w:t>
      </w:r>
      <w:r>
        <w:rPr>
          <w:rFonts w:hint="eastAsia" w:ascii="宋体" w:hAnsi="宋体" w:cs="宋体"/>
          <w:color w:val="auto"/>
          <w:sz w:val="24"/>
          <w:highlight w:val="none"/>
        </w:rPr>
        <w:tab/>
      </w:r>
      <w:r>
        <w:rPr>
          <w:rFonts w:hint="eastAsia" w:ascii="宋体" w:hAnsi="宋体" w:cs="宋体"/>
          <w:color w:val="auto"/>
          <w:sz w:val="24"/>
          <w:highlight w:val="none"/>
        </w:rPr>
        <w:t>湿度： &lt; 85%</w:t>
      </w:r>
    </w:p>
    <w:p>
      <w:pPr>
        <w:spacing w:line="360" w:lineRule="auto"/>
        <w:rPr>
          <w:rFonts w:ascii="宋体" w:hAnsi="宋体" w:cs="宋体"/>
          <w:color w:val="auto"/>
          <w:sz w:val="24"/>
          <w:highlight w:val="none"/>
        </w:rPr>
      </w:pPr>
    </w:p>
    <w:p>
      <w:pPr>
        <w:numPr>
          <w:ilvl w:val="0"/>
          <w:numId w:val="2"/>
        </w:numPr>
        <w:spacing w:line="360" w:lineRule="auto"/>
        <w:rPr>
          <w:rFonts w:ascii="宋体" w:hAnsi="宋体" w:cs="宋体"/>
          <w:b/>
          <w:color w:val="auto"/>
          <w:sz w:val="24"/>
          <w:highlight w:val="none"/>
        </w:rPr>
      </w:pPr>
      <w:r>
        <w:rPr>
          <w:rFonts w:hint="eastAsia" w:ascii="宋体" w:hAnsi="宋体" w:cs="宋体"/>
          <w:b/>
          <w:color w:val="auto"/>
          <w:sz w:val="24"/>
          <w:highlight w:val="none"/>
        </w:rPr>
        <w:t>设备用途：</w:t>
      </w:r>
    </w:p>
    <w:p>
      <w:pPr>
        <w:pStyle w:val="3"/>
        <w:spacing w:line="360" w:lineRule="auto"/>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 xml:space="preserve"> 该仪器主要用于测量粉体颗粒的粒径大小，形态及分布。可满足环境中土壤颗粒的大小及形态的分析。此外在食品、医药、能源化工等领域也有广泛用途。  </w:t>
      </w:r>
    </w:p>
    <w:p>
      <w:pPr>
        <w:pStyle w:val="3"/>
        <w:spacing w:line="360" w:lineRule="auto"/>
        <w:ind w:firstLine="240" w:firstLineChars="100"/>
        <w:rPr>
          <w:rFonts w:ascii="宋体" w:hAnsi="宋体" w:cs="宋体"/>
          <w:color w:val="auto"/>
          <w:sz w:val="24"/>
          <w:szCs w:val="24"/>
          <w:highlight w:val="none"/>
        </w:rPr>
      </w:pPr>
    </w:p>
    <w:p>
      <w:pPr>
        <w:numPr>
          <w:ilvl w:val="0"/>
          <w:numId w:val="2"/>
        </w:numPr>
        <w:spacing w:line="360" w:lineRule="auto"/>
        <w:rPr>
          <w:rFonts w:ascii="宋体" w:hAnsi="宋体" w:cs="宋体"/>
          <w:b/>
          <w:color w:val="auto"/>
          <w:sz w:val="24"/>
          <w:highlight w:val="none"/>
        </w:rPr>
      </w:pPr>
      <w:r>
        <w:rPr>
          <w:rFonts w:hint="eastAsia" w:ascii="宋体" w:hAnsi="宋体" w:cs="宋体"/>
          <w:b/>
          <w:color w:val="auto"/>
          <w:sz w:val="24"/>
          <w:highlight w:val="none"/>
        </w:rPr>
        <w:t>技术规格：</w:t>
      </w:r>
    </w:p>
    <w:p>
      <w:pPr>
        <w:spacing w:line="360" w:lineRule="auto"/>
        <w:ind w:firstLine="360" w:firstLineChars="150"/>
        <w:rPr>
          <w:b/>
          <w:color w:val="auto"/>
          <w:sz w:val="24"/>
          <w:highlight w:val="none"/>
        </w:rPr>
      </w:pPr>
      <w:r>
        <w:rPr>
          <w:rFonts w:hint="eastAsia"/>
          <w:color w:val="auto"/>
          <w:sz w:val="24"/>
          <w:highlight w:val="none"/>
        </w:rPr>
        <w:t>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w:t>
      </w:r>
      <w:r>
        <w:rPr>
          <w:color w:val="auto"/>
          <w:sz w:val="24"/>
          <w:highlight w:val="none"/>
        </w:rPr>
        <w:t>/并拒绝其投标</w:t>
      </w:r>
      <w:r>
        <w:rPr>
          <w:rFonts w:hint="eastAsia"/>
          <w:color w:val="auto"/>
          <w:sz w:val="24"/>
          <w:highlight w:val="none"/>
        </w:rPr>
        <w:t>。</w:t>
      </w:r>
    </w:p>
    <w:p>
      <w:pPr>
        <w:spacing w:line="360" w:lineRule="auto"/>
        <w:rPr>
          <w:rFonts w:ascii="宋体" w:hAnsi="宋体" w:cs="宋体"/>
          <w:color w:val="auto"/>
          <w:sz w:val="24"/>
          <w:highlight w:val="none"/>
        </w:rPr>
      </w:pPr>
      <w:r>
        <w:rPr>
          <w:rFonts w:hint="eastAsia" w:ascii="宋体" w:hAnsi="宋体" w:cs="宋体"/>
          <w:color w:val="auto"/>
          <w:sz w:val="24"/>
          <w:highlight w:val="none"/>
        </w:rPr>
        <w:t>3.1</w:t>
      </w:r>
      <w:r>
        <w:rPr>
          <w:rFonts w:hint="eastAsia" w:ascii="宋体" w:hAnsi="宋体" w:cs="宋体"/>
          <w:color w:val="auto"/>
          <w:sz w:val="24"/>
          <w:highlight w:val="none"/>
        </w:rPr>
        <w:tab/>
      </w:r>
      <w:r>
        <w:rPr>
          <w:rFonts w:hint="eastAsia" w:ascii="宋体" w:hAnsi="宋体" w:cs="宋体"/>
          <w:color w:val="auto"/>
          <w:sz w:val="24"/>
          <w:highlight w:val="none"/>
        </w:rPr>
        <w:t>粒径测量系统</w:t>
      </w:r>
    </w:p>
    <w:p>
      <w:pPr>
        <w:spacing w:line="360" w:lineRule="auto"/>
        <w:rPr>
          <w:rFonts w:ascii="宋体" w:hAnsi="宋体" w:cs="宋体"/>
          <w:color w:val="auto"/>
          <w:sz w:val="24"/>
          <w:highlight w:val="none"/>
        </w:rPr>
      </w:pPr>
      <w:r>
        <w:rPr>
          <w:rFonts w:hint="eastAsia" w:ascii="宋体" w:hAnsi="宋体" w:cs="宋体"/>
          <w:color w:val="auto"/>
          <w:sz w:val="24"/>
          <w:highlight w:val="none"/>
        </w:rPr>
        <w:t>3.1.1测量范围：0.02-3,800</w:t>
      </w:r>
      <w:r>
        <w:rPr>
          <w:rFonts w:hint="eastAsia" w:ascii="宋体" w:hAnsi="宋体" w:cs="宋体"/>
          <w:color w:val="auto"/>
          <w:sz w:val="24"/>
          <w:highlight w:val="none"/>
        </w:rPr>
        <w:sym w:font="Symbol" w:char="F06D"/>
      </w:r>
      <w:r>
        <w:rPr>
          <w:rFonts w:hint="eastAsia" w:ascii="宋体" w:hAnsi="宋体" w:cs="宋体"/>
          <w:color w:val="auto"/>
          <w:sz w:val="24"/>
          <w:highlight w:val="none"/>
        </w:rPr>
        <w:t>m</w:t>
      </w:r>
    </w:p>
    <w:p>
      <w:pPr>
        <w:spacing w:line="360" w:lineRule="auto"/>
        <w:rPr>
          <w:rFonts w:ascii="宋体" w:hAnsi="宋体" w:cs="宋体"/>
          <w:color w:val="auto"/>
          <w:sz w:val="24"/>
          <w:highlight w:val="none"/>
        </w:rPr>
      </w:pPr>
      <w:r>
        <w:rPr>
          <w:rFonts w:hint="eastAsia" w:ascii="宋体" w:hAnsi="宋体" w:cs="宋体"/>
          <w:color w:val="auto"/>
          <w:sz w:val="24"/>
          <w:highlight w:val="none"/>
        </w:rPr>
        <w:t>#3.1.2测量理论：激光衍射法和动态图像分析法集于一台仪器，两种分析方法共用一个样品池和一个软件，在用激光衍射法测量干湿法样品同时进行干法和湿法动态图像分析，必须实现同步测量。</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#3.1.3激光光源：三束固体激光光源，波长为三束激光光源，其中波长为二束405nm的蓝激光光源和一束780nm红激光光源，以便能准确测量小颗粒散射光信号。不能使用其他波长的非激光辅助光源。 </w:t>
      </w:r>
    </w:p>
    <w:p>
      <w:pPr>
        <w:spacing w:line="360" w:lineRule="auto"/>
        <w:rPr>
          <w:rFonts w:ascii="宋体" w:hAnsi="宋体" w:cs="宋体"/>
          <w:color w:val="auto"/>
          <w:sz w:val="24"/>
          <w:highlight w:val="none"/>
        </w:rPr>
      </w:pPr>
      <w:r>
        <w:rPr>
          <w:rFonts w:hint="eastAsia" w:ascii="宋体" w:hAnsi="宋体" w:cs="宋体"/>
          <w:color w:val="auto"/>
          <w:sz w:val="24"/>
          <w:highlight w:val="none"/>
        </w:rPr>
        <w:t>3.1.4粒形分析系统：</w:t>
      </w:r>
      <w:bookmarkStart w:id="0" w:name="_Hlk107924748"/>
      <w:r>
        <w:rPr>
          <w:rFonts w:hint="eastAsia" w:ascii="宋体" w:hAnsi="宋体" w:cs="宋体"/>
          <w:color w:val="auto"/>
          <w:sz w:val="24"/>
          <w:highlight w:val="none"/>
        </w:rPr>
        <w:t>采用高频闪光灯，520万像素高速相机，相机速度达60fps时图像分辨率必须达到2560*2048</w:t>
      </w:r>
      <w:bookmarkEnd w:id="0"/>
    </w:p>
    <w:p>
      <w:pPr>
        <w:spacing w:line="360" w:lineRule="auto"/>
        <w:rPr>
          <w:rFonts w:ascii="宋体" w:hAnsi="宋体" w:cs="宋体"/>
          <w:color w:val="auto"/>
          <w:sz w:val="24"/>
          <w:highlight w:val="none"/>
        </w:rPr>
      </w:pPr>
      <w:r>
        <w:rPr>
          <w:rFonts w:hint="eastAsia" w:ascii="宋体" w:hAnsi="宋体" w:cs="宋体"/>
          <w:color w:val="auto"/>
          <w:sz w:val="24"/>
          <w:highlight w:val="none"/>
        </w:rPr>
        <w:t>3.1.5光信号采集：无需扫描，实时检测散射光信号</w:t>
      </w:r>
    </w:p>
    <w:p>
      <w:pPr>
        <w:spacing w:line="360" w:lineRule="auto"/>
        <w:rPr>
          <w:rFonts w:ascii="宋体" w:hAnsi="宋体" w:cs="宋体"/>
          <w:color w:val="auto"/>
          <w:sz w:val="24"/>
          <w:highlight w:val="none"/>
        </w:rPr>
      </w:pPr>
      <w:r>
        <w:rPr>
          <w:rFonts w:hint="eastAsia" w:ascii="宋体" w:hAnsi="宋体" w:cs="宋体"/>
          <w:color w:val="auto"/>
          <w:sz w:val="24"/>
          <w:highlight w:val="none"/>
        </w:rPr>
        <w:t>*3.1.6重复性：同一随机标准样品重复测定三次的标准偏差≤±0.5%</w:t>
      </w:r>
      <w:r>
        <w:rPr>
          <w:rFonts w:hint="eastAsia" w:ascii="宋体" w:hAnsi="宋体" w:cs="宋体"/>
          <w:color w:val="auto"/>
          <w:sz w:val="24"/>
          <w:highlight w:val="none"/>
        </w:rPr>
        <w:tab/>
      </w:r>
    </w:p>
    <w:p>
      <w:pPr>
        <w:spacing w:line="360" w:lineRule="auto"/>
        <w:rPr>
          <w:rFonts w:ascii="宋体" w:hAnsi="宋体" w:cs="宋体"/>
          <w:color w:val="auto"/>
          <w:sz w:val="24"/>
          <w:highlight w:val="none"/>
        </w:rPr>
      </w:pPr>
      <w:r>
        <w:rPr>
          <w:rFonts w:hint="eastAsia" w:ascii="宋体" w:hAnsi="宋体" w:cs="宋体"/>
          <w:color w:val="auto"/>
          <w:sz w:val="24"/>
          <w:highlight w:val="none"/>
        </w:rPr>
        <w:t>3.1.7准确度：采用随机标样重复测定三次，具体数值以到货的国际标样为准。</w:t>
      </w:r>
    </w:p>
    <w:p>
      <w:pPr>
        <w:spacing w:line="360" w:lineRule="auto"/>
        <w:rPr>
          <w:rFonts w:ascii="宋体" w:hAnsi="宋体" w:cs="宋体"/>
          <w:color w:val="auto"/>
          <w:sz w:val="24"/>
          <w:highlight w:val="none"/>
        </w:rPr>
      </w:pPr>
      <w:r>
        <w:rPr>
          <w:rFonts w:hint="eastAsia" w:ascii="宋体" w:hAnsi="宋体" w:cs="宋体"/>
          <w:color w:val="auto"/>
          <w:sz w:val="24"/>
          <w:highlight w:val="none"/>
        </w:rPr>
        <w:t>3.1.8 样品递送系统由主机自动识别并调整适用。</w:t>
      </w:r>
    </w:p>
    <w:p>
      <w:pPr>
        <w:spacing w:line="360" w:lineRule="auto"/>
        <w:rPr>
          <w:rFonts w:ascii="宋体" w:hAnsi="宋体" w:cs="宋体"/>
          <w:color w:val="auto"/>
          <w:sz w:val="24"/>
          <w:highlight w:val="none"/>
        </w:rPr>
      </w:pPr>
      <w:r>
        <w:rPr>
          <w:rFonts w:hint="eastAsia" w:ascii="宋体" w:hAnsi="宋体" w:cs="宋体"/>
          <w:color w:val="auto"/>
          <w:sz w:val="24"/>
          <w:highlight w:val="none"/>
        </w:rPr>
        <w:t>#3.2</w:t>
      </w:r>
      <w:bookmarkStart w:id="1" w:name="_Hlk107924823"/>
      <w:r>
        <w:rPr>
          <w:rFonts w:hint="eastAsia" w:ascii="宋体" w:hAnsi="宋体" w:cs="宋体"/>
          <w:color w:val="auto"/>
          <w:sz w:val="24"/>
          <w:highlight w:val="none"/>
        </w:rPr>
        <w:t xml:space="preserve"> 湿法递送系统：内置不锈钢测量室，内部容积200ml， 软件必须在无水压的情况下控制自动加液和排液，自动循环，自动清洗，</w:t>
      </w:r>
      <w:bookmarkStart w:id="2" w:name="_Hlk106203913"/>
      <w:r>
        <w:rPr>
          <w:rFonts w:hint="eastAsia" w:ascii="宋体" w:hAnsi="宋体" w:cs="宋体"/>
          <w:color w:val="auto"/>
          <w:sz w:val="24"/>
          <w:highlight w:val="none"/>
        </w:rPr>
        <w:t>自动稀释，</w:t>
      </w:r>
      <w:bookmarkStart w:id="3" w:name="_Hlk106203867"/>
      <w:r>
        <w:rPr>
          <w:rFonts w:hint="eastAsia" w:ascii="宋体" w:hAnsi="宋体" w:cs="宋体"/>
          <w:color w:val="auto"/>
          <w:sz w:val="24"/>
          <w:highlight w:val="none"/>
        </w:rPr>
        <w:t>同时必须能够兼容水相和有机相，同时配置超声探头</w:t>
      </w:r>
    </w:p>
    <w:bookmarkEnd w:id="1"/>
    <w:bookmarkEnd w:id="2"/>
    <w:bookmarkEnd w:id="3"/>
    <w:p>
      <w:pPr>
        <w:spacing w:line="360" w:lineRule="auto"/>
        <w:rPr>
          <w:rFonts w:ascii="宋体" w:hAnsi="宋体" w:cs="宋体"/>
          <w:color w:val="auto"/>
          <w:sz w:val="24"/>
          <w:highlight w:val="none"/>
        </w:rPr>
      </w:pPr>
      <w:r>
        <w:rPr>
          <w:rFonts w:hint="eastAsia" w:ascii="宋体" w:hAnsi="宋体" w:cs="宋体"/>
          <w:color w:val="auto"/>
          <w:sz w:val="24"/>
          <w:highlight w:val="none"/>
        </w:rPr>
        <w:t>3.3干法分散与递送系统：干粉喷射进样器，最高分散压力至少6kpa，全自动测量和清洗，能自动反冲清洁管道</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#3.4干湿法转换采用推拉式设计，无需任何工具和连接任何管路 </w:t>
      </w:r>
    </w:p>
    <w:p>
      <w:pPr>
        <w:spacing w:line="360" w:lineRule="auto"/>
        <w:rPr>
          <w:rFonts w:ascii="宋体" w:hAnsi="宋体" w:cs="宋体"/>
          <w:color w:val="auto"/>
          <w:sz w:val="24"/>
          <w:highlight w:val="none"/>
        </w:rPr>
      </w:pPr>
      <w:r>
        <w:rPr>
          <w:rFonts w:hint="eastAsia" w:ascii="宋体" w:hAnsi="宋体" w:cs="宋体"/>
          <w:color w:val="auto"/>
          <w:sz w:val="24"/>
          <w:highlight w:val="none"/>
        </w:rPr>
        <w:t>3.5软件</w:t>
      </w:r>
    </w:p>
    <w:p>
      <w:pPr>
        <w:spacing w:line="360" w:lineRule="auto"/>
        <w:rPr>
          <w:rFonts w:ascii="宋体" w:hAnsi="宋体" w:cs="宋体"/>
          <w:color w:val="auto"/>
          <w:sz w:val="24"/>
          <w:highlight w:val="none"/>
        </w:rPr>
      </w:pPr>
      <w:r>
        <w:rPr>
          <w:rFonts w:hint="eastAsia" w:ascii="宋体" w:hAnsi="宋体" w:cs="宋体"/>
          <w:color w:val="auto"/>
          <w:sz w:val="24"/>
          <w:highlight w:val="none"/>
        </w:rPr>
        <w:t>3.5.1一个软件控制两种分析方法即激光衍射法和动态图像法，提供一个易学易用的图形界面，可以在一个软件里任意选择激光衍射法或动态图像法这两种分析方法，该界面能提供测量各阶段所有需要的功能，数据输出和存储。</w:t>
      </w:r>
    </w:p>
    <w:p>
      <w:pPr>
        <w:spacing w:line="360" w:lineRule="auto"/>
        <w:rPr>
          <w:rFonts w:ascii="宋体" w:hAnsi="宋体" w:cs="宋体"/>
          <w:color w:val="auto"/>
          <w:sz w:val="24"/>
          <w:highlight w:val="none"/>
        </w:rPr>
      </w:pPr>
      <w:r>
        <w:rPr>
          <w:rFonts w:hint="eastAsia" w:ascii="宋体" w:hAnsi="宋体" w:cs="宋体"/>
          <w:color w:val="auto"/>
          <w:sz w:val="24"/>
          <w:highlight w:val="none"/>
        </w:rPr>
        <w:t>3.5.</w:t>
      </w:r>
      <w:bookmarkStart w:id="4" w:name="_Hlk106203971"/>
      <w:r>
        <w:rPr>
          <w:rFonts w:hint="eastAsia" w:ascii="宋体" w:hAnsi="宋体" w:cs="宋体"/>
          <w:color w:val="auto"/>
          <w:sz w:val="24"/>
          <w:highlight w:val="none"/>
        </w:rPr>
        <w:t>2软件须符合 FDA 21CFR PART 11安全要求，必须具有权限等级划分以及电子签名等功能，能够实现数据审计追踪功能。</w:t>
      </w:r>
    </w:p>
    <w:bookmarkEnd w:id="4"/>
    <w:p>
      <w:pPr>
        <w:spacing w:line="360" w:lineRule="auto"/>
        <w:rPr>
          <w:rFonts w:ascii="宋体" w:hAnsi="宋体" w:cs="宋体"/>
          <w:color w:val="auto"/>
          <w:sz w:val="24"/>
          <w:highlight w:val="none"/>
        </w:rPr>
      </w:pPr>
      <w:r>
        <w:rPr>
          <w:rFonts w:hint="eastAsia" w:ascii="宋体" w:hAnsi="宋体" w:cs="宋体"/>
          <w:color w:val="auto"/>
          <w:sz w:val="24"/>
          <w:highlight w:val="none"/>
        </w:rPr>
        <w:t>3.5.3应包括常规的报告设计功能且用户能自行设计，添加图象信息，数据库应用，其中数据库要能进行全面的搜索，分类和根据过滤条件进行数据的过滤。</w:t>
      </w:r>
    </w:p>
    <w:p>
      <w:pPr>
        <w:spacing w:line="360" w:lineRule="auto"/>
        <w:rPr>
          <w:rFonts w:ascii="宋体" w:hAnsi="宋体" w:cs="宋体"/>
          <w:color w:val="auto"/>
          <w:sz w:val="24"/>
          <w:highlight w:val="none"/>
        </w:rPr>
      </w:pPr>
      <w:r>
        <w:rPr>
          <w:rFonts w:hint="eastAsia" w:ascii="宋体" w:hAnsi="宋体" w:cs="宋体"/>
          <w:color w:val="auto"/>
          <w:sz w:val="24"/>
          <w:highlight w:val="none"/>
        </w:rPr>
        <w:t>3.5.4包含常用材料的光学数据库。</w:t>
      </w:r>
    </w:p>
    <w:p>
      <w:pPr>
        <w:spacing w:line="360" w:lineRule="auto"/>
        <w:rPr>
          <w:rFonts w:ascii="宋体" w:hAnsi="宋体" w:cs="宋体"/>
          <w:color w:val="auto"/>
          <w:sz w:val="24"/>
          <w:highlight w:val="none"/>
        </w:rPr>
      </w:pPr>
      <w:r>
        <w:rPr>
          <w:rFonts w:hint="eastAsia" w:ascii="宋体" w:hAnsi="宋体" w:cs="宋体"/>
          <w:color w:val="auto"/>
          <w:sz w:val="24"/>
          <w:highlight w:val="none"/>
        </w:rPr>
        <w:t>3.5.5软件不但可以所有分析颗粒的长度，宽度，面积, 周长,圆度，凹凸度，球度等参数的分布图和散点图，而且能标记每一个颗粒的ID号，提供每个颗粒的大小和形态参数，同时还必须具有实时统计所测颗粒的数目和具有筛选的功能，同时能计算筛选过后颗粒的数目和颗粒的所有参数的分布图及散点图。同时必须能提供透明度参数。</w:t>
      </w:r>
    </w:p>
    <w:p>
      <w:pPr>
        <w:spacing w:line="360" w:lineRule="auto"/>
        <w:rPr>
          <w:rFonts w:ascii="宋体" w:hAnsi="宋体" w:cs="宋体"/>
          <w:color w:val="auto"/>
          <w:sz w:val="24"/>
          <w:highlight w:val="none"/>
        </w:rPr>
      </w:pPr>
    </w:p>
    <w:p>
      <w:pPr>
        <w:numPr>
          <w:ilvl w:val="0"/>
          <w:numId w:val="2"/>
        </w:numPr>
        <w:spacing w:line="360" w:lineRule="auto"/>
        <w:rPr>
          <w:rFonts w:ascii="宋体" w:hAnsi="宋体" w:cs="宋体"/>
          <w:b/>
          <w:color w:val="auto"/>
          <w:sz w:val="24"/>
          <w:highlight w:val="none"/>
        </w:rPr>
      </w:pPr>
      <w:r>
        <w:rPr>
          <w:rFonts w:hint="eastAsia" w:ascii="宋体" w:hAnsi="宋体" w:cs="宋体"/>
          <w:b/>
          <w:color w:val="auto"/>
          <w:sz w:val="24"/>
          <w:highlight w:val="none"/>
        </w:rPr>
        <w:t>产品配置要求</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4.1.1 激光粒度粒形分析仪主机 一套</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4.1.2 全自动湿法样品循环仪 一个</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4.1.3 干法样品进样系统 一个</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4.1.4 NIST可溯源的湿法大约3.5μm左右的标准样品 一盒（6瓶/盒）</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4.1.5 NIST可溯源的湿法大约57μm左右的标准样品 一盒（6瓶/盒）</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4.1.6 NIST可溯源的湿法大约650μm左右的标准样品一盒（6瓶/盒）</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4.1.7 NIST可溯源的干法大约57μm左右的标准样品 一瓶（100ml/瓶）</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4.1.8 NIST可溯源的干法大约650μm左右的标准样品 一瓶（100ml/瓶）</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4.1.9 干湿法连接管线 一套</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4.1.10 样品池清洁包 一套</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4.1.11数据通讯线 一套</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4.1.12 仪器清洗套装 一套</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4.1.13 空气压缩机 一台</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4.1.14 工作站（i5处理器，内存容量16GB，硬盘512GB SSD＋1TB HDD，23英寸显示器） 一套</w:t>
      </w:r>
    </w:p>
    <w:p>
      <w:pPr>
        <w:spacing w:line="360" w:lineRule="auto"/>
        <w:rPr>
          <w:rFonts w:ascii="宋体" w:hAnsi="宋体" w:cs="宋体"/>
          <w:color w:val="auto"/>
          <w:kern w:val="0"/>
          <w:sz w:val="24"/>
          <w:szCs w:val="20"/>
          <w:highlight w:val="none"/>
        </w:rPr>
      </w:pPr>
      <w:r>
        <w:rPr>
          <w:rFonts w:hint="eastAsia" w:ascii="宋体" w:hAnsi="宋体" w:cs="宋体"/>
          <w:color w:val="auto"/>
          <w:kern w:val="0"/>
          <w:sz w:val="24"/>
          <w:szCs w:val="20"/>
          <w:highlight w:val="none"/>
        </w:rPr>
        <w:t>4.1.15 备用样品池 一套</w:t>
      </w:r>
    </w:p>
    <w:p>
      <w:pPr>
        <w:spacing w:line="360" w:lineRule="auto"/>
        <w:rPr>
          <w:rFonts w:ascii="宋体" w:hAnsi="宋体" w:cs="宋体"/>
          <w:color w:val="auto"/>
          <w:kern w:val="0"/>
          <w:sz w:val="24"/>
          <w:szCs w:val="20"/>
          <w:highlight w:val="none"/>
        </w:rPr>
      </w:pPr>
    </w:p>
    <w:p>
      <w:pPr>
        <w:numPr>
          <w:ilvl w:val="0"/>
          <w:numId w:val="1"/>
        </w:numPr>
        <w:spacing w:line="360" w:lineRule="auto"/>
        <w:rPr>
          <w:rFonts w:ascii="宋体" w:hAnsi="宋体" w:cs="宋体"/>
          <w:b/>
          <w:color w:val="auto"/>
          <w:sz w:val="24"/>
          <w:highlight w:val="none"/>
        </w:rPr>
      </w:pPr>
      <w:r>
        <w:rPr>
          <w:rFonts w:hint="eastAsia" w:ascii="宋体" w:hAnsi="宋体" w:cs="宋体"/>
          <w:b/>
          <w:color w:val="auto"/>
          <w:sz w:val="24"/>
          <w:highlight w:val="none"/>
        </w:rPr>
        <w:t>质保及售后服务：</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1. 安装调试的要求</w:t>
      </w:r>
    </w:p>
    <w:p>
      <w:pPr>
        <w:spacing w:line="360" w:lineRule="auto"/>
        <w:rPr>
          <w:rFonts w:ascii="宋体" w:hAnsi="宋体" w:cs="宋体"/>
          <w:color w:val="auto"/>
          <w:sz w:val="24"/>
          <w:highlight w:val="none"/>
        </w:rPr>
      </w:pPr>
      <w:r>
        <w:rPr>
          <w:rFonts w:hint="eastAsia" w:ascii="宋体" w:hAnsi="宋体" w:cs="宋体"/>
          <w:color w:val="auto"/>
          <w:sz w:val="24"/>
          <w:highlight w:val="none"/>
        </w:rPr>
        <w:t>1.1仪器设备运抵安装现场后，在1</w:t>
      </w:r>
      <w:r>
        <w:rPr>
          <w:rFonts w:ascii="宋体" w:hAnsi="宋体" w:cs="宋体"/>
          <w:color w:val="auto"/>
          <w:sz w:val="24"/>
          <w:highlight w:val="none"/>
        </w:rPr>
        <w:t>0</w:t>
      </w:r>
      <w:r>
        <w:rPr>
          <w:rFonts w:hint="eastAsia" w:ascii="宋体" w:hAnsi="宋体" w:cs="宋体"/>
          <w:color w:val="auto"/>
          <w:sz w:val="24"/>
          <w:highlight w:val="none"/>
        </w:rPr>
        <w:t>个工作日内，工程师前往设备使用现场，免费安装调试设备。买方发现所提供的仪器品质和技术规范不符合合同要求时，或有明显损坏，买方有权要求卖方负责更换。卖方应承担相应责任并负责赔偿全部损失，并承担由此给买方带来延期使用等方面造成的损失。</w:t>
      </w:r>
    </w:p>
    <w:p>
      <w:pPr>
        <w:spacing w:line="360" w:lineRule="auto"/>
        <w:rPr>
          <w:rFonts w:ascii="宋体" w:hAnsi="宋体" w:cs="宋体"/>
          <w:color w:val="auto"/>
          <w:sz w:val="24"/>
          <w:highlight w:val="none"/>
        </w:rPr>
      </w:pPr>
      <w:r>
        <w:rPr>
          <w:rFonts w:hint="eastAsia" w:ascii="宋体" w:hAnsi="宋体" w:cs="宋体"/>
          <w:color w:val="auto"/>
          <w:sz w:val="24"/>
          <w:highlight w:val="none"/>
        </w:rPr>
        <w:t>1.2验收由采购人及相关人员依国家有关标准、合同及有关附件要求进行，验收完毕由采购人在验收报告上签名。</w:t>
      </w: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r>
        <w:rPr>
          <w:rFonts w:hint="eastAsia" w:ascii="宋体" w:hAnsi="宋体" w:cs="宋体"/>
          <w:b/>
          <w:bCs/>
          <w:color w:val="auto"/>
          <w:sz w:val="24"/>
          <w:highlight w:val="none"/>
        </w:rPr>
        <w:t>2. 技术培训</w:t>
      </w:r>
    </w:p>
    <w:p>
      <w:pPr>
        <w:spacing w:line="360" w:lineRule="auto"/>
        <w:rPr>
          <w:rFonts w:ascii="宋体" w:hAnsi="宋体" w:cs="宋体"/>
          <w:color w:val="auto"/>
          <w:sz w:val="24"/>
          <w:highlight w:val="none"/>
        </w:rPr>
      </w:pPr>
      <w:r>
        <w:rPr>
          <w:rFonts w:hint="eastAsia" w:ascii="宋体" w:hAnsi="宋体" w:cs="宋体"/>
          <w:color w:val="auto"/>
          <w:sz w:val="24"/>
          <w:highlight w:val="none"/>
        </w:rPr>
        <w:t>2.1现场培训：在安装仪器时由专业工程师进行免费安装调试和现场培训。讲解仪器内部构造、仪器维护保养以及简单的故障排除方法，直至用户技术人员熟练使用仪器以及会应用仪器完成整个分析检测工作。</w:t>
      </w:r>
    </w:p>
    <w:p>
      <w:pPr>
        <w:spacing w:line="360" w:lineRule="auto"/>
        <w:rPr>
          <w:rFonts w:ascii="宋体" w:hAnsi="宋体" w:cs="宋体"/>
          <w:color w:val="auto"/>
          <w:sz w:val="24"/>
          <w:highlight w:val="none"/>
        </w:rPr>
      </w:pPr>
      <w:r>
        <w:rPr>
          <w:rFonts w:hint="eastAsia" w:ascii="宋体" w:hAnsi="宋体" w:cs="宋体"/>
          <w:color w:val="auto"/>
          <w:sz w:val="24"/>
          <w:highlight w:val="none"/>
        </w:rPr>
        <w:t>2.2现场回访培训。根据用户使用情况及需求，供应商不定期安排专业应用工程师免费对用户的使用情况进行提高培训，帮助客户解决遇到的问题和项目开发，并进行技术提高和方法开发等高级培训。</w:t>
      </w:r>
    </w:p>
    <w:p>
      <w:pPr>
        <w:spacing w:line="360" w:lineRule="auto"/>
        <w:rPr>
          <w:rFonts w:ascii="宋体" w:hAnsi="宋体" w:cs="宋体"/>
          <w:color w:val="auto"/>
          <w:sz w:val="24"/>
          <w:highlight w:val="none"/>
        </w:rPr>
      </w:pPr>
      <w:r>
        <w:rPr>
          <w:rFonts w:hint="eastAsia" w:ascii="宋体" w:hAnsi="宋体" w:cs="宋体"/>
          <w:color w:val="auto"/>
          <w:sz w:val="24"/>
          <w:highlight w:val="none"/>
        </w:rPr>
        <w:t>2.3厂家培训中心培训：提供2个名额的学习班系统培训，包括仪器原理、操作、维护等。</w:t>
      </w: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r>
        <w:rPr>
          <w:rFonts w:hint="eastAsia" w:ascii="宋体" w:hAnsi="宋体" w:cs="宋体"/>
          <w:b/>
          <w:bCs/>
          <w:color w:val="auto"/>
          <w:sz w:val="24"/>
          <w:highlight w:val="none"/>
        </w:rPr>
        <w:t>3. 保修期</w:t>
      </w:r>
    </w:p>
    <w:p>
      <w:pPr>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提供两年的免费保修服务。制造商在国内的技术服务中心（包括维修中心）应当提供所有的服务，包括备有零件及易耗品。</w:t>
      </w:r>
    </w:p>
    <w:p>
      <w:pPr>
        <w:spacing w:line="360" w:lineRule="auto"/>
        <w:ind w:firstLine="360" w:firstLineChars="150"/>
        <w:rPr>
          <w:rFonts w:ascii="宋体" w:hAnsi="宋体" w:cs="宋体"/>
          <w:color w:val="auto"/>
          <w:sz w:val="24"/>
          <w:highlight w:val="none"/>
        </w:rPr>
      </w:pPr>
    </w:p>
    <w:p>
      <w:pPr>
        <w:spacing w:line="360" w:lineRule="auto"/>
        <w:rPr>
          <w:rFonts w:ascii="宋体" w:hAnsi="宋体" w:cs="宋体"/>
          <w:color w:val="auto"/>
          <w:sz w:val="24"/>
          <w:highlight w:val="none"/>
        </w:rPr>
      </w:pPr>
      <w:r>
        <w:rPr>
          <w:rFonts w:hint="eastAsia" w:ascii="宋体" w:hAnsi="宋体" w:cs="宋体"/>
          <w:b/>
          <w:bCs/>
          <w:color w:val="auto"/>
          <w:sz w:val="24"/>
          <w:highlight w:val="none"/>
        </w:rPr>
        <w:t>4. 售后服务</w:t>
      </w:r>
    </w:p>
    <w:p>
      <w:pPr>
        <w:spacing w:line="360" w:lineRule="auto"/>
        <w:rPr>
          <w:color w:val="auto"/>
          <w:sz w:val="24"/>
          <w:highlight w:val="none"/>
        </w:rPr>
      </w:pPr>
      <w:r>
        <w:rPr>
          <w:rFonts w:hint="eastAsia"/>
          <w:color w:val="auto"/>
          <w:sz w:val="24"/>
          <w:highlight w:val="none"/>
        </w:rPr>
        <w:t>4.1 供应商在中国境内有固定的办事处、维修部及零配件保存仓库。质保期内如设备出现故障，供方应在接到需方通知后的2小时内响应，24小时内确定故障原因和维修方法。如需要到现场维修，供方维修工程师应在48小时内（遇见不可抗拒的因素除外）到达现场，免费更换受损元件和提供免费服务，快速排除故障。</w:t>
      </w:r>
    </w:p>
    <w:p>
      <w:pPr>
        <w:spacing w:line="360" w:lineRule="auto"/>
        <w:rPr>
          <w:color w:val="auto"/>
          <w:sz w:val="24"/>
          <w:highlight w:val="none"/>
        </w:rPr>
      </w:pPr>
      <w:r>
        <w:rPr>
          <w:rFonts w:hint="eastAsia"/>
          <w:color w:val="auto"/>
          <w:sz w:val="24"/>
          <w:highlight w:val="none"/>
        </w:rPr>
        <w:t>质保期后，供方承诺将为需方提供长期维修服务，对于需方的任何投诉和要求，供方将在4小时内做出相应答复；当仪器出现故障时，供方工程师在接到需方故障通知后24小时内提出处理意见；供方在接到需方维修通知后72小时到达现场修复，维修费用由双方协商解决。</w:t>
      </w:r>
    </w:p>
    <w:p>
      <w:pPr>
        <w:spacing w:line="360" w:lineRule="auto"/>
        <w:rPr>
          <w:color w:val="auto"/>
          <w:sz w:val="24"/>
          <w:highlight w:val="none"/>
        </w:rPr>
      </w:pPr>
      <w:r>
        <w:rPr>
          <w:rFonts w:hint="eastAsia"/>
          <w:color w:val="auto"/>
          <w:sz w:val="24"/>
          <w:highlight w:val="none"/>
        </w:rPr>
        <w:t>4.2 后期更换配件及易耗品成本价提供。保障投标设备停产后10年的关键零部件（包括易耗品）供应。</w:t>
      </w:r>
    </w:p>
    <w:p>
      <w:pPr>
        <w:spacing w:line="360" w:lineRule="auto"/>
        <w:rPr>
          <w:rFonts w:ascii="宋体" w:hAnsi="宋体" w:cs="宋体"/>
          <w:color w:val="auto"/>
          <w:sz w:val="24"/>
          <w:highlight w:val="none"/>
        </w:rPr>
      </w:pPr>
    </w:p>
    <w:p>
      <w:pPr>
        <w:spacing w:line="360" w:lineRule="auto"/>
        <w:rPr>
          <w:rFonts w:ascii="宋体" w:hAnsi="宋体" w:cs="宋体"/>
          <w:b/>
          <w:color w:val="auto"/>
          <w:sz w:val="24"/>
          <w:highlight w:val="none"/>
        </w:rPr>
      </w:pPr>
      <w:r>
        <w:rPr>
          <w:rFonts w:hint="eastAsia" w:ascii="宋体" w:hAnsi="宋体" w:cs="宋体"/>
          <w:b/>
          <w:color w:val="auto"/>
          <w:sz w:val="24"/>
          <w:highlight w:val="none"/>
        </w:rPr>
        <w:t>（三） 订货数量：</w:t>
      </w:r>
    </w:p>
    <w:p>
      <w:pPr>
        <w:spacing w:line="360" w:lineRule="auto"/>
        <w:ind w:firstLine="352" w:firstLineChars="147"/>
        <w:rPr>
          <w:rFonts w:ascii="宋体" w:hAnsi="宋体" w:cs="宋体"/>
          <w:color w:val="auto"/>
          <w:sz w:val="24"/>
          <w:highlight w:val="none"/>
        </w:rPr>
      </w:pPr>
      <w:r>
        <w:rPr>
          <w:rFonts w:hint="eastAsia" w:ascii="宋体" w:hAnsi="宋体" w:cs="宋体"/>
          <w:color w:val="auto"/>
          <w:sz w:val="24"/>
          <w:highlight w:val="none"/>
        </w:rPr>
        <w:t>1套</w:t>
      </w:r>
    </w:p>
    <w:p>
      <w:pPr>
        <w:spacing w:line="360" w:lineRule="auto"/>
        <w:ind w:firstLine="352" w:firstLineChars="147"/>
        <w:rPr>
          <w:rFonts w:ascii="宋体" w:hAnsi="宋体" w:cs="宋体"/>
          <w:color w:val="auto"/>
          <w:sz w:val="24"/>
          <w:highlight w:val="none"/>
        </w:rPr>
      </w:pPr>
    </w:p>
    <w:p>
      <w:pPr>
        <w:numPr>
          <w:ilvl w:val="0"/>
          <w:numId w:val="3"/>
        </w:numPr>
        <w:spacing w:line="360" w:lineRule="auto"/>
        <w:rPr>
          <w:rFonts w:ascii="宋体" w:hAnsi="宋体" w:cs="宋体"/>
          <w:b/>
          <w:color w:val="auto"/>
          <w:sz w:val="24"/>
          <w:highlight w:val="none"/>
        </w:rPr>
      </w:pPr>
      <w:r>
        <w:rPr>
          <w:rFonts w:hint="eastAsia" w:ascii="宋体" w:hAnsi="宋体" w:cs="宋体"/>
          <w:b/>
          <w:color w:val="auto"/>
          <w:sz w:val="24"/>
          <w:highlight w:val="none"/>
        </w:rPr>
        <w:t>交货地：</w:t>
      </w:r>
    </w:p>
    <w:p>
      <w:pPr>
        <w:spacing w:line="360" w:lineRule="auto"/>
        <w:ind w:firstLine="360" w:firstLineChars="150"/>
        <w:rPr>
          <w:color w:val="auto"/>
          <w:sz w:val="24"/>
          <w:highlight w:val="none"/>
        </w:rPr>
      </w:pPr>
      <w:r>
        <w:rPr>
          <w:rFonts w:hint="eastAsia"/>
          <w:color w:val="auto"/>
          <w:sz w:val="24"/>
          <w:highlight w:val="none"/>
        </w:rPr>
        <w:t>用户指定地点</w:t>
      </w:r>
    </w:p>
    <w:p>
      <w:pPr>
        <w:spacing w:line="360" w:lineRule="auto"/>
        <w:ind w:firstLine="360" w:firstLineChars="150"/>
        <w:rPr>
          <w:color w:val="auto"/>
          <w:sz w:val="24"/>
          <w:highlight w:val="none"/>
        </w:rPr>
      </w:pPr>
    </w:p>
    <w:p>
      <w:pPr>
        <w:spacing w:line="360" w:lineRule="auto"/>
        <w:rPr>
          <w:rFonts w:ascii="宋体" w:hAnsi="宋体" w:cs="宋体"/>
          <w:b/>
          <w:color w:val="auto"/>
          <w:sz w:val="24"/>
          <w:highlight w:val="none"/>
        </w:rPr>
      </w:pPr>
      <w:r>
        <w:rPr>
          <w:rFonts w:hint="eastAsia" w:ascii="宋体" w:hAnsi="宋体" w:cs="宋体"/>
          <w:b/>
          <w:color w:val="auto"/>
          <w:sz w:val="24"/>
          <w:highlight w:val="none"/>
        </w:rPr>
        <w:t>（五）交货日期：</w:t>
      </w:r>
    </w:p>
    <w:p>
      <w:pPr>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 xml:space="preserve">合同生效后6个月      </w:t>
      </w:r>
    </w:p>
    <w:p>
      <w:pPr>
        <w:spacing w:line="360" w:lineRule="auto"/>
        <w:ind w:firstLine="360" w:firstLineChars="150"/>
        <w:rPr>
          <w:rFonts w:ascii="宋体" w:hAnsi="宋体" w:cs="宋体"/>
          <w:color w:val="auto"/>
          <w:sz w:val="24"/>
          <w:highlight w:val="none"/>
        </w:rPr>
      </w:pPr>
    </w:p>
    <w:p>
      <w:pPr>
        <w:spacing w:line="360" w:lineRule="auto"/>
        <w:rPr>
          <w:b/>
          <w:color w:val="auto"/>
          <w:sz w:val="24"/>
          <w:highlight w:val="none"/>
        </w:rPr>
      </w:pPr>
      <w:r>
        <w:rPr>
          <w:rFonts w:hint="eastAsia"/>
          <w:b/>
          <w:color w:val="auto"/>
          <w:sz w:val="24"/>
          <w:highlight w:val="none"/>
        </w:rPr>
        <w:t>（六）执行的相关标准</w:t>
      </w:r>
    </w:p>
    <w:p>
      <w:pPr>
        <w:spacing w:line="360" w:lineRule="auto"/>
        <w:ind w:firstLine="360" w:firstLineChars="150"/>
        <w:rPr>
          <w:rFonts w:ascii="inherit" w:hAnsi="inherit" w:cs="宋体"/>
          <w:color w:val="auto"/>
          <w:kern w:val="0"/>
          <w:sz w:val="24"/>
          <w:highlight w:val="none"/>
        </w:rPr>
      </w:pPr>
      <w:r>
        <w:rPr>
          <w:rFonts w:hint="eastAsia" w:ascii="inherit" w:hAnsi="inherit" w:cs="宋体"/>
          <w:color w:val="auto"/>
          <w:kern w:val="0"/>
          <w:sz w:val="24"/>
          <w:highlight w:val="none"/>
        </w:rPr>
        <w:t>产品应满足相关国家标准及行业标准。</w:t>
      </w:r>
    </w:p>
    <w:p>
      <w:pPr>
        <w:spacing w:line="360" w:lineRule="auto"/>
        <w:ind w:firstLine="360" w:firstLineChars="150"/>
        <w:rPr>
          <w:rFonts w:ascii="inherit" w:hAnsi="inherit" w:cs="宋体"/>
          <w:color w:val="auto"/>
          <w:kern w:val="0"/>
          <w:sz w:val="24"/>
          <w:highlight w:val="none"/>
        </w:rPr>
      </w:pPr>
    </w:p>
    <w:p>
      <w:pPr>
        <w:spacing w:line="360" w:lineRule="auto"/>
        <w:rPr>
          <w:rFonts w:ascii="inherit" w:hAnsi="inherit" w:cs="宋体"/>
          <w:b/>
          <w:bCs/>
          <w:color w:val="auto"/>
          <w:kern w:val="0"/>
          <w:sz w:val="24"/>
          <w:highlight w:val="none"/>
        </w:rPr>
      </w:pPr>
      <w:r>
        <w:rPr>
          <w:rFonts w:hint="eastAsia" w:ascii="inherit" w:hAnsi="inherit" w:cs="宋体"/>
          <w:b/>
          <w:bCs/>
          <w:color w:val="auto"/>
          <w:kern w:val="0"/>
          <w:sz w:val="24"/>
          <w:highlight w:val="none"/>
        </w:rPr>
        <w:t>（七）验收要求：</w:t>
      </w:r>
    </w:p>
    <w:p>
      <w:pPr>
        <w:spacing w:line="360" w:lineRule="auto"/>
        <w:rPr>
          <w:color w:val="auto"/>
          <w:sz w:val="24"/>
          <w:highlight w:val="none"/>
        </w:rPr>
      </w:pPr>
      <w:r>
        <w:rPr>
          <w:color w:val="auto"/>
          <w:sz w:val="24"/>
          <w:highlight w:val="none"/>
        </w:rPr>
        <w:t>*1.</w:t>
      </w:r>
      <w:r>
        <w:rPr>
          <w:color w:val="auto"/>
          <w:sz w:val="24"/>
          <w:highlight w:val="none"/>
        </w:rPr>
        <w:tab/>
      </w:r>
      <w:r>
        <w:rPr>
          <w:color w:val="auto"/>
          <w:sz w:val="24"/>
          <w:highlight w:val="none"/>
        </w:rPr>
        <w:t>设备的配置、功能和技术指标必须满足招标文件要求，所有技术指标必须能够现场验收或提供第三方权威机构的证明材料，投标商需在投标文件中提供完备的现场验收方案，</w:t>
      </w:r>
      <w:r>
        <w:rPr>
          <w:rFonts w:hint="eastAsia"/>
          <w:b/>
          <w:bCs/>
          <w:color w:val="auto"/>
          <w:sz w:val="24"/>
          <w:highlight w:val="none"/>
        </w:rPr>
        <w:t>未提交现场验收方案将作为废标处理</w:t>
      </w:r>
      <w:r>
        <w:rPr>
          <w:color w:val="auto"/>
          <w:sz w:val="24"/>
          <w:highlight w:val="none"/>
        </w:rPr>
        <w:t>。</w:t>
      </w:r>
    </w:p>
    <w:p>
      <w:pPr>
        <w:spacing w:line="360" w:lineRule="auto"/>
        <w:rPr>
          <w:rFonts w:ascii="宋体" w:hAnsi="宋体"/>
          <w:b/>
          <w:color w:val="auto"/>
          <w:sz w:val="30"/>
          <w:szCs w:val="30"/>
          <w:highlight w:val="none"/>
        </w:rPr>
      </w:pPr>
      <w:bookmarkStart w:id="5" w:name="_Hlk139638902"/>
      <w:r>
        <w:rPr>
          <w:color w:val="auto"/>
          <w:sz w:val="24"/>
          <w:highlight w:val="none"/>
        </w:rPr>
        <w:t>#2.</w:t>
      </w:r>
      <w:r>
        <w:rPr>
          <w:color w:val="auto"/>
          <w:sz w:val="24"/>
          <w:highlight w:val="none"/>
        </w:rPr>
        <w:tab/>
      </w:r>
      <w:r>
        <w:rPr>
          <w:color w:val="auto"/>
          <w:sz w:val="24"/>
          <w:highlight w:val="none"/>
        </w:rPr>
        <w:t>技术指标现场验收方案科学</w:t>
      </w:r>
      <w:r>
        <w:rPr>
          <w:rFonts w:hint="eastAsia"/>
          <w:color w:val="auto"/>
          <w:sz w:val="24"/>
          <w:highlight w:val="none"/>
        </w:rPr>
        <w:t>、</w:t>
      </w:r>
      <w:r>
        <w:rPr>
          <w:color w:val="auto"/>
          <w:sz w:val="24"/>
          <w:highlight w:val="none"/>
        </w:rPr>
        <w:t>合理</w:t>
      </w:r>
      <w:r>
        <w:rPr>
          <w:rFonts w:hint="eastAsia"/>
          <w:color w:val="auto"/>
          <w:sz w:val="24"/>
          <w:highlight w:val="none"/>
        </w:rPr>
        <w:t>，具有</w:t>
      </w:r>
      <w:r>
        <w:rPr>
          <w:color w:val="auto"/>
          <w:sz w:val="24"/>
          <w:highlight w:val="none"/>
        </w:rPr>
        <w:t>可行性。</w:t>
      </w:r>
      <w:bookmarkEnd w:id="5"/>
      <w:r>
        <w:rPr>
          <w:rFonts w:hint="eastAsia"/>
          <w:color w:val="auto"/>
          <w:sz w:val="24"/>
          <w:highlight w:val="none"/>
        </w:rPr>
        <w:tab/>
      </w:r>
    </w:p>
    <w:p>
      <w:pPr>
        <w:widowControl/>
        <w:spacing w:line="360" w:lineRule="atLeast"/>
        <w:rPr>
          <w:rFonts w:ascii="宋体" w:hAnsi="宋体"/>
          <w:b/>
          <w:color w:val="auto"/>
          <w:sz w:val="30"/>
          <w:szCs w:val="30"/>
          <w:highlight w:val="none"/>
        </w:rPr>
      </w:pPr>
    </w:p>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inherit">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PAGE   \* MERGEFORMAT</w:instrText>
    </w:r>
    <w:r>
      <w:fldChar w:fldCharType="separate"/>
    </w:r>
    <w:r>
      <w:rPr>
        <w:lang w:val="zh-CN"/>
      </w:rPr>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AC7029"/>
    <w:multiLevelType w:val="singleLevel"/>
    <w:tmpl w:val="D1AC7029"/>
    <w:lvl w:ilvl="0" w:tentative="0">
      <w:start w:val="4"/>
      <w:numFmt w:val="chineseCounting"/>
      <w:suff w:val="nothing"/>
      <w:lvlText w:val="（%1）"/>
      <w:lvlJc w:val="left"/>
      <w:rPr>
        <w:rFonts w:hint="eastAsia"/>
      </w:rPr>
    </w:lvl>
  </w:abstractNum>
  <w:abstractNum w:abstractNumId="1">
    <w:nsid w:val="D785B104"/>
    <w:multiLevelType w:val="singleLevel"/>
    <w:tmpl w:val="D785B104"/>
    <w:lvl w:ilvl="0" w:tentative="0">
      <w:start w:val="1"/>
      <w:numFmt w:val="chineseCounting"/>
      <w:suff w:val="nothing"/>
      <w:lvlText w:val="（%1）"/>
      <w:lvlJc w:val="left"/>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2ODYzYzNmNmRkMDdkYzE4ODZhOGY0ZjAyYTE4MTgifQ=="/>
  </w:docVars>
  <w:rsids>
    <w:rsidRoot w:val="00000000"/>
    <w:rsid w:val="4A7B78BB"/>
    <w:rsid w:val="578A0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9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Date"/>
    <w:basedOn w:val="1"/>
    <w:next w:val="1"/>
    <w:qFormat/>
    <w:uiPriority w:val="0"/>
    <w:rPr>
      <w:szCs w:val="20"/>
    </w:rPr>
  </w:style>
  <w:style w:type="paragraph" w:styleId="4">
    <w:name w:val="footer"/>
    <w:basedOn w:val="1"/>
    <w:next w:val="1"/>
    <w:qFormat/>
    <w:uiPriority w:val="0"/>
    <w:pPr>
      <w:tabs>
        <w:tab w:val="center" w:pos="4153"/>
        <w:tab w:val="right" w:pos="8306"/>
      </w:tabs>
      <w:snapToGrid w:val="0"/>
      <w:jc w:val="left"/>
    </w:pPr>
    <w:rPr>
      <w:sz w:val="18"/>
      <w:szCs w:val="18"/>
    </w:rPr>
  </w:style>
  <w:style w:type="paragraph" w:styleId="5">
    <w:name w:val="header"/>
    <w:basedOn w:val="1"/>
    <w:next w:val="6"/>
    <w:qFormat/>
    <w:uiPriority w:val="0"/>
    <w:pPr>
      <w:pBdr>
        <w:bottom w:val="single" w:color="auto" w:sz="6" w:space="1"/>
      </w:pBdr>
      <w:tabs>
        <w:tab w:val="center" w:pos="4153"/>
        <w:tab w:val="right" w:pos="8306"/>
      </w:tabs>
      <w:snapToGrid w:val="0"/>
      <w:jc w:val="center"/>
    </w:pPr>
    <w:rPr>
      <w:sz w:val="18"/>
      <w:szCs w:val="18"/>
    </w:rPr>
  </w:style>
  <w:style w:type="paragraph" w:styleId="6">
    <w:name w:val="toc 4"/>
    <w:basedOn w:val="1"/>
    <w:next w:val="1"/>
    <w:qFormat/>
    <w:uiPriority w:val="99"/>
    <w:pPr>
      <w:ind w:left="1260" w:leftChars="6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3855</Words>
  <Characters>4193</Characters>
  <Lines>0</Lines>
  <Paragraphs>0</Paragraphs>
  <TotalTime>0</TotalTime>
  <ScaleCrop>false</ScaleCrop>
  <LinksUpToDate>false</LinksUpToDate>
  <CharactersWithSpaces>4299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2024-06-17T05:44:00Z</dcterms:created>
  <dc:creator>C</dc:creator>
  <cp:lastModifiedBy>清</cp:lastModifiedBy>
  <dcterms:modified xsi:type="dcterms:W3CDTF">2024-06-18T02:03:08Z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7864B4A1283642CD9F9EB1ACFB77A67A_13</vt:lpwstr>
  </property>
</Properties>
</file>