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lang w:val="en-US" w:eastAsia="zh-CN"/>
        </w:rPr>
      </w:pPr>
      <w:bookmarkStart w:id="0" w:name="_GoBack"/>
      <w:bookmarkEnd w:id="0"/>
      <w:r>
        <w:rPr>
          <w:rFonts w:hint="eastAsia"/>
          <w:sz w:val="32"/>
          <w:szCs w:val="40"/>
          <w:lang w:val="en-US" w:eastAsia="zh-CN"/>
        </w:rPr>
        <w:t>采购需求</w:t>
      </w:r>
    </w:p>
    <w:tbl>
      <w:tblPr>
        <w:tblStyle w:val="3"/>
        <w:tblpPr w:leftFromText="180" w:rightFromText="180" w:vertAnchor="text" w:horzAnchor="page" w:tblpX="1478" w:tblpY="514"/>
        <w:tblOverlap w:val="never"/>
        <w:tblW w:w="51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2119"/>
        <w:gridCol w:w="3931"/>
        <w:gridCol w:w="785"/>
        <w:gridCol w:w="1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1210" w:type="pct"/>
            <w:noWrap w:val="0"/>
            <w:vAlign w:val="center"/>
          </w:tcPr>
          <w:p>
            <w:pPr>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设备名称</w:t>
            </w:r>
            <w:r>
              <w:rPr>
                <w:rFonts w:hint="eastAsia" w:ascii="Times New Roman" w:hAnsi="Times New Roman" w:eastAsia="宋体" w:cs="Times New Roman"/>
                <w:b/>
                <w:bCs/>
                <w:color w:val="auto"/>
                <w:sz w:val="21"/>
                <w:szCs w:val="21"/>
                <w:lang w:eastAsia="zh-CN"/>
              </w:rPr>
              <w:t>（</w:t>
            </w:r>
            <w:r>
              <w:rPr>
                <w:rFonts w:hint="eastAsia" w:ascii="Times New Roman" w:hAnsi="Times New Roman" w:eastAsia="宋体" w:cs="Times New Roman"/>
                <w:b/>
                <w:bCs/>
                <w:color w:val="auto"/>
                <w:sz w:val="21"/>
                <w:szCs w:val="21"/>
                <w:lang w:val="en-US" w:eastAsia="zh-CN"/>
              </w:rPr>
              <w:t>标的名称</w:t>
            </w:r>
            <w:r>
              <w:rPr>
                <w:rFonts w:hint="eastAsia" w:ascii="Times New Roman" w:hAnsi="Times New Roman" w:eastAsia="宋体" w:cs="Times New Roman"/>
                <w:b/>
                <w:bCs/>
                <w:color w:val="auto"/>
                <w:sz w:val="21"/>
                <w:szCs w:val="21"/>
                <w:lang w:eastAsia="zh-CN"/>
              </w:rPr>
              <w:t>）</w:t>
            </w:r>
          </w:p>
        </w:tc>
        <w:tc>
          <w:tcPr>
            <w:tcW w:w="22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技术参数</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数量</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PCR扩增仪（3×32模块）</w:t>
            </w:r>
          </w:p>
        </w:tc>
        <w:tc>
          <w:tcPr>
            <w:tcW w:w="2244" w:type="pct"/>
            <w:noWrap w:val="0"/>
            <w:vAlign w:val="center"/>
          </w:tcPr>
          <w:p>
            <w:pPr>
              <w:jc w:val="left"/>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1.★样品基座：3×32孔0.2mL，三个独立的模块单元，可利用三个独立控制的加热模块同时完成三个不同的实验，或者在三个不同的时间分别开始实验；</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2.可根据实验需要更换其他通量样本模块，5种可选：3×32孔，96孔，双96孔，双384孔，双平板模块支持数字芯片；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3.▲最大模块变温速率：6.0℃/秒，最大样本变温速率：4.4℃/秒；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4.温度范围：0-100℃，温度均一性：＜0.5℃(达到95℃后20秒)；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5.温度精确性：±0.25℃（35.0-99.9℃之间），温度校验标准可追溯至国家标准技术局（NIST）；支持0.2mL PCR管、八联管和32孔板；PCR反应体积：10～80 uL；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6.★专利VeriFlex技术，共6组独立控温区域，可精确设置6个不同温度，实现真正意义的梯度PCR；区域间温差最大5℃，整体25℃；</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7.8.4英寸彩色TFT触摸式显示屏，直观的导航按钮，图形化编辑设置参数简单方便；</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配备Wi-Fi网卡，仪器可通过下载免费手机应用程序到iphone或android移动设备，随时随地查看仪器状态，启动或控制运行；也可以通过免费Cloud平台在电脑端编辑程序、启动或终止运行、设置Email提醒或通过Cloud共享程序文件</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9.联机操控：无需购买软件，允许多台机器在同一局域网内相互连接，并设置由其中一台来操控；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10.★内置热学模拟模式，可模拟Applied Biosystems 9700，Bio-Rad C1000等市面主流PCR仪热学性能，保证新旧仪器更换中实验的平稳过渡；</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11.内置多种PCR程序模板，可直接调用，包括基础PCR、热启动PCR、测序PCR、优化PCR、 RT-PCR、高保真PCR、高特异PCR和Long PCR等；内置AutoDelta选项(适合Touchdown PCR,从哪个循环开始哪一步进行温度升降或时间调整）、变温速率可调节, VeriFlex等可选功能辅助优化PCR程序；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12.其他功能：自动断电重启、多重用户权限管理、实验中编辑或暂停程序、仪器自检测试、热盖温度可调或关闭、变温速率可调、一键孵育、自动休眠、查看运行日志并导出等；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13.仪器存储：5.9GB存储空间，最多可存120万个程序文件。此外具有U盘插槽，用于转移和保存程序；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14.尺寸：27.2 cm (高) x 33.0 cm (宽) x 56.5 cm (深)，电源：50-60 Hz，100–240 V，最大值950 VA，工作条件：环境温度15～30 ℃，相对湿度15%～80%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二、配置清单：</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1．PCR仪底座   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2．PCR仪模块   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3．入门耗材套装  1盒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4．电源线 1根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5．快速操作说明 1份</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6．无线网卡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  COA证书 1份</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基础电源</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 输出范围：电压10-300 V；电流4-400 mA；功率75 W</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 输出类型：恒压、恒流、恒功率，可定时1-999分钟</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3、有暂停/继续功能，有断电后自动恢复功能</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4、输出插孔4对并联，可同时对四个同类型的电泳槽进行电泳</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 安全标准：通过EN-61010, CE标准</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1、电泳仪电源一个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2、国标电源线一根</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电穿孔仪</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一、功能：可利用来将DNA和其他生物大分子，如蛋白质、RNA、代谢物、碳水化合物或者其他小分子转入靶细胞</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二、技术指标：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▲1、波型：同时具有指数衰减（可选配）和方波脉冲，可用于原核、真核和酵母的转化</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2、电压调节范围：10–3,000 V</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3、电容范围： 10–500 V, 25–3,275 μF , 25 μF 增量；500–3,000 V, 10, 25, 50 μF</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4、安全认证要求：EN61010, EMC EN61326 A 级安全认证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5、样品电阻 10–2,500 V 内，最小 20欧姆；2,500–3,000 V 内，最小 600欧姆</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6、方波时间 10–500 V: 脉冲时间 0 05–10 ms ,0 05 ms 增量，脉冲时间 10–100 ms ,1 ms 增量， 1–10s</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7、脉冲时间：间隔 0 1–10 s</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★8、指数波和方波波型确保所有细胞类型 ( 原核及真核 )均可获得最佳的电转化效果</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9、PulseTrac™ 电路和电弧保护设计，确保可重复性并保护样品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10、模块化设计可根据研究需要选择系统配置</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11、用户友好的数字化界面具有直观的编程以控制所有参数包括附属模块的参数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三、配置要求：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1、真核转染模块一个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2、原核转染模块一个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3、控制模块一个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4、电转卡槽一个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5、国标电源线一根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6、电极杯10个</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宽式小型电泳槽</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1、电泳槽尺寸（W×L×H）≥18×40.5×9.4 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2、胶盘尺寸（W×L）：15×10cm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3、样品通量：1-120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4、基座缓冲液容量：～1 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5、溴酚蓝迁移率：～3.0 cm/hr（at 75V）</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6、要求带制胶器，无需使用胶带纸黏贴</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1、15孔和20孔梳子各2把</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2、15 x 10 cm 和15 x 7 cm紫外线透明托盘各一个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3、制胶器一个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4、宽式电泳槽及盖子一套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5、电极线一对</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全能成像系统</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▲(1)内置式，≥12英寸触摸屏控制，支持多点触控功能；（投标文件中须提供产品彩页、或制造商证明、或产品说明书、或检测报告或设备照片等证明材料）</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★(2)CCD检测器：芯片性能增强型CCD检测器，图像分辨率≥6M pixel（2,758x2,208）；</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(3)425nm处绝对Q/E值≥70％，绝对Q/E峰值≥75%@525nm；（投标文件中须提供产品彩页、或制造商证明、或产品说明书、或检测报告等证明材料）</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(4)CCD暗电流：0.002 e/p/s；CCD读出噪音：6 e-rms，提供弱光成像所需值；</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(5)使用f≤0.95快速对焦镜头，提高进光量的同时完成自动聚焦；</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(6)自动聚焦：预校准的镜头能清晰聚焦任何缩放设置或任何高度的样品；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(7)自动曝光：针对化学发光有2种用户自定义模式（快速或自动优化曝光）；针对非化学发光应用有2种用户自定义模式（弱条带或强条带）；</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具备采集多色荧光（multiple-fluorescence）、红外荧光（NIR-fluorescence）化学发光（chemiluminescence）、比色（colorimetric）及Stain-Free免染成像等核酸凝胶、蛋白凝胶、印迹膜等的数字图像功能，并对获得的图像进行数据分析；</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(9)最大成像面积≥21cm×16cm；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(10)16bit数据采集（65,536灰度级，4.8OD），所有样品动力学范围&gt;4个数量级；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(11)标配光源：反射白光，透射紫外（302nm）；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▲(12)多色荧光通道：RGB+2IR，共5个荧光通道，五色激发光光源：侧蓝光，460–490 nm 激发；侧绿光，520–545 nm 激发；侧红光，625–650 nm 激发；侧远红光，650–675 nm 激发；侧近红外，755–777 nm 激发；</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(13)安全模式：UV灯具有延时自动关闭功能，延长使用寿命。UV灯预热时间内，为低强度灯光设置，能够尽可能减少对 DNA的损伤；</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(14)曝光时间：最短0.001s，每0.001s步进；</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(15)累积曝光多次成像：可以在1s～7200s内多次成像，曝光数量无限制，且每次成像的曝光时间可以累积，从而避免反复曝光，而且用户可以挑选最中意的图像保存；</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★(16)免染成像功能：电泳结束后，不需要对蛋白凝胶进行染色、脱色，可直接在5分钟内对蛋白凝胶进行成像；（提供两篇文献支持，提供对应凝胶支持）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(17)数据传输：USB及局域网，16bit或8bit；SCN，TIFF，JEPG图像文件；（投标文件中须提供产品彩页、或制造商证明、或产品说明书、或检测报告等证明材料）</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(18)可原机升级，加荧光模块即可达到5通道荧光成像功能；（投标文件中须提供产品彩页、或制造商证明、或产品说明书、或检测报告等证明材料）</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(19)提供中英文分析软件，不限制安装数量，软件免费升级。自动条带检测，自动分子量测算，自动条带浓度测算。相对含量百分数分析，绝对浓度、密度计算；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(20)软件支持多用户操作，各用户可分别设置用户名及密码，以保护数据安全；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(21)软件显示过饱和像素保证精确定量，电脑分析软件可对数据进行优化、定量、分析图像及报告输出；</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(22)分析软件报告输出：包括图像仪名称、仪器序列号、使用者姓名、成像时间、光源名称、滤光片名称、泳道图示、条带标注等。图像输出格式：.tif、.bmp、.png、.jpg、.mscn；</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1、全能成像仪主机1台，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2、白光板一块，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3、UV板一块，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4、蓝光板一块。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5、配套分析软件一套</w:t>
            </w:r>
          </w:p>
          <w:p>
            <w:pPr>
              <w:jc w:val="left"/>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6、国标电源线一根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7、配置电脑（品牌电脑：i7处理器，16g运行内存，3TB存储空间（1TB的固态硬盘+2TB的机械硬盘）；电脑显示屏：27英寸）</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核转染系统</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 转染效率高，尤其是原代细胞、干细胞和难转染的细胞系，最高可达95%。</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 外源基因直接入核，不依赖于细胞分裂。转染速度快，最快转染GFP 2小时后即可观察蛋白的表达情况。</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 核转染平台简单易用，可预设50个电转杯转染程序或多个16孔条板转染程序，无需自行优化和摸索电转条件。</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 全球共享的细胞转染数据库，可检索695种不同细胞类型的转染信息以及优化的Protocol。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 原代细胞有5种类型的细胞转染试剂，细胞系有3种转染试剂，保证最佳的转染效率和细胞存活率。每种转染试剂盒里面都有pmaxGFP质粒作为阳性对照。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 可满足不同细胞量和通量的需求：2个电转杯和一个16孔（2×8孔）电转条板（X单元），可同时运行不同的电转程序。转染细胞数量为：2×10^4到2×10^7。</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7.真核细胞转染发表的文献超过4000篇。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 有可直接进行贴壁细胞原位转染的功能，无需特殊孔板，普通的24孔细胞培养板即可实现。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 电转杯及电转条板采用新型的专利可导电聚合物，可避免在实验过程中金属离子对细胞的伤害。</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 核心模块（Core Unit）和X模块（X Unit）可平行拼接或者垂直叠放；Y模块（Y Unit）可进行通量的平行拓展（24孔）；如需更高通量，还可直接和96孔Shuttle平台连接，实现96孔通量的转染。</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 5.7英寸可折放触摸屏操作，可通过USB接口与电脑连接进行软件的升级和数据的传送，软件可免费从网站下载更新。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1、悬浮细胞电转模块一个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2、贴壁细胞电转模块一个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3、控制模块一个</w:t>
            </w:r>
          </w:p>
          <w:p>
            <w:pPr>
              <w:jc w:val="left"/>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rPr>
              <w:t>4、国标电源线一根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5、配置电脑（品牌电脑：i7处理器，16g运行内存，3TB存储空间（1TB的固态硬盘+2TB的机械硬盘）；电脑显示屏：27英寸）</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台式冷冻型离心机</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一、产品参数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1.1屏幕：全彩色触摸屏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1.2尺寸(宽x深x高)：74.6 x 69 x 36.1cm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  最高转速：≥ 15200rpm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  最大离心力：≥25830×g</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2.3  最大容量：≥4×1000mL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 温度设定范围：-10℃至+40℃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 加减速控制：9级加速，10级减速</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★2.6 转头锁定系统：Auto-Lock转头自锁，具有转头自动锁定装置，可以在3秒内实现转头的安全锁定&amp;转头更换</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2.7 生物安全性保证：提供所有转子的防生物污染密封盖，每个转头盖子提供经第三方认证的证书。可以单手操作，无需旋盖及搭扣，并可以确保密封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2.8驱动系统：无碳刷大力矩电机直接驱动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2.9全彩色触摸屏，让操作和运行一目了然</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2.9.1程序：可存储100个程序，每个程序可以进行多步骤程序设定</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2.9.2数据记录：记录所有的运行记录，并且可以实时查看</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2.9.3 USB输出：可以通过USB 接口将运行记录导出</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2.9.4温度显示：可以选择显示离心腔温度或样品温度</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2.9.5速度设定：可以选择转速设定和离心力设定</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2.9.6 ACE 模式：任一运行条件，保证运行相同的总离心力</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2.9.7转头生命周期：可以查看转头的剩余运行情况</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2.9.8离心机运行模式：两种运行模式，开放型和安全型，安全模式可设定权限管理，通过密码设定权限</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2.9.6报错信息：可及时查看仪器报错情况</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2.10运行时间控制：最长99 小时59 分59 秒；采用连续和定制式脉冲模式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2.11控制系统：微处理器控制系统</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2.12 自动性能：电动腔盖锁扣，让轻松关闭和锁定离心机腔盖</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三、配置需求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3.1 台式冷冻离心机主机 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3.2 6X100 mL碳纤维转头1个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3.3 50 mL 尖底适配器 6根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3.4 15ml尖底适配器6根</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小型水平电泳槽</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1、配备带有荧光标尺的紫外透光凝胶盘</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2、电泳槽尺寸（W×L×H）≥9.2×25.5×5.6 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3、胶盘尺寸7×10cm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4、样品通量：8-30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5、基座缓冲液容量：～270 ml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6、溴酚蓝迁移率：～4.5 cm/hr（at 75V）</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7、要求带制胶器，无需使用胶带纸黏贴</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每个电泳槽配套模块包括8孔和15孔梳子各2把，7 x 10 cm和7 x 7 cm紫外线透明托盘各一个，制胶器1个</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小型垂直电泳槽</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1、同一槽内可同时进行4块SDS-PAGE凝胶的电泳实验</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2、胶面积：8.3 x 7.3 cm；短玻璃板：10.1 x 7.3 cm；长玻璃板：10.1 x 8.2 cm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3、玻璃板：封边垫条永久性地固定在长玻板上，保证玻板精确对齐，防止漏胶</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4、灌胶系统：平行排列的设计能同时看到正在灌制的两块凝胶，弹簧杠杆设计使得软橡胶衬垫产生良好的密封性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5、上样引导装置：防止泳道的遗漏上样或重复上样</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6、模块化：可换置转印（western blot）等模块。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1、1.0 mm厚玻璃板及薄玻璃板各5块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2、2个浇铸架</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3、4个浇铸夹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4、10齿梳子一包</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5、小型垂直电泳槽及盖子一套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6、电极线一对</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小型台式高速冷冻离心机</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一、性能指标及要求：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1.1最高转速：≥13300rpm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1.2最大离心力：≥17000g</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1.3驱动系统：无碳刷免维护频率感应电机直接驱动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1.4控制系统：电脑控制系统，大屏幕数字显示</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1.5运行时间控制：1～99分钟，快速离心或连续离心三种方式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★1.6安全性能：转头自动识别；自动锁盖；不平衡保护；状态自诊断；多种电路保护</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1.7时间设置：1～99min，增量1min</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1.8温度设置：-9～40℃，增量1℃，带预冷程序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1.9加减速时间（s）：10/12秒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1.10转子最大单管容量5ml，可选配10*5ml定角转头</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 台式高速冷冻离心机一台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 24*1.5/2.0ml定角转头 一个</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多功能微孔板检测系统</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 检测模式：能够进行荧光强度（包括FRET等）、全波长吸收光和化学发光（包括BRET，闪光及慢发光等）等多种模式的检测，并通过电脑来控制各个模式的测定</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 光源类型：长寿命高能闪烁氙灯</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 检测器：超快速线性CCD，低噪音超灵敏光电倍增管（PMT）</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 读板方式：支持终点法、动力学、顺序多激发、顺序多发射、比例测定、光谱扫描、孔域扫描，轨道平均，椭圆平均等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 微孔类型：支持6-384孔板检测</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 震荡：微孔板震荡器可控制时间、力度和方向以线性，圆形或双圆形的轨道运行，振荡频率100～700rpm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 温度控制范围 ：室温+5 °C 到 45°C，精度控制为0.1°C；温度稳定性 0.2°C， 温度均一性 &lt; 0.5°C。</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 板孔扫描：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8.1可进行每孔多达30x30点高精度扫描，为细胞转染料测定等实验提供最精准检测方式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8.2 独特的轨道平均检测技术，可为悬浮微生物等样品检测提供最快速最精准的检测方式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8.3 各种检测模式支持特有的椭圆平均和轨道平均检测技术，为贴壁细胞等非均匀分布样品提供最佳检测方式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 荧光检测模块：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9.1检测灵敏度：&lt;10pM（&lt;0.2 fmol/孔荧光素，384孔板,20ul)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9.2 动态范围：6个数量级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9.3 荧光检测速度：飞行模式：9 s (96孔板)，16 s (384孔板)</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 化学发光检测模块：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10.1灵敏度：&lt;20amol/孔ATP</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10.2动态范围：8个数量级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10.3专用供电器与电子部件是屏蔽式， 减少背景噪音</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 光吸收检测模块：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▲11.1超快速免选波长全波长扫描220-1000nm：小于1秒/孔，长期检测，免光路校正</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11.2带宽：&lt;3nm，波长特异性高</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11.3检测范围：0-4 D；光谱分辨率：1nm，2nm，5nm和10nm不同步进，灵活可选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11.4准确性：&lt;1% @2OD；精确度: &lt;0.5%@1OD，&lt;0.8%@2OD</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 MARS软件：人性化软件，图像化视窗式设计</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12.1. 符合FDA 21 CFR Part 11规格</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12.2. 能通过软件全自动控制仪器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12.3.高级Script语言控制模式，可以实现同一块酶标板上同时进行多模式（光吸收、荧光、化学发光、顶读、底读）检测</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12.4. 动态多窗口运行：在同一个实验里以不同的速率收集数据（最多4种速率），慢速及快速动力学-最快可达每秒50次测读。</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12.5. 随机选取实验参数分析数据。</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12.6. 具备数据分析所需的一切功能软件和计算方法。</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12.7. 数据能够以Microsoft Excel等数据软件进行保存</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二、配置需求：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1.多功能酶标仪平台1台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2.全波长光吸收模块1个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3.化学发光检测功能模块（使用荧光光路）1个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4.化学发光检测功能模块384孔（专用光路）(需配 415-620)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5.Fan cover (not compatible with P/N 415-750 or P/N 415-760) 风扇盖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6.滤光片10片，配对如下：</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 Excitation Emission</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1）BMG UV 310/10 BMG 370 BP10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2）BMG 405 BP10 EM 460 nm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3）EX 544 nm BMG 590 BP10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4）EX 485 nm EM 520 nm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5）EX 584 nm BMG 620 BP10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7.配置电脑（i7处理器，16g运行内存，3TB存储空间（1TB的固态硬盘+2TB的机械硬盘）；电脑显示屏：27英寸）</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96孔PCR扩增仪（单模块）</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1.样品基座：标准0.2mL×96孔模块；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★2.最大模块变温速率：6.0℃/秒，变温速率可调节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3.最大样本变温速率：4.4℃/秒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4.温度范围：0-100.0℃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5.温度均一性：＜0.5℃（达到95℃后30秒），温度准确性： ±0.25℃（35-99.9℃之间），热盖：30-110℃， 可设置关闭，自动调节压力，PCR体积范围：支持10—100 uL, 允许1-100 uL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6.专利VeriFlex技术，共6组独立控温区域，可精确设置6个不同温度，实现真正意义的梯度PCR；支持区间温差最大5℃，整体25℃；允许区间最大10℃，整体30℃</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7.8英寸彩色TFT LCD触摸式显示屏，直观的导航按钮，图形化编辑设置简单方便</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8.以太网或Wi-Fi连接网络，支持手机或电脑端远程查看、监控、预约提醒和打印机连接等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9.联机操控：无需购买软件，允许多台机器在同一局域网内相互连接，并设置由其中一台来操控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10.采用配套的控制软件，可以集中管理和控制多台不同型号PCR仪，控制用户，仪器使用权限，并提供审计追踪日志，噪音水平：运行时噪音＜48dB</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11.内置模拟模式，可模拟Applied Biosystems Veriti，2720,Bio-Rad T100，Takara Dice和博日XP等市面主流PCR仪热学性能，保证实验的平稳过渡</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12.内置多种PCR程序模板，可直接调用，包括基础PCR、热启动PCR、测序PCR、优化PCR、 RT-PCR、高保真PCR、高特异PCR和Long PCR等；内置温度/时间递增选项（用于Touchdown PCR 或Long PCR）、变温速率可调节, VeriFlex等可选功能辅助优化PCR程序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13.尺寸：21.7 cm (高) x 24.5 cm (宽) x 46.5 cm (深)，重量：12 kg</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14.电源：50-60 Hz，100–240 V，最大700W，工作条件：环境温度15～30 ℃，相对湿度15%～80%（无凝结）</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二、配置清单：</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1.PCR仪主机  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2.电源线1根</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3.入门耗材套装1盒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4.快速操作说明1份</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5.COA证书1份</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6.硬边框96孔PCR板，条形码3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 x 32-孔PCR 板3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8.透明黏性封板膜5 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9.32孔透明黏性封板膜10 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10.8联盖，透明12 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11.带盖8联盖，圆顶，0.2mL12 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12.96孔加样防溅基座1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13.96孔托盘/支座套组1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14.96孔托盘（适于VeriFlex模块）1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15.管盖密封把手1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16.封膜刮板1 块</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17.多功能移除工具1 块</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小型台式高速离心机</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一、性能指标及要求：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1.1最高转速：≥13300rpm</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1.2最大离心力：≥17000g</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1.3驱动系统：无碳刷免维护频率感应电机直接驱动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1.4控制系统：电脑控制系统，大屏幕数字显示</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1.5运行时间控制：1～99分钟，快速离心或连续离心三种方式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1.6安全性能：转头自动识别；自动锁盖；不平衡保护；状态自诊断；多种电路保护</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1.7时间设置：1～99min，增量1min</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1.8加减速时间（s）：11/12秒</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1.9转子最大单管容量5ml，可选配10*5ml定角转头</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1.10最大噪音：＜56dBA</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1.11质量认证：CSA,CE,IVD,生物安全性认证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2.1台式高速离心机  一台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 24*1.5/2.0ml定角转头 一个</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转印系统</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1、转印通量：4块小胶或2块中型胶；2个转印盘设计，可运行2个独立的转印程序。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2、使用便捷：有即用型转印耗材包，无需人工准备缓冲液和膜。</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★3、转印速度：3分钟内完成2块迷你胶的转印；7分钟内完成4块普通小胶或2块中型胶的转印。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4、电源：整合型电源</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5、用户界面：显示屏程序化操作，可实现在无人照看下的程序自动运行监控；有预设程序帮助指导实验设计，并可根据实际需要人为修改程序并存储调用（25个程序）。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6、电极设计：6弹簧配合板式电极设计，确保压力及场强均一。</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1、转印仪主机一台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2、国标电源线一根</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单细胞组织匀浆器</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仪器组织处理功能≥4种，既可以高效的将组织解离成高活性的单细胞悬液，也可以将组织处理成组织匀浆，还可以将组织解离成单细胞核悬液，或搭配灌流配件实现组织离体灌注，仪器内置≥78个组织解离程序。</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2.▲仪器做组织解离所获得的单细胞悬液活性最高≥95%,可以用于细胞分选，细胞培养，流式细胞分析，单细胞测序，分子生物学分析等多种不同的后续应用。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3.仪器内置≥1个细胞核提取程序，可以从多种组织中解离出完整且状态良好的细胞核，可提供原厂家配套核提取试剂≥1种。</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4.仪器内置≥3个组织匀浆程序，满足新鲜组织和冰冻组织制备组织匀浆的功能，制备出的组织匀浆可以用于蛋白提取、分析等应用，也可以满足mRNA提取和cDNA合成，纯化和分选等后续应用。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5.仪器内置≥3个灌注相关程序，搭配小配件，可以实现大鼠及小鼠的肝脏离体灌注以获得肝实质细胞等单细胞悬液，提供原厂家配套肝脏灌注试剂盒≥1种</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6.仪器做小鼠肝脏灌注所获得的单细胞悬液活性≥90%,可以用于细胞分选，细胞培养，流式细胞分析，单细胞测序，分子生物学分析等多种不同的后续应用。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r>
              <w:rPr>
                <w:rFonts w:hint="default" w:ascii="Times New Roman" w:hAnsi="Times New Roman" w:eastAsia="宋体" w:cs="Times New Roman"/>
                <w:sz w:val="21"/>
                <w:szCs w:val="21"/>
              </w:rPr>
              <w:tab/>
            </w:r>
            <w:r>
              <w:rPr>
                <w:rFonts w:hint="default" w:ascii="Times New Roman" w:hAnsi="Times New Roman" w:eastAsia="宋体" w:cs="Times New Roman"/>
                <w:sz w:val="21"/>
                <w:szCs w:val="21"/>
              </w:rPr>
              <w:t>仪器已验证解离样本类型多样，可提供原厂家配套无菌试剂≥31种。</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8.可提供原厂家配套组织处理管≥3种，可提供原厂家组织解离配套不同规格细胞筛网相关耗材≥3种。</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9.可以选择升级带有降温功能的配套降温模块，用于细胞核提取时保持低温处理过程。</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10.仪器可以同时或分别解离或匀浆≥8种不同的样品。</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11.仪器一次可灌注样本数量≥8个，并提供灌注过程中需要的无菌试剂耗材。</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12.仪器配备≥8个独立的加热模块，可以加热至37℃，为组织解离过程中的酶解提供适宜工作温度。</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13.仪器在运行过程中，无论是全自动解离、灌注、匀浆，均可随时在空位插入新管并运行程序，实现其他位置程序正常运行的0干扰。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14.仪器配套单个组织处理管最小样本容量≤0.3mL，最大样本容量≥10mL，最小样本重量≤20mg，最大样本重量≥4g。</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15.已发表CNS参考文献≥166篇</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16.厂家可对仪器进行免费的程序升级，并提供国际相关实验的最新进展。</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17.仪器可以处理编程优化方案，并且可以保存方案便于后续使用。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二、配置要求：</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1、8通道组织处理器主机一台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2、国标电源线一根</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w:t>
            </w:r>
          </w:p>
        </w:tc>
        <w:tc>
          <w:tcPr>
            <w:tcW w:w="1210"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多功能微孔板检测系统</w:t>
            </w:r>
          </w:p>
        </w:tc>
        <w:tc>
          <w:tcPr>
            <w:tcW w:w="2244" w:type="pct"/>
            <w:noWrap w:val="0"/>
            <w:vAlign w:val="center"/>
          </w:tcPr>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一、技术参数：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 检测模式：超灵敏荧光强度检测、荧光顶读和底读、荧光光谱扫描、荧光共振能量转移（FRET），光吸收检测、光吸收扫描，化学发光检测（含闪光和辉光）、化学发光顶读和底读、化学发光扫描、生物共振能量转移（BRET），多检测模式多参数同时测定（吸收、化学发光和荧光的同时测定），荧光偏振检测，时间分辨荧光检测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 顶读和底读：所有荧光和化学发光类检测模式均支持顶读和底读，均具有自动Z-轴聚焦功能，均可实现0.1mm高精度顶读和底读自动聚焦功能。</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 光源类型：长寿命高能闪烁氙灯和新一代固态激光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 检测器：超快速线性CCD，低噪音超灵敏光电倍增管（PMT）。</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 光学模块：光栅、二向色镜和光学滤光片和超速分光计</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▲6.读板方式：顶读和底读；支持终点法、动力学、顺序多激发、顺序多发射、比例测定、光谱扫描、孔域扫描，轨道平均，椭圆平均等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7.孔板类型：支持6，12，24，48，96，384(可升级支持1536孔板)孔等各种微孔板规格</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 震荡：微孔板震荡器可控制时间、力度和方向以线性，圆形或双圆形的轨道运行</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 温度调整范围：室温+3 °C 到 45°C，精度控制为0.1°C；温度稳定性0.2°C，温度均一性 &lt; 0.5°C</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▲10.荧光检测模块：检测灵敏度：</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光栅模式：顶读&lt;0.35pM（&lt;7 amol荧光素/孔，384孔板，20ul）；底读&lt;3pM（&lt;150 amol荧光素/孔，384孔板，50ul）；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光栅带宽范围： 8nm-100nm任意可调，可为不同的荧光染料提供最佳的中心波长和带宽设定，获得最佳检测灵敏度</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11.化学发光检测模块：灵敏度：&lt;0.4pM（&lt;8amol/well ATP，384孔板，20 μL）；动态范围：8个数量级。</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12.光吸收检测模块：波长范围200-1000nm：；检测范围：0-4 D；</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13.荧光偏振：</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检测灵敏度：&lt; 0.5 mP SD @ 1 nM 荧光素/孔 (使用384孔板, 20 μL)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14.时间分辨荧光：</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灵敏度：＜20fM铕，384孔板，80μL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15.注射器：</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移液器范围为3-500ul；注射精度：&lt;0.05% CV @ 250ul</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二、配置清单：</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1.多功能酶标仪系统1台</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2.扩展的红敏PMT：240 – 900nm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3.选配底读功能，底部Z-轴自动对焦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4.超快速紫外可见光吸收分光仪，200 – 1000nm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5.化学发光检测功能模块，带96/384孔避光圈，带硬件和软件修正孔间干扰功能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6.荧光偏振滤片模块（≥350nm; 带一组滤片）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7.时间分辨荧光功能，带TR-FRET滤片一组1个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8.Reagent Injector 1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9.Reagent Injector 2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10.CLA Ex TR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11.CLA LP TR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12.CLA 620-10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13.CLA 665-10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14.CLA 520-10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15.CLA 490-10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16.CLA 482-16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17.CLA LP 504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18.CLA 530-40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19.CLA 540-20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20.CLA LP 566 1个</w:t>
            </w:r>
          </w:p>
          <w:p>
            <w:pPr>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21.CLA 590-20 1个</w:t>
            </w:r>
          </w:p>
        </w:tc>
        <w:tc>
          <w:tcPr>
            <w:tcW w:w="448"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1台</w:t>
            </w:r>
          </w:p>
        </w:tc>
        <w:tc>
          <w:tcPr>
            <w:tcW w:w="652" w:type="pct"/>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允许进口</w:t>
            </w:r>
          </w:p>
        </w:tc>
      </w:tr>
    </w:tbl>
    <w:p>
      <w:pPr>
        <w:spacing w:line="360" w:lineRule="auto"/>
        <w:rPr>
          <w:rFonts w:ascii="Times New Roman" w:hAnsi="Times New Roman" w:eastAsia="宋体" w:cs="Times New Roman"/>
          <w:b/>
          <w:szCs w:val="21"/>
        </w:rPr>
      </w:pPr>
      <w:r>
        <w:rPr>
          <w:rFonts w:ascii="Times New Roman" w:hAnsi="Times New Roman" w:eastAsia="宋体" w:cs="Times New Roman"/>
          <w:b/>
          <w:szCs w:val="21"/>
        </w:rPr>
        <w:t>注：</w:t>
      </w:r>
    </w:p>
    <w:p>
      <w:pPr>
        <w:widowControl/>
        <w:spacing w:line="360" w:lineRule="auto"/>
        <w:rPr>
          <w:rFonts w:ascii="Times New Roman" w:hAnsi="Times New Roman" w:eastAsia="宋体" w:cs="Times New Roman"/>
          <w:b/>
          <w:szCs w:val="21"/>
        </w:rPr>
      </w:pPr>
      <w:r>
        <w:rPr>
          <w:rFonts w:ascii="Times New Roman" w:hAnsi="Times New Roman" w:eastAsia="宋体" w:cs="Times New Roman"/>
          <w:b/>
          <w:szCs w:val="21"/>
        </w:rPr>
        <w:t>1.除招标文件中所明确的技术规格和品牌外，欢迎其他能满足本项目技术需求且性能相当于或高于所明确品牌的产品参加投标报价。同时在采购需求偏离表中作出详细对比说明。</w:t>
      </w:r>
    </w:p>
    <w:p>
      <w:pPr>
        <w:widowControl/>
        <w:spacing w:line="360" w:lineRule="auto"/>
        <w:rPr>
          <w:rFonts w:hint="eastAsia" w:ascii="Times New Roman" w:hAnsi="Times New Roman" w:eastAsia="宋体" w:cs="Times New Roman"/>
          <w:b/>
          <w:szCs w:val="21"/>
          <w:highlight w:val="none"/>
          <w:lang w:eastAsia="zh-CN"/>
        </w:rPr>
      </w:pPr>
      <w:r>
        <w:rPr>
          <w:rFonts w:ascii="Times New Roman" w:hAnsi="Times New Roman" w:eastAsia="宋体" w:cs="Times New Roman"/>
          <w:b/>
          <w:szCs w:val="21"/>
        </w:rPr>
        <w:t>2.如技术要求中</w:t>
      </w:r>
      <w:r>
        <w:rPr>
          <w:rFonts w:ascii="Times New Roman" w:hAnsi="Times New Roman" w:eastAsia="宋体" w:cs="Times New Roman"/>
          <w:b/>
          <w:szCs w:val="21"/>
          <w:highlight w:val="none"/>
        </w:rPr>
        <w:t>未特别注明需执行的国家相关标准、行业标准、地方标准或者其他标准、规范，则统一准、规范。</w:t>
      </w:r>
    </w:p>
    <w:p>
      <w:pPr>
        <w:widowControl/>
        <w:spacing w:line="360" w:lineRule="auto"/>
        <w:rPr>
          <w:rFonts w:ascii="Times New Roman" w:hAnsi="Times New Roman" w:eastAsia="宋体" w:cs="Times New Roman"/>
          <w:b/>
          <w:szCs w:val="21"/>
        </w:rPr>
      </w:pPr>
      <w:r>
        <w:rPr>
          <w:rFonts w:hint="eastAsia" w:ascii="Times New Roman" w:hAnsi="Times New Roman" w:eastAsia="宋体" w:cs="Times New Roman"/>
          <w:b/>
          <w:szCs w:val="21"/>
          <w:highlight w:val="none"/>
        </w:rPr>
        <w:t>3.本项目的核心产品为：多功能微孔板检测系统（序号16）</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hNDQ2ODVkN2E4OTVhNmQyMGNmNTU0ZmIyMmFmZWMifQ=="/>
  </w:docVars>
  <w:rsids>
    <w:rsidRoot w:val="55971782"/>
    <w:rsid w:val="2B9776E1"/>
    <w:rsid w:val="55971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8931</Words>
  <Characters>11279</Characters>
  <Lines>0</Lines>
  <Paragraphs>0</Paragraphs>
  <TotalTime>1</TotalTime>
  <ScaleCrop>false</ScaleCrop>
  <LinksUpToDate>false</LinksUpToDate>
  <CharactersWithSpaces>11679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2024-05-31T07:43:00Z</dcterms:created>
  <dc:creator>WPS_1692011830</dc:creator>
  <cp:lastModifiedBy>清</cp:lastModifiedBy>
  <dcterms:modified xsi:type="dcterms:W3CDTF">2024-06-04T01:56:30Z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520CB142698B4ACE9B45647A7D89866A_13</vt:lpwstr>
  </property>
</Properties>
</file>