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pStyle w:val="2"/>
        <w:spacing w:before="0" w:after="0" w:line="400" w:lineRule="exact"/>
        <w:rPr>
          <w:rFonts w:hint="eastAsia" w:ascii="宋体 (正文)" w:hAnsi="宋体 (正文)" w:eastAsia="宋体 (正文)" w:cs="宋体 (正文)"/>
          <w:kern w:val="2"/>
          <w:sz w:val="32"/>
          <w:szCs w:val="32"/>
        </w:rPr>
      </w:pPr>
      <w:bookmarkStart w:id="0" w:name="_Toc26795"/>
      <w:bookmarkStart w:id="1" w:name="_Toc88807231"/>
      <w:bookmarkStart w:id="2" w:name="_Toc14678"/>
      <w:bookmarkStart w:id="3" w:name="_Toc27970"/>
      <w:bookmarkStart w:id="4" w:name="_Toc28000"/>
      <w:bookmarkStart w:id="5" w:name="_Toc10112"/>
      <w:bookmarkStart w:id="6" w:name="_Toc17481"/>
      <w:bookmarkStart w:id="37" w:name="_GoBack"/>
      <w:bookmarkEnd w:id="37"/>
      <w:r>
        <w:rPr>
          <w:rFonts w:hint="eastAsia" w:ascii="宋体 (正文)" w:hAnsi="宋体 (正文)" w:eastAsia="宋体 (正文)" w:cs="宋体 (正文)"/>
          <w:kern w:val="2"/>
          <w:sz w:val="32"/>
          <w:szCs w:val="32"/>
        </w:rPr>
        <w:t>中国海洋大学数字式超细研磨仪、大小鼠无创血压仪等设备采购项目招标公告</w:t>
      </w:r>
      <w:bookmarkEnd w:id="0"/>
      <w:bookmarkEnd w:id="1"/>
      <w:bookmarkEnd w:id="2"/>
      <w:bookmarkEnd w:id="3"/>
      <w:bookmarkEnd w:id="4"/>
      <w:bookmarkEnd w:id="5"/>
      <w:bookmarkEnd w:id="6"/>
    </w:p>
    <w:p>
      <w:pPr>
        <w:jc w:val="center"/>
        <w:rPr>
          <w:rFonts w:ascii="宋体" w:hAnsi="宋体"/>
          <w:b/>
          <w:sz w:val="28"/>
          <w:szCs w:val="28"/>
        </w:rPr>
      </w:pPr>
    </w:p>
    <w:p>
      <w:pPr>
        <w:pBdr>
          <w:top w:val="single" w:color="auto" w:sz="4" w:space="1"/>
          <w:left w:val="single" w:color="auto" w:sz="4" w:space="4"/>
          <w:bottom w:val="single" w:color="auto" w:sz="4" w:space="1"/>
          <w:right w:val="single" w:color="auto" w:sz="4" w:space="4"/>
        </w:pBdr>
        <w:adjustRightInd w:val="0"/>
        <w:snapToGrid w:val="0"/>
        <w:spacing w:line="360" w:lineRule="auto"/>
        <w:ind w:firstLine="480" w:firstLineChars="200"/>
        <w:rPr>
          <w:rFonts w:ascii="宋体" w:hAnsi="宋体" w:cs="宋体"/>
          <w:sz w:val="24"/>
        </w:rPr>
      </w:pPr>
      <w:bookmarkStart w:id="7" w:name="_Toc35393621"/>
      <w:bookmarkStart w:id="8" w:name="_Toc28359079"/>
      <w:bookmarkStart w:id="9" w:name="_Toc28359002"/>
      <w:bookmarkStart w:id="10" w:name="_Toc35393790"/>
      <w:bookmarkStart w:id="11" w:name="_Hlk24379207"/>
      <w:r>
        <w:rPr>
          <w:rFonts w:hint="eastAsia" w:ascii="宋体" w:hAnsi="宋体" w:cs="宋体"/>
          <w:bCs/>
          <w:sz w:val="24"/>
        </w:rPr>
        <w:fldChar w:fldCharType="begin"/>
      </w:r>
      <w:r>
        <w:rPr>
          <w:rFonts w:hint="eastAsia" w:ascii="宋体" w:hAnsi="宋体" w:cs="宋体"/>
          <w:bCs/>
          <w:sz w:val="24"/>
        </w:rPr>
        <w:instrText xml:space="preserve"> HYPERLINK "mailto:受中国海洋大学委托，海逸恒安项目管理有限公司对中国海洋大学环科院双一流设备高分辨质谱采购项目采用公开招标进行采购，欢迎潜在投标人前来竞标。请潜在投标人在&lt;panghaosheng@sdhyha.com&gt;获取招标文件，并于2023年" </w:instrText>
      </w:r>
      <w:r>
        <w:rPr>
          <w:rFonts w:hint="eastAsia" w:ascii="宋体" w:hAnsi="宋体" w:cs="宋体"/>
          <w:bCs/>
          <w:sz w:val="24"/>
        </w:rPr>
        <w:fldChar w:fldCharType="separate"/>
      </w:r>
      <w:r>
        <w:rPr>
          <w:rFonts w:hint="eastAsia" w:ascii="宋体" w:hAnsi="宋体" w:cs="宋体"/>
          <w:bCs/>
          <w:sz w:val="24"/>
        </w:rPr>
        <w:t>受</w:t>
      </w:r>
      <w:r>
        <w:rPr>
          <w:rFonts w:hint="eastAsia" w:ascii="宋体" w:hAnsi="宋体" w:cs="宋体"/>
          <w:bCs/>
          <w:sz w:val="24"/>
          <w:u w:val="single"/>
        </w:rPr>
        <w:t>中国海洋大学</w:t>
      </w:r>
      <w:r>
        <w:rPr>
          <w:rFonts w:hint="eastAsia" w:ascii="宋体" w:hAnsi="宋体" w:cs="宋体"/>
          <w:bCs/>
          <w:sz w:val="24"/>
        </w:rPr>
        <w:t>委托，</w:t>
      </w:r>
      <w:r>
        <w:rPr>
          <w:rFonts w:hint="eastAsia" w:ascii="宋体" w:hAnsi="宋体" w:cs="宋体"/>
          <w:bCs/>
          <w:sz w:val="24"/>
          <w:u w:val="single"/>
        </w:rPr>
        <w:t>海逸恒安项目管理有限公司</w:t>
      </w:r>
      <w:r>
        <w:rPr>
          <w:rFonts w:hint="eastAsia" w:ascii="宋体" w:hAnsi="宋体" w:cs="宋体"/>
          <w:bCs/>
          <w:sz w:val="24"/>
        </w:rPr>
        <w:t>对</w:t>
      </w:r>
      <w:r>
        <w:rPr>
          <w:rFonts w:hint="eastAsia" w:ascii="宋体" w:hAnsi="宋体" w:cs="宋体"/>
          <w:bCs/>
          <w:sz w:val="24"/>
          <w:u w:val="single"/>
        </w:rPr>
        <w:t>中国海洋大学数字式超细研磨仪、大小鼠无创血压仪等设备采购项目</w:t>
      </w:r>
      <w:r>
        <w:rPr>
          <w:rFonts w:hint="eastAsia" w:ascii="宋体" w:hAnsi="宋体" w:cs="宋体"/>
          <w:bCs/>
          <w:sz w:val="24"/>
        </w:rPr>
        <w:t>采用</w:t>
      </w:r>
      <w:r>
        <w:rPr>
          <w:rFonts w:hint="eastAsia" w:ascii="宋体" w:hAnsi="宋体" w:cs="宋体"/>
          <w:bCs/>
          <w:sz w:val="24"/>
          <w:u w:val="single"/>
        </w:rPr>
        <w:t>公开招标</w:t>
      </w:r>
      <w:r>
        <w:rPr>
          <w:rFonts w:hint="eastAsia" w:ascii="宋体" w:hAnsi="宋体" w:cs="宋体"/>
          <w:bCs/>
          <w:sz w:val="24"/>
        </w:rPr>
        <w:t>进行采购，欢迎潜在投标人前来竞标。请潜在投标人在</w:t>
      </w:r>
      <w:r>
        <w:rPr>
          <w:rFonts w:hint="eastAsia" w:ascii="宋体" w:hAnsi="宋体" w:cs="宋体"/>
          <w:bCs/>
          <w:sz w:val="24"/>
          <w:u w:val="single"/>
        </w:rPr>
        <w:t>&lt;panghaosheng@sdhyha.com&gt;</w:t>
      </w:r>
      <w:r>
        <w:rPr>
          <w:rFonts w:hint="eastAsia" w:ascii="宋体" w:hAnsi="宋体" w:cs="宋体"/>
          <w:bCs/>
          <w:sz w:val="24"/>
        </w:rPr>
        <w:t>获取招标文件，并于</w:t>
      </w:r>
      <w:r>
        <w:rPr>
          <w:rFonts w:hint="eastAsia" w:ascii="宋体" w:hAnsi="宋体" w:cs="宋体"/>
          <w:bCs/>
          <w:sz w:val="24"/>
          <w:u w:val="single"/>
        </w:rPr>
        <w:t>2024年</w:t>
      </w:r>
      <w:r>
        <w:rPr>
          <w:rFonts w:hint="eastAsia" w:ascii="宋体" w:hAnsi="宋体" w:cs="宋体"/>
          <w:bCs/>
          <w:sz w:val="24"/>
        </w:rPr>
        <w:fldChar w:fldCharType="end"/>
      </w:r>
      <w:r>
        <w:rPr>
          <w:rFonts w:hint="eastAsia" w:ascii="宋体" w:hAnsi="宋体" w:cs="宋体"/>
          <w:bCs/>
          <w:sz w:val="24"/>
          <w:u w:val="single"/>
          <w:lang w:val="en-US" w:eastAsia="zh-CN"/>
        </w:rPr>
        <w:t>6</w:t>
      </w:r>
      <w:r>
        <w:rPr>
          <w:rFonts w:hint="eastAsia" w:ascii="宋体" w:hAnsi="宋体" w:cs="宋体"/>
          <w:bCs/>
          <w:sz w:val="24"/>
          <w:u w:val="single"/>
        </w:rPr>
        <w:t>月</w:t>
      </w:r>
      <w:r>
        <w:rPr>
          <w:rFonts w:hint="eastAsia" w:ascii="宋体" w:hAnsi="宋体" w:cs="宋体"/>
          <w:bCs/>
          <w:sz w:val="24"/>
          <w:u w:val="single"/>
          <w:lang w:val="en-US" w:eastAsia="zh-CN"/>
        </w:rPr>
        <w:t>18</w:t>
      </w:r>
      <w:r>
        <w:rPr>
          <w:rFonts w:hint="eastAsia" w:ascii="宋体" w:hAnsi="宋体" w:cs="宋体"/>
          <w:bCs/>
          <w:sz w:val="24"/>
          <w:u w:val="single"/>
        </w:rPr>
        <w:t>日</w:t>
      </w:r>
      <w:r>
        <w:rPr>
          <w:rFonts w:hint="eastAsia" w:ascii="宋体" w:hAnsi="宋体" w:cs="宋体"/>
          <w:bCs/>
          <w:sz w:val="24"/>
          <w:u w:val="single"/>
          <w:lang w:val="en-US" w:eastAsia="zh-CN"/>
        </w:rPr>
        <w:t>09</w:t>
      </w:r>
      <w:r>
        <w:rPr>
          <w:rFonts w:hint="eastAsia" w:ascii="宋体" w:hAnsi="宋体" w:cs="宋体"/>
          <w:bCs/>
          <w:sz w:val="24"/>
          <w:u w:val="single"/>
        </w:rPr>
        <w:t>点</w:t>
      </w:r>
      <w:r>
        <w:rPr>
          <w:rFonts w:hint="eastAsia" w:ascii="宋体" w:hAnsi="宋体" w:cs="宋体"/>
          <w:bCs/>
          <w:sz w:val="24"/>
          <w:u w:val="single"/>
          <w:lang w:val="en-US" w:eastAsia="zh-CN"/>
        </w:rPr>
        <w:t>00</w:t>
      </w:r>
      <w:r>
        <w:rPr>
          <w:rFonts w:hint="eastAsia" w:ascii="宋体" w:hAnsi="宋体" w:cs="宋体"/>
          <w:bCs/>
          <w:sz w:val="24"/>
          <w:u w:val="single"/>
        </w:rPr>
        <w:t>分（北京时间）</w:t>
      </w:r>
      <w:r>
        <w:rPr>
          <w:rFonts w:hint="eastAsia" w:ascii="宋体" w:hAnsi="宋体" w:cs="宋体"/>
          <w:bCs/>
          <w:sz w:val="24"/>
        </w:rPr>
        <w:t>前提交投标文件</w:t>
      </w:r>
      <w:r>
        <w:rPr>
          <w:rFonts w:hint="eastAsia" w:ascii="宋体" w:hAnsi="宋体" w:cs="宋体"/>
          <w:sz w:val="24"/>
        </w:rPr>
        <w:t>。</w:t>
      </w:r>
    </w:p>
    <w:p>
      <w:pPr>
        <w:spacing w:before="240" w:beforeLines="100" w:line="360" w:lineRule="auto"/>
        <w:rPr>
          <w:rFonts w:ascii="宋体" w:hAnsi="宋体" w:cs="宋体"/>
          <w:b/>
          <w:bCs/>
          <w:sz w:val="24"/>
        </w:rPr>
      </w:pPr>
      <w:r>
        <w:rPr>
          <w:rFonts w:hint="eastAsia" w:ascii="宋体" w:hAnsi="宋体" w:cs="宋体"/>
          <w:b/>
          <w:bCs/>
          <w:sz w:val="24"/>
        </w:rPr>
        <w:t>一、项目基本情况</w:t>
      </w:r>
      <w:bookmarkEnd w:id="7"/>
      <w:bookmarkEnd w:id="8"/>
      <w:bookmarkEnd w:id="9"/>
      <w:bookmarkEnd w:id="10"/>
    </w:p>
    <w:p>
      <w:pPr>
        <w:spacing w:line="360" w:lineRule="auto"/>
        <w:ind w:firstLine="480" w:firstLineChars="200"/>
        <w:rPr>
          <w:rFonts w:ascii="宋体" w:hAnsi="宋体" w:cs="宋体"/>
          <w:sz w:val="24"/>
        </w:rPr>
      </w:pPr>
      <w:r>
        <w:rPr>
          <w:rFonts w:hint="eastAsia" w:ascii="宋体" w:hAnsi="宋体" w:cs="宋体"/>
          <w:sz w:val="24"/>
        </w:rPr>
        <w:t>1.项目编号：HYHA2024-1146</w:t>
      </w:r>
    </w:p>
    <w:p>
      <w:pPr>
        <w:spacing w:line="360" w:lineRule="auto"/>
        <w:ind w:firstLine="480" w:firstLineChars="200"/>
        <w:rPr>
          <w:rFonts w:ascii="宋体" w:hAnsi="宋体" w:cs="宋体"/>
          <w:sz w:val="24"/>
        </w:rPr>
      </w:pPr>
      <w:r>
        <w:rPr>
          <w:rFonts w:hint="eastAsia" w:ascii="宋体" w:hAnsi="宋体" w:cs="宋体"/>
          <w:sz w:val="24"/>
        </w:rPr>
        <w:t>2.项目名称：</w:t>
      </w:r>
      <w:bookmarkEnd w:id="11"/>
      <w:r>
        <w:rPr>
          <w:rFonts w:hint="eastAsia" w:ascii="宋体" w:hAnsi="宋体" w:cs="宋体"/>
          <w:sz w:val="24"/>
        </w:rPr>
        <w:t>中国海洋大学数字式超细研磨仪、大小鼠无创血压仪等设备采购项目</w:t>
      </w:r>
    </w:p>
    <w:p>
      <w:pPr>
        <w:spacing w:line="360" w:lineRule="auto"/>
        <w:ind w:firstLine="480" w:firstLineChars="200"/>
        <w:rPr>
          <w:rFonts w:hint="eastAsia" w:ascii="宋体" w:hAnsi="宋体" w:cs="宋体"/>
          <w:sz w:val="24"/>
        </w:rPr>
      </w:pPr>
      <w:r>
        <w:rPr>
          <w:rFonts w:hint="eastAsia" w:ascii="宋体" w:hAnsi="宋体" w:cs="宋体"/>
          <w:sz w:val="24"/>
        </w:rPr>
        <w:t>3.预算金额及最高限价：100.00万元。</w:t>
      </w:r>
    </w:p>
    <w:p>
      <w:pPr>
        <w:spacing w:line="360" w:lineRule="auto"/>
        <w:ind w:firstLine="480" w:firstLineChars="200"/>
        <w:rPr>
          <w:rFonts w:ascii="宋体" w:hAnsi="宋体" w:cs="宋体"/>
          <w:sz w:val="24"/>
        </w:rPr>
      </w:pPr>
      <w:r>
        <w:rPr>
          <w:rFonts w:hint="eastAsia" w:ascii="宋体" w:hAnsi="宋体" w:cs="宋体"/>
          <w:sz w:val="24"/>
        </w:rPr>
        <w:t>4.采购需求：</w:t>
      </w:r>
    </w:p>
    <w:tbl>
      <w:tblPr>
        <w:tblStyle w:val="4"/>
        <w:tblW w:w="959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231"/>
        <w:gridCol w:w="4333"/>
        <w:gridCol w:w="1329"/>
        <w:gridCol w:w="270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0" w:hRule="atLeast"/>
          <w:jc w:val="center"/>
        </w:trPr>
        <w:tc>
          <w:tcPr>
            <w:tcW w:w="1231" w:type="dxa"/>
            <w:noWrap w:val="0"/>
            <w:vAlign w:val="center"/>
          </w:tcPr>
          <w:p>
            <w:pPr>
              <w:spacing w:line="360" w:lineRule="auto"/>
              <w:jc w:val="center"/>
              <w:rPr>
                <w:rFonts w:hint="eastAsia" w:ascii="宋体" w:hAnsi="宋体" w:cs="宋体"/>
                <w:sz w:val="24"/>
              </w:rPr>
            </w:pPr>
            <w:r>
              <w:rPr>
                <w:rFonts w:hint="eastAsia" w:ascii="宋体" w:hAnsi="宋体" w:cs="宋体"/>
                <w:sz w:val="24"/>
              </w:rPr>
              <w:t>包号</w:t>
            </w:r>
          </w:p>
        </w:tc>
        <w:tc>
          <w:tcPr>
            <w:tcW w:w="4333" w:type="dxa"/>
            <w:noWrap w:val="0"/>
            <w:vAlign w:val="center"/>
          </w:tcPr>
          <w:p>
            <w:pPr>
              <w:spacing w:line="360" w:lineRule="auto"/>
              <w:ind w:firstLine="480" w:firstLineChars="200"/>
              <w:jc w:val="center"/>
              <w:rPr>
                <w:rFonts w:hint="eastAsia" w:ascii="宋体" w:hAnsi="宋体" w:cs="宋体"/>
                <w:sz w:val="24"/>
              </w:rPr>
            </w:pPr>
            <w:r>
              <w:rPr>
                <w:rFonts w:hint="eastAsia" w:ascii="宋体" w:hAnsi="宋体" w:cs="宋体"/>
                <w:sz w:val="24"/>
              </w:rPr>
              <w:t>货物名称</w:t>
            </w:r>
          </w:p>
        </w:tc>
        <w:tc>
          <w:tcPr>
            <w:tcW w:w="1329" w:type="dxa"/>
            <w:noWrap w:val="0"/>
            <w:vAlign w:val="center"/>
          </w:tcPr>
          <w:p>
            <w:pPr>
              <w:spacing w:line="360" w:lineRule="auto"/>
              <w:jc w:val="center"/>
              <w:rPr>
                <w:rFonts w:hint="eastAsia" w:ascii="宋体" w:hAnsi="宋体" w:cs="宋体"/>
                <w:sz w:val="24"/>
              </w:rPr>
            </w:pPr>
            <w:r>
              <w:rPr>
                <w:rFonts w:hint="eastAsia" w:ascii="宋体" w:hAnsi="宋体" w:cs="宋体"/>
                <w:sz w:val="24"/>
              </w:rPr>
              <w:t>数量</w:t>
            </w:r>
          </w:p>
        </w:tc>
        <w:tc>
          <w:tcPr>
            <w:tcW w:w="2705" w:type="dxa"/>
            <w:noWrap w:val="0"/>
            <w:vAlign w:val="center"/>
          </w:tcPr>
          <w:p>
            <w:pPr>
              <w:spacing w:line="360" w:lineRule="auto"/>
              <w:jc w:val="center"/>
              <w:rPr>
                <w:rFonts w:hint="eastAsia" w:ascii="宋体" w:hAnsi="宋体" w:cs="宋体"/>
                <w:sz w:val="24"/>
              </w:rPr>
            </w:pPr>
            <w:r>
              <w:rPr>
                <w:rFonts w:hint="eastAsia" w:ascii="宋体" w:hAnsi="宋体" w:cs="宋体"/>
                <w:sz w:val="24"/>
              </w:rPr>
              <w:t>简要技术需求</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1" w:hRule="atLeast"/>
          <w:jc w:val="center"/>
        </w:trPr>
        <w:tc>
          <w:tcPr>
            <w:tcW w:w="1231" w:type="dxa"/>
            <w:vMerge w:val="restart"/>
            <w:noWrap w:val="0"/>
            <w:vAlign w:val="center"/>
          </w:tcPr>
          <w:p>
            <w:pPr>
              <w:spacing w:line="360" w:lineRule="auto"/>
              <w:ind w:firstLine="480" w:firstLineChars="200"/>
              <w:rPr>
                <w:rFonts w:hint="eastAsia" w:ascii="宋体" w:hAnsi="宋体" w:cs="宋体"/>
                <w:sz w:val="24"/>
              </w:rPr>
            </w:pPr>
            <w:r>
              <w:rPr>
                <w:rFonts w:hint="eastAsia" w:ascii="宋体" w:hAnsi="宋体" w:cs="宋体"/>
                <w:sz w:val="24"/>
              </w:rPr>
              <w:t>1</w:t>
            </w:r>
          </w:p>
        </w:tc>
        <w:tc>
          <w:tcPr>
            <w:tcW w:w="4333" w:type="dxa"/>
            <w:noWrap w:val="0"/>
            <w:vAlign w:val="center"/>
          </w:tcPr>
          <w:p>
            <w:pPr>
              <w:widowControl/>
              <w:spacing w:line="360" w:lineRule="auto"/>
              <w:jc w:val="center"/>
              <w:textAlignment w:val="center"/>
              <w:rPr>
                <w:rFonts w:hint="eastAsia" w:ascii="宋体" w:hAnsi="宋体" w:cs="宋体"/>
                <w:sz w:val="24"/>
              </w:rPr>
            </w:pPr>
            <w:r>
              <w:rPr>
                <w:rFonts w:hint="eastAsia" w:ascii="宋体" w:hAnsi="宋体" w:cs="宋体"/>
                <w:sz w:val="24"/>
              </w:rPr>
              <w:t>拍打式均质器</w:t>
            </w:r>
          </w:p>
        </w:tc>
        <w:tc>
          <w:tcPr>
            <w:tcW w:w="1329" w:type="dxa"/>
            <w:noWrap w:val="0"/>
            <w:vAlign w:val="center"/>
          </w:tcPr>
          <w:p>
            <w:pPr>
              <w:widowControl/>
              <w:spacing w:line="360" w:lineRule="auto"/>
              <w:jc w:val="center"/>
              <w:textAlignment w:val="center"/>
              <w:rPr>
                <w:rFonts w:ascii="宋体" w:hAnsi="宋体" w:cs="宋体"/>
                <w:sz w:val="24"/>
              </w:rPr>
            </w:pPr>
            <w:r>
              <w:rPr>
                <w:rFonts w:hint="eastAsia" w:ascii="宋体" w:hAnsi="宋体" w:cs="宋体"/>
                <w:sz w:val="24"/>
              </w:rPr>
              <w:t>2</w:t>
            </w:r>
          </w:p>
        </w:tc>
        <w:tc>
          <w:tcPr>
            <w:tcW w:w="2705" w:type="dxa"/>
            <w:vMerge w:val="restart"/>
            <w:noWrap w:val="0"/>
            <w:vAlign w:val="center"/>
          </w:tcPr>
          <w:p>
            <w:pPr>
              <w:spacing w:line="360" w:lineRule="auto"/>
              <w:jc w:val="center"/>
              <w:rPr>
                <w:rFonts w:hint="eastAsia" w:ascii="宋体" w:hAnsi="宋体" w:cs="宋体"/>
                <w:sz w:val="24"/>
              </w:rPr>
            </w:pPr>
            <w:r>
              <w:rPr>
                <w:rFonts w:hint="eastAsia" w:ascii="宋体" w:hAnsi="宋体" w:cs="宋体"/>
                <w:sz w:val="24"/>
              </w:rPr>
              <w:t>简要技术需求</w:t>
            </w:r>
          </w:p>
          <w:p>
            <w:pPr>
              <w:spacing w:line="360" w:lineRule="auto"/>
              <w:jc w:val="center"/>
              <w:rPr>
                <w:rFonts w:hint="eastAsia" w:ascii="宋体" w:hAnsi="宋体" w:cs="宋体"/>
                <w:sz w:val="24"/>
              </w:rPr>
            </w:pPr>
            <w:r>
              <w:rPr>
                <w:rFonts w:hint="eastAsia" w:ascii="宋体" w:hAnsi="宋体" w:cs="宋体"/>
                <w:sz w:val="24"/>
              </w:rPr>
              <w:t>详见招标公告附件。</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1" w:hRule="atLeast"/>
          <w:jc w:val="center"/>
        </w:trPr>
        <w:tc>
          <w:tcPr>
            <w:tcW w:w="1231" w:type="dxa"/>
            <w:vMerge w:val="continue"/>
            <w:noWrap w:val="0"/>
            <w:vAlign w:val="center"/>
          </w:tcPr>
          <w:p>
            <w:pPr>
              <w:spacing w:line="360" w:lineRule="auto"/>
              <w:ind w:firstLine="480" w:firstLineChars="200"/>
              <w:rPr>
                <w:rFonts w:hint="eastAsia" w:ascii="宋体" w:hAnsi="宋体" w:cs="宋体"/>
                <w:sz w:val="24"/>
              </w:rPr>
            </w:pPr>
          </w:p>
        </w:tc>
        <w:tc>
          <w:tcPr>
            <w:tcW w:w="4333" w:type="dxa"/>
            <w:noWrap w:val="0"/>
            <w:vAlign w:val="center"/>
          </w:tcPr>
          <w:p>
            <w:pPr>
              <w:widowControl/>
              <w:spacing w:line="360" w:lineRule="auto"/>
              <w:jc w:val="center"/>
              <w:textAlignment w:val="center"/>
              <w:rPr>
                <w:rFonts w:hint="eastAsia" w:ascii="宋体" w:hAnsi="宋体" w:cs="宋体"/>
                <w:sz w:val="24"/>
              </w:rPr>
            </w:pPr>
            <w:r>
              <w:rPr>
                <w:rFonts w:hint="eastAsia" w:ascii="宋体" w:hAnsi="宋体" w:cs="宋体"/>
                <w:sz w:val="24"/>
              </w:rPr>
              <w:t>数字式超细研磨仪</w:t>
            </w:r>
          </w:p>
        </w:tc>
        <w:tc>
          <w:tcPr>
            <w:tcW w:w="1329" w:type="dxa"/>
            <w:noWrap w:val="0"/>
            <w:vAlign w:val="center"/>
          </w:tcPr>
          <w:p>
            <w:pPr>
              <w:widowControl/>
              <w:spacing w:line="360" w:lineRule="auto"/>
              <w:jc w:val="center"/>
              <w:textAlignment w:val="center"/>
              <w:rPr>
                <w:rFonts w:hint="eastAsia" w:ascii="宋体" w:hAnsi="宋体" w:cs="宋体"/>
                <w:sz w:val="24"/>
              </w:rPr>
            </w:pPr>
            <w:r>
              <w:rPr>
                <w:rFonts w:hint="eastAsia" w:ascii="宋体" w:hAnsi="宋体" w:cs="宋体"/>
                <w:sz w:val="24"/>
              </w:rPr>
              <w:t>2</w:t>
            </w:r>
          </w:p>
        </w:tc>
        <w:tc>
          <w:tcPr>
            <w:tcW w:w="2705" w:type="dxa"/>
            <w:vMerge w:val="continue"/>
            <w:noWrap w:val="0"/>
            <w:vAlign w:val="center"/>
          </w:tcPr>
          <w:p>
            <w:pPr>
              <w:spacing w:line="360" w:lineRule="auto"/>
              <w:jc w:val="center"/>
              <w:rPr>
                <w:rFonts w:hint="eastAsia" w:ascii="宋体" w:hAnsi="宋体" w:cs="宋体"/>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1" w:hRule="atLeast"/>
          <w:jc w:val="center"/>
        </w:trPr>
        <w:tc>
          <w:tcPr>
            <w:tcW w:w="1231" w:type="dxa"/>
            <w:vMerge w:val="continue"/>
            <w:noWrap w:val="0"/>
            <w:vAlign w:val="center"/>
          </w:tcPr>
          <w:p>
            <w:pPr>
              <w:spacing w:line="360" w:lineRule="auto"/>
              <w:ind w:firstLine="480" w:firstLineChars="200"/>
              <w:rPr>
                <w:rFonts w:hint="eastAsia" w:ascii="宋体" w:hAnsi="宋体" w:cs="宋体"/>
                <w:sz w:val="24"/>
              </w:rPr>
            </w:pPr>
          </w:p>
        </w:tc>
        <w:tc>
          <w:tcPr>
            <w:tcW w:w="4333" w:type="dxa"/>
            <w:noWrap w:val="0"/>
            <w:vAlign w:val="center"/>
          </w:tcPr>
          <w:p>
            <w:pPr>
              <w:widowControl/>
              <w:spacing w:line="360" w:lineRule="auto"/>
              <w:jc w:val="center"/>
              <w:textAlignment w:val="center"/>
              <w:rPr>
                <w:rFonts w:hint="eastAsia" w:ascii="宋体" w:hAnsi="宋体" w:cs="宋体"/>
                <w:sz w:val="24"/>
              </w:rPr>
            </w:pPr>
            <w:r>
              <w:rPr>
                <w:rFonts w:hint="eastAsia" w:ascii="宋体" w:hAnsi="宋体" w:cs="宋体"/>
                <w:sz w:val="24"/>
              </w:rPr>
              <w:t>乳化均质机</w:t>
            </w:r>
          </w:p>
        </w:tc>
        <w:tc>
          <w:tcPr>
            <w:tcW w:w="1329" w:type="dxa"/>
            <w:noWrap w:val="0"/>
            <w:vAlign w:val="center"/>
          </w:tcPr>
          <w:p>
            <w:pPr>
              <w:widowControl/>
              <w:spacing w:line="360" w:lineRule="auto"/>
              <w:jc w:val="center"/>
              <w:textAlignment w:val="center"/>
              <w:rPr>
                <w:rFonts w:hint="eastAsia" w:ascii="宋体" w:hAnsi="宋体" w:cs="宋体"/>
                <w:sz w:val="24"/>
              </w:rPr>
            </w:pPr>
            <w:r>
              <w:rPr>
                <w:rFonts w:hint="eastAsia" w:ascii="宋体" w:hAnsi="宋体" w:cs="宋体"/>
                <w:sz w:val="24"/>
              </w:rPr>
              <w:t>2</w:t>
            </w:r>
          </w:p>
        </w:tc>
        <w:tc>
          <w:tcPr>
            <w:tcW w:w="2705" w:type="dxa"/>
            <w:vMerge w:val="continue"/>
            <w:noWrap w:val="0"/>
            <w:vAlign w:val="center"/>
          </w:tcPr>
          <w:p>
            <w:pPr>
              <w:spacing w:line="360" w:lineRule="auto"/>
              <w:jc w:val="center"/>
              <w:rPr>
                <w:rFonts w:hint="eastAsia" w:ascii="宋体" w:hAnsi="宋体" w:cs="宋体"/>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1" w:hRule="atLeast"/>
          <w:jc w:val="center"/>
        </w:trPr>
        <w:tc>
          <w:tcPr>
            <w:tcW w:w="1231" w:type="dxa"/>
            <w:vMerge w:val="continue"/>
            <w:noWrap w:val="0"/>
            <w:vAlign w:val="center"/>
          </w:tcPr>
          <w:p>
            <w:pPr>
              <w:spacing w:line="360" w:lineRule="auto"/>
              <w:ind w:firstLine="480" w:firstLineChars="200"/>
              <w:rPr>
                <w:rFonts w:hint="eastAsia" w:ascii="宋体" w:hAnsi="宋体" w:cs="宋体"/>
                <w:sz w:val="24"/>
              </w:rPr>
            </w:pPr>
          </w:p>
        </w:tc>
        <w:tc>
          <w:tcPr>
            <w:tcW w:w="4333" w:type="dxa"/>
            <w:noWrap w:val="0"/>
            <w:vAlign w:val="center"/>
          </w:tcPr>
          <w:p>
            <w:pPr>
              <w:widowControl/>
              <w:spacing w:line="360" w:lineRule="auto"/>
              <w:jc w:val="center"/>
              <w:textAlignment w:val="center"/>
              <w:rPr>
                <w:rFonts w:hint="eastAsia" w:ascii="宋体" w:hAnsi="宋体" w:cs="宋体"/>
                <w:sz w:val="24"/>
              </w:rPr>
            </w:pPr>
            <w:r>
              <w:rPr>
                <w:rFonts w:hint="eastAsia" w:ascii="宋体" w:hAnsi="宋体" w:cs="宋体"/>
                <w:sz w:val="24"/>
              </w:rPr>
              <w:t>台式电炸炉</w:t>
            </w:r>
          </w:p>
        </w:tc>
        <w:tc>
          <w:tcPr>
            <w:tcW w:w="1329" w:type="dxa"/>
            <w:noWrap w:val="0"/>
            <w:vAlign w:val="center"/>
          </w:tcPr>
          <w:p>
            <w:pPr>
              <w:widowControl/>
              <w:spacing w:line="360" w:lineRule="auto"/>
              <w:jc w:val="center"/>
              <w:textAlignment w:val="center"/>
              <w:rPr>
                <w:rFonts w:hint="eastAsia" w:ascii="宋体" w:hAnsi="宋体" w:cs="宋体"/>
                <w:sz w:val="24"/>
              </w:rPr>
            </w:pPr>
            <w:r>
              <w:rPr>
                <w:rFonts w:hint="eastAsia" w:ascii="宋体" w:hAnsi="宋体" w:cs="宋体"/>
                <w:sz w:val="24"/>
              </w:rPr>
              <w:t>2</w:t>
            </w:r>
          </w:p>
        </w:tc>
        <w:tc>
          <w:tcPr>
            <w:tcW w:w="2705" w:type="dxa"/>
            <w:vMerge w:val="continue"/>
            <w:noWrap w:val="0"/>
            <w:vAlign w:val="center"/>
          </w:tcPr>
          <w:p>
            <w:pPr>
              <w:spacing w:line="360" w:lineRule="auto"/>
              <w:jc w:val="center"/>
              <w:rPr>
                <w:rFonts w:hint="eastAsia" w:ascii="宋体" w:hAnsi="宋体" w:cs="宋体"/>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1" w:hRule="atLeast"/>
          <w:jc w:val="center"/>
        </w:trPr>
        <w:tc>
          <w:tcPr>
            <w:tcW w:w="1231" w:type="dxa"/>
            <w:vMerge w:val="continue"/>
            <w:noWrap w:val="0"/>
            <w:vAlign w:val="center"/>
          </w:tcPr>
          <w:p>
            <w:pPr>
              <w:spacing w:line="360" w:lineRule="auto"/>
              <w:ind w:firstLine="480" w:firstLineChars="200"/>
              <w:rPr>
                <w:rFonts w:hint="eastAsia" w:ascii="宋体" w:hAnsi="宋体" w:cs="宋体"/>
                <w:sz w:val="24"/>
              </w:rPr>
            </w:pPr>
          </w:p>
        </w:tc>
        <w:tc>
          <w:tcPr>
            <w:tcW w:w="4333" w:type="dxa"/>
            <w:noWrap w:val="0"/>
            <w:vAlign w:val="center"/>
          </w:tcPr>
          <w:p>
            <w:pPr>
              <w:widowControl/>
              <w:spacing w:line="360" w:lineRule="auto"/>
              <w:jc w:val="center"/>
              <w:textAlignment w:val="center"/>
              <w:rPr>
                <w:rFonts w:hint="eastAsia" w:ascii="宋体" w:hAnsi="宋体" w:cs="宋体"/>
                <w:sz w:val="24"/>
              </w:rPr>
            </w:pPr>
            <w:r>
              <w:rPr>
                <w:rFonts w:hint="eastAsia" w:ascii="宋体" w:hAnsi="宋体" w:cs="宋体"/>
                <w:sz w:val="24"/>
              </w:rPr>
              <w:t>万分之一天平</w:t>
            </w:r>
          </w:p>
        </w:tc>
        <w:tc>
          <w:tcPr>
            <w:tcW w:w="1329" w:type="dxa"/>
            <w:noWrap w:val="0"/>
            <w:vAlign w:val="center"/>
          </w:tcPr>
          <w:p>
            <w:pPr>
              <w:widowControl/>
              <w:spacing w:line="360" w:lineRule="auto"/>
              <w:jc w:val="center"/>
              <w:textAlignment w:val="center"/>
              <w:rPr>
                <w:rFonts w:hint="eastAsia" w:ascii="宋体" w:hAnsi="宋体" w:cs="宋体"/>
                <w:sz w:val="24"/>
              </w:rPr>
            </w:pPr>
            <w:r>
              <w:rPr>
                <w:rFonts w:hint="eastAsia" w:ascii="宋体" w:hAnsi="宋体" w:cs="宋体"/>
                <w:sz w:val="24"/>
              </w:rPr>
              <w:t>6</w:t>
            </w:r>
          </w:p>
        </w:tc>
        <w:tc>
          <w:tcPr>
            <w:tcW w:w="2705" w:type="dxa"/>
            <w:vMerge w:val="continue"/>
            <w:noWrap w:val="0"/>
            <w:vAlign w:val="center"/>
          </w:tcPr>
          <w:p>
            <w:pPr>
              <w:spacing w:line="360" w:lineRule="auto"/>
              <w:jc w:val="center"/>
              <w:rPr>
                <w:rFonts w:hint="eastAsia" w:ascii="宋体" w:hAnsi="宋体" w:cs="宋体"/>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1" w:hRule="atLeast"/>
          <w:jc w:val="center"/>
        </w:trPr>
        <w:tc>
          <w:tcPr>
            <w:tcW w:w="1231" w:type="dxa"/>
            <w:vMerge w:val="continue"/>
            <w:noWrap w:val="0"/>
            <w:vAlign w:val="center"/>
          </w:tcPr>
          <w:p>
            <w:pPr>
              <w:spacing w:line="360" w:lineRule="auto"/>
              <w:ind w:firstLine="480" w:firstLineChars="200"/>
              <w:rPr>
                <w:rFonts w:hint="eastAsia" w:ascii="宋体" w:hAnsi="宋体" w:cs="宋体"/>
                <w:sz w:val="24"/>
              </w:rPr>
            </w:pPr>
          </w:p>
        </w:tc>
        <w:tc>
          <w:tcPr>
            <w:tcW w:w="4333" w:type="dxa"/>
            <w:noWrap w:val="0"/>
            <w:vAlign w:val="center"/>
          </w:tcPr>
          <w:p>
            <w:pPr>
              <w:widowControl/>
              <w:spacing w:line="360" w:lineRule="auto"/>
              <w:jc w:val="center"/>
              <w:textAlignment w:val="center"/>
              <w:rPr>
                <w:rFonts w:hint="eastAsia" w:ascii="宋体" w:hAnsi="宋体" w:cs="宋体"/>
                <w:sz w:val="24"/>
              </w:rPr>
            </w:pPr>
            <w:r>
              <w:rPr>
                <w:rFonts w:hint="eastAsia" w:ascii="宋体" w:hAnsi="宋体" w:cs="宋体"/>
                <w:sz w:val="24"/>
              </w:rPr>
              <w:t>折光仪</w:t>
            </w:r>
          </w:p>
        </w:tc>
        <w:tc>
          <w:tcPr>
            <w:tcW w:w="1329" w:type="dxa"/>
            <w:noWrap w:val="0"/>
            <w:vAlign w:val="center"/>
          </w:tcPr>
          <w:p>
            <w:pPr>
              <w:widowControl/>
              <w:spacing w:line="360" w:lineRule="auto"/>
              <w:jc w:val="center"/>
              <w:textAlignment w:val="center"/>
              <w:rPr>
                <w:rFonts w:hint="eastAsia" w:ascii="宋体" w:hAnsi="宋体" w:cs="宋体"/>
                <w:sz w:val="24"/>
              </w:rPr>
            </w:pPr>
            <w:r>
              <w:rPr>
                <w:rFonts w:hint="eastAsia" w:ascii="宋体" w:hAnsi="宋体" w:cs="宋体"/>
                <w:sz w:val="24"/>
              </w:rPr>
              <w:t>4</w:t>
            </w:r>
          </w:p>
        </w:tc>
        <w:tc>
          <w:tcPr>
            <w:tcW w:w="2705" w:type="dxa"/>
            <w:vMerge w:val="continue"/>
            <w:noWrap w:val="0"/>
            <w:vAlign w:val="center"/>
          </w:tcPr>
          <w:p>
            <w:pPr>
              <w:spacing w:line="360" w:lineRule="auto"/>
              <w:jc w:val="center"/>
              <w:rPr>
                <w:rFonts w:hint="eastAsia" w:ascii="宋体" w:hAnsi="宋体" w:cs="宋体"/>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1" w:hRule="atLeast"/>
          <w:jc w:val="center"/>
        </w:trPr>
        <w:tc>
          <w:tcPr>
            <w:tcW w:w="1231" w:type="dxa"/>
            <w:vMerge w:val="continue"/>
            <w:noWrap w:val="0"/>
            <w:vAlign w:val="center"/>
          </w:tcPr>
          <w:p>
            <w:pPr>
              <w:spacing w:line="360" w:lineRule="auto"/>
              <w:ind w:firstLine="480" w:firstLineChars="200"/>
              <w:rPr>
                <w:rFonts w:hint="eastAsia" w:ascii="宋体" w:hAnsi="宋体" w:cs="宋体"/>
                <w:sz w:val="24"/>
              </w:rPr>
            </w:pPr>
          </w:p>
        </w:tc>
        <w:tc>
          <w:tcPr>
            <w:tcW w:w="4333" w:type="dxa"/>
            <w:noWrap w:val="0"/>
            <w:vAlign w:val="center"/>
          </w:tcPr>
          <w:p>
            <w:pPr>
              <w:widowControl/>
              <w:spacing w:line="360" w:lineRule="auto"/>
              <w:jc w:val="center"/>
              <w:textAlignment w:val="center"/>
              <w:rPr>
                <w:rFonts w:hint="eastAsia" w:ascii="宋体" w:hAnsi="宋体" w:cs="宋体"/>
                <w:sz w:val="24"/>
              </w:rPr>
            </w:pPr>
            <w:r>
              <w:rPr>
                <w:rFonts w:hint="eastAsia" w:ascii="宋体" w:hAnsi="宋体" w:cs="宋体"/>
                <w:sz w:val="24"/>
              </w:rPr>
              <w:t>密度计</w:t>
            </w:r>
          </w:p>
        </w:tc>
        <w:tc>
          <w:tcPr>
            <w:tcW w:w="1329" w:type="dxa"/>
            <w:noWrap w:val="0"/>
            <w:vAlign w:val="center"/>
          </w:tcPr>
          <w:p>
            <w:pPr>
              <w:widowControl/>
              <w:spacing w:line="360" w:lineRule="auto"/>
              <w:jc w:val="center"/>
              <w:textAlignment w:val="center"/>
              <w:rPr>
                <w:rFonts w:hint="eastAsia" w:ascii="宋体" w:hAnsi="宋体" w:cs="宋体"/>
                <w:sz w:val="24"/>
              </w:rPr>
            </w:pPr>
            <w:r>
              <w:rPr>
                <w:rFonts w:hint="eastAsia" w:ascii="宋体" w:hAnsi="宋体" w:cs="宋体"/>
                <w:sz w:val="24"/>
              </w:rPr>
              <w:t>4</w:t>
            </w:r>
          </w:p>
        </w:tc>
        <w:tc>
          <w:tcPr>
            <w:tcW w:w="2705" w:type="dxa"/>
            <w:vMerge w:val="continue"/>
            <w:noWrap w:val="0"/>
            <w:vAlign w:val="center"/>
          </w:tcPr>
          <w:p>
            <w:pPr>
              <w:spacing w:line="360" w:lineRule="auto"/>
              <w:jc w:val="center"/>
              <w:rPr>
                <w:rFonts w:hint="eastAsia" w:ascii="宋体" w:hAnsi="宋体" w:cs="宋体"/>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1" w:hRule="atLeast"/>
          <w:jc w:val="center"/>
        </w:trPr>
        <w:tc>
          <w:tcPr>
            <w:tcW w:w="1231" w:type="dxa"/>
            <w:vMerge w:val="continue"/>
            <w:noWrap w:val="0"/>
            <w:vAlign w:val="center"/>
          </w:tcPr>
          <w:p>
            <w:pPr>
              <w:spacing w:line="360" w:lineRule="auto"/>
              <w:ind w:firstLine="480" w:firstLineChars="200"/>
              <w:rPr>
                <w:rFonts w:hint="eastAsia" w:ascii="宋体" w:hAnsi="宋体" w:cs="宋体"/>
                <w:sz w:val="24"/>
              </w:rPr>
            </w:pPr>
          </w:p>
        </w:tc>
        <w:tc>
          <w:tcPr>
            <w:tcW w:w="4333" w:type="dxa"/>
            <w:noWrap w:val="0"/>
            <w:vAlign w:val="center"/>
          </w:tcPr>
          <w:p>
            <w:pPr>
              <w:widowControl/>
              <w:spacing w:line="360" w:lineRule="auto"/>
              <w:jc w:val="center"/>
              <w:textAlignment w:val="center"/>
              <w:rPr>
                <w:rFonts w:hint="eastAsia" w:ascii="宋体" w:hAnsi="宋体" w:cs="宋体"/>
                <w:sz w:val="24"/>
              </w:rPr>
            </w:pPr>
            <w:r>
              <w:rPr>
                <w:rFonts w:hint="eastAsia" w:ascii="宋体" w:hAnsi="宋体" w:cs="宋体"/>
                <w:sz w:val="24"/>
              </w:rPr>
              <w:t>水产品重金属检测仪</w:t>
            </w:r>
          </w:p>
        </w:tc>
        <w:tc>
          <w:tcPr>
            <w:tcW w:w="1329" w:type="dxa"/>
            <w:noWrap w:val="0"/>
            <w:vAlign w:val="center"/>
          </w:tcPr>
          <w:p>
            <w:pPr>
              <w:widowControl/>
              <w:spacing w:line="360" w:lineRule="auto"/>
              <w:jc w:val="center"/>
              <w:textAlignment w:val="center"/>
              <w:rPr>
                <w:rFonts w:hint="eastAsia" w:ascii="宋体" w:hAnsi="宋体" w:cs="宋体"/>
                <w:sz w:val="24"/>
              </w:rPr>
            </w:pPr>
            <w:r>
              <w:rPr>
                <w:rFonts w:hint="eastAsia" w:ascii="宋体" w:hAnsi="宋体" w:cs="宋体"/>
                <w:sz w:val="24"/>
              </w:rPr>
              <w:t>4</w:t>
            </w:r>
          </w:p>
        </w:tc>
        <w:tc>
          <w:tcPr>
            <w:tcW w:w="2705" w:type="dxa"/>
            <w:vMerge w:val="continue"/>
            <w:noWrap w:val="0"/>
            <w:vAlign w:val="center"/>
          </w:tcPr>
          <w:p>
            <w:pPr>
              <w:spacing w:line="360" w:lineRule="auto"/>
              <w:jc w:val="center"/>
              <w:rPr>
                <w:rFonts w:hint="eastAsia" w:ascii="宋体" w:hAnsi="宋体" w:cs="宋体"/>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1" w:hRule="atLeast"/>
          <w:jc w:val="center"/>
        </w:trPr>
        <w:tc>
          <w:tcPr>
            <w:tcW w:w="1231" w:type="dxa"/>
            <w:vMerge w:val="continue"/>
            <w:noWrap w:val="0"/>
            <w:vAlign w:val="center"/>
          </w:tcPr>
          <w:p>
            <w:pPr>
              <w:spacing w:line="360" w:lineRule="auto"/>
              <w:ind w:firstLine="480" w:firstLineChars="200"/>
              <w:rPr>
                <w:rFonts w:hint="eastAsia" w:ascii="宋体" w:hAnsi="宋体" w:cs="宋体"/>
                <w:sz w:val="24"/>
              </w:rPr>
            </w:pPr>
          </w:p>
        </w:tc>
        <w:tc>
          <w:tcPr>
            <w:tcW w:w="4333" w:type="dxa"/>
            <w:noWrap w:val="0"/>
            <w:vAlign w:val="center"/>
          </w:tcPr>
          <w:p>
            <w:pPr>
              <w:widowControl/>
              <w:spacing w:line="360" w:lineRule="auto"/>
              <w:jc w:val="center"/>
              <w:textAlignment w:val="center"/>
              <w:rPr>
                <w:rFonts w:hint="eastAsia" w:ascii="宋体" w:hAnsi="宋体" w:cs="宋体"/>
                <w:sz w:val="24"/>
              </w:rPr>
            </w:pPr>
            <w:r>
              <w:rPr>
                <w:rFonts w:hint="eastAsia" w:ascii="宋体" w:hAnsi="宋体" w:cs="宋体"/>
                <w:sz w:val="24"/>
              </w:rPr>
              <w:t>气流烘干器</w:t>
            </w:r>
          </w:p>
        </w:tc>
        <w:tc>
          <w:tcPr>
            <w:tcW w:w="1329" w:type="dxa"/>
            <w:noWrap w:val="0"/>
            <w:vAlign w:val="center"/>
          </w:tcPr>
          <w:p>
            <w:pPr>
              <w:widowControl/>
              <w:spacing w:line="360" w:lineRule="auto"/>
              <w:jc w:val="center"/>
              <w:textAlignment w:val="center"/>
              <w:rPr>
                <w:rFonts w:hint="eastAsia" w:ascii="宋体" w:hAnsi="宋体" w:cs="宋体"/>
                <w:sz w:val="24"/>
              </w:rPr>
            </w:pPr>
            <w:r>
              <w:rPr>
                <w:rFonts w:hint="eastAsia" w:ascii="宋体" w:hAnsi="宋体" w:cs="宋体"/>
                <w:sz w:val="24"/>
              </w:rPr>
              <w:t>20</w:t>
            </w:r>
          </w:p>
        </w:tc>
        <w:tc>
          <w:tcPr>
            <w:tcW w:w="2705" w:type="dxa"/>
            <w:vMerge w:val="continue"/>
            <w:noWrap w:val="0"/>
            <w:vAlign w:val="center"/>
          </w:tcPr>
          <w:p>
            <w:pPr>
              <w:spacing w:line="360" w:lineRule="auto"/>
              <w:jc w:val="center"/>
              <w:rPr>
                <w:rFonts w:hint="eastAsia" w:ascii="宋体" w:hAnsi="宋体" w:cs="宋体"/>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1" w:hRule="atLeast"/>
          <w:jc w:val="center"/>
        </w:trPr>
        <w:tc>
          <w:tcPr>
            <w:tcW w:w="1231" w:type="dxa"/>
            <w:vMerge w:val="continue"/>
            <w:noWrap w:val="0"/>
            <w:vAlign w:val="center"/>
          </w:tcPr>
          <w:p>
            <w:pPr>
              <w:spacing w:line="360" w:lineRule="auto"/>
              <w:ind w:firstLine="480" w:firstLineChars="200"/>
              <w:rPr>
                <w:rFonts w:hint="eastAsia" w:ascii="宋体" w:hAnsi="宋体" w:cs="宋体"/>
                <w:sz w:val="24"/>
              </w:rPr>
            </w:pPr>
          </w:p>
        </w:tc>
        <w:tc>
          <w:tcPr>
            <w:tcW w:w="4333" w:type="dxa"/>
            <w:noWrap w:val="0"/>
            <w:vAlign w:val="center"/>
          </w:tcPr>
          <w:p>
            <w:pPr>
              <w:widowControl/>
              <w:spacing w:line="360" w:lineRule="auto"/>
              <w:jc w:val="center"/>
              <w:textAlignment w:val="center"/>
              <w:rPr>
                <w:rFonts w:hint="eastAsia" w:ascii="宋体" w:hAnsi="宋体" w:cs="宋体"/>
                <w:sz w:val="24"/>
              </w:rPr>
            </w:pPr>
            <w:r>
              <w:rPr>
                <w:rFonts w:hint="eastAsia" w:ascii="宋体" w:hAnsi="宋体" w:cs="宋体"/>
                <w:sz w:val="24"/>
              </w:rPr>
              <w:t>PCR仪</w:t>
            </w:r>
          </w:p>
        </w:tc>
        <w:tc>
          <w:tcPr>
            <w:tcW w:w="1329" w:type="dxa"/>
            <w:noWrap w:val="0"/>
            <w:vAlign w:val="center"/>
          </w:tcPr>
          <w:p>
            <w:pPr>
              <w:widowControl/>
              <w:spacing w:line="360" w:lineRule="auto"/>
              <w:jc w:val="center"/>
              <w:textAlignment w:val="center"/>
              <w:rPr>
                <w:rFonts w:hint="eastAsia" w:ascii="宋体" w:hAnsi="宋体" w:cs="宋体"/>
                <w:sz w:val="24"/>
              </w:rPr>
            </w:pPr>
            <w:r>
              <w:rPr>
                <w:rFonts w:hint="eastAsia" w:ascii="宋体" w:hAnsi="宋体" w:cs="宋体"/>
                <w:sz w:val="24"/>
              </w:rPr>
              <w:t>4</w:t>
            </w:r>
          </w:p>
        </w:tc>
        <w:tc>
          <w:tcPr>
            <w:tcW w:w="2705" w:type="dxa"/>
            <w:vMerge w:val="continue"/>
            <w:noWrap w:val="0"/>
            <w:vAlign w:val="center"/>
          </w:tcPr>
          <w:p>
            <w:pPr>
              <w:spacing w:line="360" w:lineRule="auto"/>
              <w:jc w:val="center"/>
              <w:rPr>
                <w:rFonts w:hint="eastAsia" w:ascii="宋体" w:hAnsi="宋体" w:cs="宋体"/>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1" w:hRule="atLeast"/>
          <w:jc w:val="center"/>
        </w:trPr>
        <w:tc>
          <w:tcPr>
            <w:tcW w:w="1231" w:type="dxa"/>
            <w:vMerge w:val="continue"/>
            <w:noWrap w:val="0"/>
            <w:vAlign w:val="center"/>
          </w:tcPr>
          <w:p>
            <w:pPr>
              <w:spacing w:line="360" w:lineRule="auto"/>
              <w:ind w:firstLine="480" w:firstLineChars="200"/>
              <w:rPr>
                <w:rFonts w:hint="eastAsia" w:ascii="宋体" w:hAnsi="宋体" w:cs="宋体"/>
                <w:sz w:val="24"/>
              </w:rPr>
            </w:pPr>
          </w:p>
        </w:tc>
        <w:tc>
          <w:tcPr>
            <w:tcW w:w="4333" w:type="dxa"/>
            <w:noWrap w:val="0"/>
            <w:vAlign w:val="center"/>
          </w:tcPr>
          <w:p>
            <w:pPr>
              <w:widowControl/>
              <w:spacing w:line="360" w:lineRule="auto"/>
              <w:jc w:val="center"/>
              <w:textAlignment w:val="center"/>
              <w:rPr>
                <w:rFonts w:hint="eastAsia" w:ascii="宋体" w:hAnsi="宋体" w:cs="宋体"/>
                <w:sz w:val="24"/>
              </w:rPr>
            </w:pPr>
            <w:r>
              <w:rPr>
                <w:rFonts w:hint="eastAsia" w:ascii="宋体" w:hAnsi="宋体" w:cs="宋体"/>
                <w:sz w:val="24"/>
              </w:rPr>
              <w:t>大小鼠无创血压仪</w:t>
            </w:r>
          </w:p>
        </w:tc>
        <w:tc>
          <w:tcPr>
            <w:tcW w:w="1329" w:type="dxa"/>
            <w:noWrap w:val="0"/>
            <w:vAlign w:val="center"/>
          </w:tcPr>
          <w:p>
            <w:pPr>
              <w:widowControl/>
              <w:spacing w:line="360" w:lineRule="auto"/>
              <w:jc w:val="center"/>
              <w:textAlignment w:val="center"/>
              <w:rPr>
                <w:rFonts w:hint="eastAsia" w:ascii="宋体" w:hAnsi="宋体" w:cs="宋体"/>
                <w:sz w:val="24"/>
              </w:rPr>
            </w:pPr>
            <w:r>
              <w:rPr>
                <w:rFonts w:hint="eastAsia" w:ascii="宋体" w:hAnsi="宋体" w:cs="宋体"/>
                <w:sz w:val="24"/>
              </w:rPr>
              <w:t>1</w:t>
            </w:r>
          </w:p>
        </w:tc>
        <w:tc>
          <w:tcPr>
            <w:tcW w:w="2705" w:type="dxa"/>
            <w:vMerge w:val="continue"/>
            <w:noWrap w:val="0"/>
            <w:vAlign w:val="center"/>
          </w:tcPr>
          <w:p>
            <w:pPr>
              <w:spacing w:line="360" w:lineRule="auto"/>
              <w:jc w:val="center"/>
              <w:rPr>
                <w:rFonts w:hint="eastAsia" w:ascii="宋体" w:hAnsi="宋体" w:cs="宋体"/>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1" w:hRule="atLeast"/>
          <w:jc w:val="center"/>
        </w:trPr>
        <w:tc>
          <w:tcPr>
            <w:tcW w:w="1231" w:type="dxa"/>
            <w:vMerge w:val="continue"/>
            <w:noWrap w:val="0"/>
            <w:vAlign w:val="center"/>
          </w:tcPr>
          <w:p>
            <w:pPr>
              <w:spacing w:line="360" w:lineRule="auto"/>
              <w:ind w:firstLine="480" w:firstLineChars="200"/>
              <w:rPr>
                <w:rFonts w:hint="eastAsia" w:ascii="宋体" w:hAnsi="宋体" w:cs="宋体"/>
                <w:sz w:val="24"/>
              </w:rPr>
            </w:pPr>
          </w:p>
        </w:tc>
        <w:tc>
          <w:tcPr>
            <w:tcW w:w="4333" w:type="dxa"/>
            <w:noWrap w:val="0"/>
            <w:vAlign w:val="center"/>
          </w:tcPr>
          <w:p>
            <w:pPr>
              <w:widowControl/>
              <w:spacing w:line="360" w:lineRule="auto"/>
              <w:jc w:val="center"/>
              <w:textAlignment w:val="center"/>
              <w:rPr>
                <w:rFonts w:hint="eastAsia" w:ascii="宋体" w:hAnsi="宋体" w:cs="宋体"/>
                <w:sz w:val="24"/>
              </w:rPr>
            </w:pPr>
            <w:r>
              <w:rPr>
                <w:rFonts w:hint="eastAsia" w:ascii="宋体" w:hAnsi="宋体" w:cs="宋体"/>
                <w:sz w:val="24"/>
              </w:rPr>
              <w:t>显示系统</w:t>
            </w:r>
          </w:p>
        </w:tc>
        <w:tc>
          <w:tcPr>
            <w:tcW w:w="1329" w:type="dxa"/>
            <w:noWrap w:val="0"/>
            <w:vAlign w:val="center"/>
          </w:tcPr>
          <w:p>
            <w:pPr>
              <w:widowControl/>
              <w:spacing w:line="360" w:lineRule="auto"/>
              <w:jc w:val="center"/>
              <w:textAlignment w:val="center"/>
              <w:rPr>
                <w:rFonts w:hint="eastAsia" w:ascii="宋体" w:hAnsi="宋体" w:cs="宋体"/>
                <w:sz w:val="24"/>
              </w:rPr>
            </w:pPr>
            <w:r>
              <w:rPr>
                <w:rFonts w:hint="eastAsia" w:ascii="宋体" w:hAnsi="宋体" w:cs="宋体"/>
                <w:sz w:val="24"/>
              </w:rPr>
              <w:t>1</w:t>
            </w:r>
          </w:p>
        </w:tc>
        <w:tc>
          <w:tcPr>
            <w:tcW w:w="2705" w:type="dxa"/>
            <w:vMerge w:val="continue"/>
            <w:noWrap w:val="0"/>
            <w:vAlign w:val="center"/>
          </w:tcPr>
          <w:p>
            <w:pPr>
              <w:spacing w:line="360" w:lineRule="auto"/>
              <w:jc w:val="center"/>
              <w:rPr>
                <w:rFonts w:hint="eastAsia" w:ascii="宋体" w:hAnsi="宋体" w:cs="宋体"/>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1" w:hRule="atLeast"/>
          <w:jc w:val="center"/>
        </w:trPr>
        <w:tc>
          <w:tcPr>
            <w:tcW w:w="1231" w:type="dxa"/>
            <w:vMerge w:val="continue"/>
            <w:noWrap w:val="0"/>
            <w:vAlign w:val="center"/>
          </w:tcPr>
          <w:p>
            <w:pPr>
              <w:spacing w:line="360" w:lineRule="auto"/>
              <w:ind w:firstLine="480" w:firstLineChars="200"/>
              <w:rPr>
                <w:rFonts w:hint="eastAsia" w:ascii="宋体" w:hAnsi="宋体" w:cs="宋体"/>
                <w:sz w:val="24"/>
              </w:rPr>
            </w:pPr>
          </w:p>
        </w:tc>
        <w:tc>
          <w:tcPr>
            <w:tcW w:w="4333" w:type="dxa"/>
            <w:noWrap w:val="0"/>
            <w:vAlign w:val="center"/>
          </w:tcPr>
          <w:p>
            <w:pPr>
              <w:widowControl/>
              <w:spacing w:line="360" w:lineRule="auto"/>
              <w:jc w:val="center"/>
              <w:textAlignment w:val="center"/>
              <w:rPr>
                <w:rFonts w:hint="eastAsia" w:ascii="宋体" w:hAnsi="宋体" w:cs="宋体"/>
                <w:sz w:val="24"/>
              </w:rPr>
            </w:pPr>
            <w:r>
              <w:rPr>
                <w:rFonts w:hint="eastAsia" w:ascii="宋体" w:hAnsi="宋体" w:cs="宋体"/>
                <w:sz w:val="24"/>
              </w:rPr>
              <w:t>录播、直播系统</w:t>
            </w:r>
          </w:p>
        </w:tc>
        <w:tc>
          <w:tcPr>
            <w:tcW w:w="1329" w:type="dxa"/>
            <w:noWrap w:val="0"/>
            <w:vAlign w:val="center"/>
          </w:tcPr>
          <w:p>
            <w:pPr>
              <w:widowControl/>
              <w:spacing w:line="360" w:lineRule="auto"/>
              <w:jc w:val="center"/>
              <w:textAlignment w:val="center"/>
              <w:rPr>
                <w:rFonts w:hint="eastAsia" w:ascii="宋体" w:hAnsi="宋体" w:cs="宋体"/>
                <w:sz w:val="24"/>
              </w:rPr>
            </w:pPr>
            <w:r>
              <w:rPr>
                <w:rFonts w:hint="eastAsia" w:ascii="宋体" w:hAnsi="宋体" w:cs="宋体"/>
                <w:sz w:val="24"/>
              </w:rPr>
              <w:t>1</w:t>
            </w:r>
          </w:p>
        </w:tc>
        <w:tc>
          <w:tcPr>
            <w:tcW w:w="2705" w:type="dxa"/>
            <w:vMerge w:val="continue"/>
            <w:noWrap w:val="0"/>
            <w:vAlign w:val="center"/>
          </w:tcPr>
          <w:p>
            <w:pPr>
              <w:spacing w:line="360" w:lineRule="auto"/>
              <w:jc w:val="center"/>
              <w:rPr>
                <w:rFonts w:hint="eastAsia" w:ascii="宋体" w:hAnsi="宋体" w:cs="宋体"/>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1" w:hRule="atLeast"/>
          <w:jc w:val="center"/>
        </w:trPr>
        <w:tc>
          <w:tcPr>
            <w:tcW w:w="1231" w:type="dxa"/>
            <w:vMerge w:val="continue"/>
            <w:noWrap w:val="0"/>
            <w:vAlign w:val="center"/>
          </w:tcPr>
          <w:p>
            <w:pPr>
              <w:spacing w:line="360" w:lineRule="auto"/>
              <w:ind w:firstLine="480" w:firstLineChars="200"/>
              <w:rPr>
                <w:rFonts w:hint="eastAsia" w:ascii="宋体" w:hAnsi="宋体" w:cs="宋体"/>
                <w:sz w:val="24"/>
              </w:rPr>
            </w:pPr>
          </w:p>
        </w:tc>
        <w:tc>
          <w:tcPr>
            <w:tcW w:w="4333" w:type="dxa"/>
            <w:noWrap w:val="0"/>
            <w:vAlign w:val="center"/>
          </w:tcPr>
          <w:p>
            <w:pPr>
              <w:widowControl/>
              <w:spacing w:line="360" w:lineRule="auto"/>
              <w:jc w:val="center"/>
              <w:textAlignment w:val="center"/>
              <w:rPr>
                <w:rFonts w:hint="eastAsia" w:ascii="宋体" w:hAnsi="宋体" w:cs="宋体"/>
                <w:sz w:val="24"/>
              </w:rPr>
            </w:pPr>
            <w:r>
              <w:rPr>
                <w:rFonts w:hint="eastAsia" w:ascii="宋体" w:hAnsi="宋体" w:cs="宋体"/>
                <w:sz w:val="24"/>
              </w:rPr>
              <w:t>音频互动系统</w:t>
            </w:r>
          </w:p>
        </w:tc>
        <w:tc>
          <w:tcPr>
            <w:tcW w:w="1329" w:type="dxa"/>
            <w:noWrap w:val="0"/>
            <w:vAlign w:val="center"/>
          </w:tcPr>
          <w:p>
            <w:pPr>
              <w:widowControl/>
              <w:spacing w:line="360" w:lineRule="auto"/>
              <w:jc w:val="center"/>
              <w:textAlignment w:val="center"/>
              <w:rPr>
                <w:rFonts w:hint="eastAsia" w:ascii="宋体" w:hAnsi="宋体" w:cs="宋体"/>
                <w:sz w:val="24"/>
              </w:rPr>
            </w:pPr>
            <w:r>
              <w:rPr>
                <w:rFonts w:hint="eastAsia" w:ascii="宋体" w:hAnsi="宋体" w:cs="宋体"/>
                <w:sz w:val="24"/>
              </w:rPr>
              <w:t>1</w:t>
            </w:r>
          </w:p>
        </w:tc>
        <w:tc>
          <w:tcPr>
            <w:tcW w:w="2705" w:type="dxa"/>
            <w:vMerge w:val="continue"/>
            <w:noWrap w:val="0"/>
            <w:vAlign w:val="center"/>
          </w:tcPr>
          <w:p>
            <w:pPr>
              <w:spacing w:line="360" w:lineRule="auto"/>
              <w:jc w:val="center"/>
              <w:rPr>
                <w:rFonts w:hint="eastAsia" w:ascii="宋体" w:hAnsi="宋体" w:cs="宋体"/>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1" w:hRule="atLeast"/>
          <w:jc w:val="center"/>
        </w:trPr>
        <w:tc>
          <w:tcPr>
            <w:tcW w:w="1231" w:type="dxa"/>
            <w:vMerge w:val="continue"/>
            <w:noWrap w:val="0"/>
            <w:vAlign w:val="center"/>
          </w:tcPr>
          <w:p>
            <w:pPr>
              <w:spacing w:line="360" w:lineRule="auto"/>
              <w:ind w:firstLine="480" w:firstLineChars="200"/>
              <w:rPr>
                <w:rFonts w:hint="eastAsia" w:ascii="宋体" w:hAnsi="宋体" w:cs="宋体"/>
                <w:sz w:val="24"/>
              </w:rPr>
            </w:pPr>
          </w:p>
        </w:tc>
        <w:tc>
          <w:tcPr>
            <w:tcW w:w="4333" w:type="dxa"/>
            <w:noWrap w:val="0"/>
            <w:vAlign w:val="center"/>
          </w:tcPr>
          <w:p>
            <w:pPr>
              <w:widowControl/>
              <w:spacing w:line="360" w:lineRule="auto"/>
              <w:jc w:val="center"/>
              <w:textAlignment w:val="center"/>
              <w:rPr>
                <w:rFonts w:hint="eastAsia" w:ascii="宋体" w:hAnsi="宋体" w:cs="宋体"/>
                <w:sz w:val="24"/>
              </w:rPr>
            </w:pPr>
            <w:r>
              <w:rPr>
                <w:rFonts w:hint="eastAsia" w:ascii="宋体" w:hAnsi="宋体" w:cs="宋体"/>
                <w:sz w:val="24"/>
              </w:rPr>
              <w:t>扩音系统</w:t>
            </w:r>
          </w:p>
        </w:tc>
        <w:tc>
          <w:tcPr>
            <w:tcW w:w="1329" w:type="dxa"/>
            <w:noWrap w:val="0"/>
            <w:vAlign w:val="center"/>
          </w:tcPr>
          <w:p>
            <w:pPr>
              <w:widowControl/>
              <w:spacing w:line="360" w:lineRule="auto"/>
              <w:jc w:val="center"/>
              <w:textAlignment w:val="center"/>
              <w:rPr>
                <w:rFonts w:hint="eastAsia" w:ascii="宋体" w:hAnsi="宋体" w:cs="宋体"/>
                <w:sz w:val="24"/>
              </w:rPr>
            </w:pPr>
            <w:r>
              <w:rPr>
                <w:rFonts w:hint="eastAsia" w:ascii="宋体" w:hAnsi="宋体" w:cs="宋体"/>
                <w:sz w:val="24"/>
              </w:rPr>
              <w:t>1</w:t>
            </w:r>
          </w:p>
        </w:tc>
        <w:tc>
          <w:tcPr>
            <w:tcW w:w="2705" w:type="dxa"/>
            <w:vMerge w:val="continue"/>
            <w:noWrap w:val="0"/>
            <w:vAlign w:val="center"/>
          </w:tcPr>
          <w:p>
            <w:pPr>
              <w:spacing w:line="360" w:lineRule="auto"/>
              <w:jc w:val="center"/>
              <w:rPr>
                <w:rFonts w:hint="eastAsia" w:ascii="宋体" w:hAnsi="宋体" w:cs="宋体"/>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4" w:hRule="atLeast"/>
          <w:jc w:val="center"/>
        </w:trPr>
        <w:tc>
          <w:tcPr>
            <w:tcW w:w="1231" w:type="dxa"/>
            <w:vMerge w:val="continue"/>
            <w:noWrap w:val="0"/>
            <w:vAlign w:val="center"/>
          </w:tcPr>
          <w:p>
            <w:pPr>
              <w:spacing w:line="360" w:lineRule="auto"/>
              <w:ind w:firstLine="480" w:firstLineChars="200"/>
              <w:rPr>
                <w:rFonts w:hint="eastAsia" w:ascii="宋体" w:hAnsi="宋体" w:cs="宋体"/>
                <w:sz w:val="24"/>
              </w:rPr>
            </w:pPr>
          </w:p>
        </w:tc>
        <w:tc>
          <w:tcPr>
            <w:tcW w:w="4333" w:type="dxa"/>
            <w:noWrap w:val="0"/>
            <w:vAlign w:val="center"/>
          </w:tcPr>
          <w:p>
            <w:pPr>
              <w:widowControl/>
              <w:spacing w:line="360" w:lineRule="auto"/>
              <w:jc w:val="center"/>
              <w:textAlignment w:val="center"/>
              <w:rPr>
                <w:rFonts w:hint="eastAsia" w:ascii="宋体" w:hAnsi="宋体" w:cs="宋体"/>
                <w:sz w:val="24"/>
              </w:rPr>
            </w:pPr>
            <w:r>
              <w:rPr>
                <w:rFonts w:hint="eastAsia" w:ascii="宋体" w:hAnsi="宋体" w:cs="宋体"/>
                <w:sz w:val="24"/>
              </w:rPr>
              <w:t>控制系统</w:t>
            </w:r>
          </w:p>
        </w:tc>
        <w:tc>
          <w:tcPr>
            <w:tcW w:w="1329" w:type="dxa"/>
            <w:noWrap w:val="0"/>
            <w:vAlign w:val="center"/>
          </w:tcPr>
          <w:p>
            <w:pPr>
              <w:widowControl/>
              <w:spacing w:line="360" w:lineRule="auto"/>
              <w:jc w:val="center"/>
              <w:textAlignment w:val="center"/>
              <w:rPr>
                <w:rFonts w:hint="eastAsia" w:ascii="宋体" w:hAnsi="宋体" w:cs="宋体"/>
                <w:sz w:val="24"/>
              </w:rPr>
            </w:pPr>
            <w:r>
              <w:rPr>
                <w:rFonts w:hint="eastAsia" w:ascii="宋体" w:hAnsi="宋体" w:cs="宋体"/>
                <w:sz w:val="24"/>
              </w:rPr>
              <w:t>1</w:t>
            </w:r>
          </w:p>
        </w:tc>
        <w:tc>
          <w:tcPr>
            <w:tcW w:w="2705" w:type="dxa"/>
            <w:vMerge w:val="continue"/>
            <w:noWrap w:val="0"/>
            <w:vAlign w:val="center"/>
          </w:tcPr>
          <w:p>
            <w:pPr>
              <w:spacing w:line="360" w:lineRule="auto"/>
              <w:jc w:val="center"/>
              <w:rPr>
                <w:rFonts w:hint="eastAsia" w:ascii="宋体" w:hAnsi="宋体" w:cs="宋体"/>
                <w:sz w:val="24"/>
              </w:rPr>
            </w:pPr>
          </w:p>
        </w:tc>
      </w:tr>
    </w:tbl>
    <w:p>
      <w:pPr>
        <w:spacing w:line="360" w:lineRule="auto"/>
        <w:ind w:firstLine="480" w:firstLineChars="200"/>
        <w:rPr>
          <w:rFonts w:ascii="宋体" w:hAnsi="宋体" w:cs="宋体"/>
          <w:sz w:val="24"/>
          <w:u w:val="single"/>
        </w:rPr>
      </w:pPr>
      <w:r>
        <w:rPr>
          <w:rFonts w:hint="eastAsia" w:ascii="宋体" w:hAnsi="宋体" w:cs="宋体"/>
          <w:sz w:val="24"/>
        </w:rPr>
        <w:t>5.合同履行期限：合同签订后开始履行，至项目完成（质保期满）为止。</w:t>
      </w:r>
    </w:p>
    <w:p>
      <w:pPr>
        <w:spacing w:line="360" w:lineRule="auto"/>
        <w:ind w:firstLine="480" w:firstLineChars="200"/>
        <w:rPr>
          <w:rFonts w:ascii="宋体" w:hAnsi="宋体" w:cs="宋体"/>
          <w:sz w:val="24"/>
        </w:rPr>
      </w:pPr>
      <w:r>
        <w:rPr>
          <w:rFonts w:hint="eastAsia" w:ascii="宋体" w:hAnsi="宋体" w:cs="宋体"/>
          <w:sz w:val="24"/>
        </w:rPr>
        <w:t>6.本项目不接受联合体投标。</w:t>
      </w:r>
    </w:p>
    <w:p>
      <w:pPr>
        <w:spacing w:line="360" w:lineRule="auto"/>
        <w:rPr>
          <w:rFonts w:ascii="宋体" w:hAnsi="宋体" w:cs="宋体"/>
          <w:b/>
          <w:bCs/>
          <w:sz w:val="24"/>
        </w:rPr>
      </w:pPr>
      <w:bookmarkStart w:id="12" w:name="_Toc35393791"/>
      <w:bookmarkStart w:id="13" w:name="_Toc28359003"/>
      <w:bookmarkStart w:id="14" w:name="_Toc28359080"/>
      <w:bookmarkStart w:id="15" w:name="_Toc35393622"/>
      <w:r>
        <w:rPr>
          <w:rFonts w:hint="eastAsia" w:ascii="宋体" w:hAnsi="宋体" w:cs="宋体"/>
          <w:b/>
          <w:bCs/>
          <w:sz w:val="24"/>
        </w:rPr>
        <w:t>二、申请人的资格要求：</w:t>
      </w:r>
      <w:bookmarkEnd w:id="12"/>
      <w:bookmarkEnd w:id="13"/>
      <w:bookmarkEnd w:id="14"/>
      <w:bookmarkEnd w:id="15"/>
    </w:p>
    <w:p>
      <w:pPr>
        <w:spacing w:line="360" w:lineRule="auto"/>
        <w:ind w:firstLine="480" w:firstLineChars="200"/>
        <w:rPr>
          <w:rFonts w:ascii="宋体" w:hAnsi="宋体" w:cs="宋体"/>
          <w:sz w:val="24"/>
        </w:rPr>
      </w:pPr>
      <w:r>
        <w:rPr>
          <w:rFonts w:hint="eastAsia" w:ascii="宋体" w:hAnsi="宋体" w:cs="宋体"/>
          <w:sz w:val="24"/>
        </w:rPr>
        <w:t>1.满足《中华人民共和国政府采购法》第二十二条规定；</w:t>
      </w:r>
    </w:p>
    <w:p>
      <w:pPr>
        <w:spacing w:line="360" w:lineRule="auto"/>
        <w:ind w:firstLine="480" w:firstLineChars="200"/>
        <w:rPr>
          <w:rFonts w:hint="eastAsia" w:ascii="宋体" w:hAnsi="宋体" w:cs="宋体"/>
          <w:sz w:val="24"/>
        </w:rPr>
      </w:pPr>
      <w:bookmarkStart w:id="16" w:name="_Toc28359081"/>
      <w:bookmarkStart w:id="17" w:name="_Toc28359004"/>
      <w:r>
        <w:rPr>
          <w:rFonts w:hint="eastAsia" w:ascii="宋体" w:hAnsi="宋体" w:cs="宋体"/>
          <w:sz w:val="24"/>
        </w:rPr>
        <w:t>2.落实政府采购政策需满足的资格要求：无；</w:t>
      </w:r>
    </w:p>
    <w:p>
      <w:pPr>
        <w:spacing w:line="360" w:lineRule="auto"/>
        <w:ind w:firstLine="480" w:firstLineChars="200"/>
        <w:rPr>
          <w:rFonts w:ascii="宋体" w:hAnsi="宋体" w:cs="宋体"/>
          <w:sz w:val="24"/>
        </w:rPr>
      </w:pPr>
      <w:r>
        <w:rPr>
          <w:rFonts w:hint="eastAsia" w:ascii="宋体" w:hAnsi="宋体" w:cs="宋体"/>
          <w:sz w:val="24"/>
        </w:rPr>
        <w:t>3.本项目的特定资格要求：</w:t>
      </w:r>
    </w:p>
    <w:p>
      <w:pPr>
        <w:spacing w:line="360" w:lineRule="auto"/>
        <w:ind w:firstLine="480" w:firstLineChars="200"/>
        <w:rPr>
          <w:rFonts w:ascii="宋体" w:hAnsi="宋体" w:cs="宋体"/>
          <w:sz w:val="24"/>
        </w:rPr>
      </w:pPr>
      <w:r>
        <w:rPr>
          <w:rFonts w:hint="eastAsia" w:ascii="宋体" w:hAnsi="宋体" w:cs="宋体"/>
          <w:sz w:val="24"/>
        </w:rPr>
        <w:t>（1）通过“信用中国”网站（www.creditchina.gov.cn）查询，近三年内在经营活动中没有重大违法记录，投标人须提供声明函。重大违法记录指投标人因违法经营受到刑事处罚或者责令停产停业、吊销许可证或者执照、较大数额罚款等行政处罚；</w:t>
      </w:r>
    </w:p>
    <w:p>
      <w:pPr>
        <w:spacing w:line="360" w:lineRule="auto"/>
        <w:ind w:firstLine="480" w:firstLineChars="200"/>
        <w:rPr>
          <w:rFonts w:ascii="宋体" w:hAnsi="宋体" w:cs="宋体"/>
          <w:sz w:val="24"/>
        </w:rPr>
      </w:pPr>
      <w:r>
        <w:rPr>
          <w:rFonts w:hint="eastAsia" w:ascii="宋体" w:hAnsi="宋体" w:cs="宋体"/>
          <w:sz w:val="24"/>
        </w:rPr>
        <w:t>（2）在“信用中国”（www.creditchina.gov.cn）、“中国政府采购网”（www.ccgp.gov.cn）等网站中被列入失信被执行人、重大税收违法案件当事人名单、政府采购严重违法失信行为记录名单的</w:t>
      </w:r>
      <w:bookmarkStart w:id="18" w:name="_Hlk88808398"/>
      <w:r>
        <w:rPr>
          <w:rFonts w:hint="eastAsia" w:ascii="宋体" w:hAnsi="宋体" w:cs="宋体"/>
          <w:sz w:val="24"/>
        </w:rPr>
        <w:t>投标人</w:t>
      </w:r>
      <w:bookmarkEnd w:id="18"/>
      <w:r>
        <w:rPr>
          <w:rFonts w:hint="eastAsia" w:ascii="宋体" w:hAnsi="宋体" w:cs="宋体"/>
          <w:sz w:val="24"/>
        </w:rPr>
        <w:t>，不得参加本次政府采购活动；</w:t>
      </w:r>
    </w:p>
    <w:p>
      <w:pPr>
        <w:spacing w:line="360" w:lineRule="auto"/>
        <w:ind w:firstLine="480" w:firstLineChars="200"/>
        <w:rPr>
          <w:rFonts w:ascii="宋体" w:hAnsi="宋体" w:cs="宋体"/>
          <w:sz w:val="24"/>
        </w:rPr>
      </w:pPr>
      <w:r>
        <w:rPr>
          <w:rFonts w:hint="eastAsia" w:ascii="宋体" w:hAnsi="宋体" w:cs="宋体"/>
          <w:sz w:val="24"/>
        </w:rPr>
        <w:t>（3）单位负责人为同一人或者存在直接控股、管理关系的不同投标人，不得参加同一合同项下（同一标包）的政府采购活动；</w:t>
      </w:r>
    </w:p>
    <w:p>
      <w:pPr>
        <w:spacing w:line="360" w:lineRule="auto"/>
        <w:ind w:firstLine="480" w:firstLineChars="200"/>
        <w:rPr>
          <w:rFonts w:ascii="宋体" w:hAnsi="宋体" w:cs="宋体"/>
          <w:sz w:val="24"/>
        </w:rPr>
      </w:pPr>
      <w:r>
        <w:rPr>
          <w:rFonts w:hint="eastAsia" w:ascii="宋体" w:hAnsi="宋体" w:cs="宋体"/>
          <w:sz w:val="24"/>
        </w:rPr>
        <w:t>（4）为采购项目提供过整体设计、规范编制或者项目管理、监理、检测等服务的投标人及其附属机构，不得再参加该采购项目的其他采购活动。</w:t>
      </w:r>
    </w:p>
    <w:p>
      <w:pPr>
        <w:spacing w:line="360" w:lineRule="auto"/>
        <w:rPr>
          <w:rFonts w:ascii="宋体" w:hAnsi="宋体" w:cs="宋体"/>
          <w:b/>
          <w:bCs/>
          <w:sz w:val="24"/>
        </w:rPr>
      </w:pPr>
      <w:bookmarkStart w:id="19" w:name="_Toc35393792"/>
      <w:bookmarkStart w:id="20" w:name="_Toc35393623"/>
      <w:r>
        <w:rPr>
          <w:rFonts w:hint="eastAsia" w:ascii="宋体" w:hAnsi="宋体" w:cs="宋体"/>
          <w:b/>
          <w:bCs/>
          <w:sz w:val="24"/>
        </w:rPr>
        <w:t>三、获取招标文件</w:t>
      </w:r>
      <w:bookmarkEnd w:id="16"/>
      <w:bookmarkEnd w:id="17"/>
      <w:bookmarkEnd w:id="19"/>
      <w:bookmarkEnd w:id="20"/>
    </w:p>
    <w:p>
      <w:pPr>
        <w:spacing w:line="360" w:lineRule="auto"/>
        <w:ind w:firstLine="480" w:firstLineChars="200"/>
        <w:rPr>
          <w:rFonts w:ascii="宋体" w:hAnsi="宋体" w:cs="宋体"/>
          <w:sz w:val="24"/>
        </w:rPr>
      </w:pPr>
      <w:bookmarkStart w:id="21" w:name="_Toc28359082"/>
      <w:bookmarkStart w:id="22" w:name="_Toc28359005"/>
      <w:bookmarkStart w:id="23" w:name="_Toc35393624"/>
      <w:bookmarkStart w:id="24" w:name="_Toc35393793"/>
      <w:r>
        <w:rPr>
          <w:rFonts w:hint="eastAsia" w:ascii="宋体" w:hAnsi="宋体" w:cs="宋体"/>
          <w:sz w:val="24"/>
        </w:rPr>
        <w:t>1.本项目采用网上获取方式（扫码填报信息+邮箱发送资料）：</w:t>
      </w:r>
    </w:p>
    <w:p>
      <w:pPr>
        <w:spacing w:line="360" w:lineRule="auto"/>
        <w:ind w:firstLine="480" w:firstLineChars="200"/>
        <w:rPr>
          <w:rFonts w:ascii="宋体" w:hAnsi="宋体" w:cs="宋体"/>
          <w:sz w:val="24"/>
        </w:rPr>
      </w:pPr>
      <w:r>
        <w:rPr>
          <w:rFonts w:hint="eastAsia" w:ascii="宋体" w:hAnsi="宋体" w:cs="宋体"/>
          <w:sz w:val="24"/>
        </w:rPr>
        <w:t>（1）扫码填报信息：投标人扫描下方二维码，选取所要参与的项目点击“我要缴费”，根据提示完善投标人信息后保存提交（经办人选择逄昊晟）。</w:t>
      </w:r>
    </w:p>
    <w:p>
      <w:pPr>
        <w:spacing w:line="360" w:lineRule="auto"/>
        <w:ind w:firstLine="480" w:firstLineChars="200"/>
        <w:rPr>
          <w:rFonts w:ascii="宋体" w:hAnsi="宋体" w:cs="宋体"/>
          <w:sz w:val="24"/>
        </w:rPr>
      </w:pPr>
      <w:r>
        <w:rPr>
          <w:rFonts w:hint="eastAsia" w:ascii="宋体" w:hAnsi="宋体" w:cs="宋体"/>
          <w:sz w:val="24"/>
        </w:rPr>
        <w:t>（2）投标人缴纳标书费。</w:t>
      </w:r>
    </w:p>
    <w:p>
      <w:pPr>
        <w:spacing w:line="360" w:lineRule="auto"/>
        <w:ind w:firstLine="480" w:firstLineChars="200"/>
        <w:rPr>
          <w:rFonts w:ascii="宋体" w:hAnsi="宋体" w:cs="宋体"/>
          <w:sz w:val="24"/>
        </w:rPr>
      </w:pPr>
      <w:r>
        <w:rPr>
          <w:rFonts w:hint="eastAsia" w:ascii="宋体" w:hAnsi="宋体" w:cs="宋体"/>
          <w:sz w:val="24"/>
        </w:rPr>
        <w:t>（3）投标人将法人授权委托书原件和被授权人身份证原件的扫描件、标书费汇款凭证的扫描件发至邮箱（panghaosheng@sdhyha.com）。</w:t>
      </w:r>
    </w:p>
    <w:p>
      <w:pPr>
        <w:spacing w:line="360" w:lineRule="auto"/>
        <w:ind w:firstLine="480" w:firstLineChars="200"/>
        <w:jc w:val="center"/>
        <w:rPr>
          <w:rFonts w:ascii="宋体" w:hAnsi="宋体" w:cs="宋体"/>
          <w:sz w:val="24"/>
        </w:rPr>
      </w:pPr>
      <w:r>
        <w:rPr>
          <w:rFonts w:ascii="宋体" w:hAnsi="宋体" w:cs="宋体"/>
          <w:sz w:val="24"/>
        </w:rPr>
        <w:drawing>
          <wp:inline distT="0" distB="0" distL="114300" distR="114300">
            <wp:extent cx="1885315" cy="1885315"/>
            <wp:effectExtent l="0" t="0" r="635" b="635"/>
            <wp:docPr id="1" name="图片 1" descr="87f717136d2c99cc1ed3c66b401c9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descr="87f717136d2c99cc1ed3c66b401c988"/>
                    <pic:cNvPicPr>
                      <a:picLocks noChangeAspect="1"/>
                    </pic:cNvPicPr>
                  </pic:nvPicPr>
                  <pic:blipFill>
                    <a:blip r:embed="rId4"/>
                    <a:stretch>
                      <a:fillRect/>
                    </a:stretch>
                  </pic:blipFill>
                  <pic:spPr>
                    <a:xfrm>
                      <a:off x="0" y="0"/>
                      <a:ext cx="1885315" cy="1885315"/>
                    </a:xfrm>
                    <a:prstGeom prst="rect">
                      <a:avLst/>
                    </a:prstGeom>
                    <a:noFill/>
                    <a:ln>
                      <a:noFill/>
                    </a:ln>
                  </pic:spPr>
                </pic:pic>
              </a:graphicData>
            </a:graphic>
          </wp:inline>
        </w:drawing>
      </w:r>
    </w:p>
    <w:p>
      <w:pPr>
        <w:spacing w:line="360" w:lineRule="auto"/>
        <w:ind w:firstLine="480" w:firstLineChars="200"/>
        <w:rPr>
          <w:rFonts w:ascii="宋体" w:hAnsi="宋体" w:cs="宋体"/>
          <w:sz w:val="24"/>
        </w:rPr>
      </w:pPr>
      <w:r>
        <w:rPr>
          <w:rFonts w:hint="eastAsia" w:ascii="宋体" w:hAnsi="宋体" w:cs="宋体"/>
          <w:sz w:val="24"/>
        </w:rPr>
        <w:t>2.获取招标文件时间：2024年</w:t>
      </w:r>
      <w:r>
        <w:rPr>
          <w:rFonts w:hint="eastAsia" w:ascii="宋体" w:hAnsi="宋体" w:cs="宋体"/>
          <w:sz w:val="24"/>
          <w:lang w:val="en-US" w:eastAsia="zh-CN"/>
        </w:rPr>
        <w:t>5</w:t>
      </w:r>
      <w:r>
        <w:rPr>
          <w:rFonts w:hint="eastAsia" w:ascii="宋体" w:hAnsi="宋体" w:cs="宋体"/>
          <w:sz w:val="24"/>
        </w:rPr>
        <w:t>月</w:t>
      </w:r>
      <w:r>
        <w:rPr>
          <w:rFonts w:hint="eastAsia" w:ascii="宋体" w:hAnsi="宋体" w:cs="宋体"/>
          <w:sz w:val="24"/>
          <w:lang w:val="en-US" w:eastAsia="zh-CN"/>
        </w:rPr>
        <w:t>24</w:t>
      </w:r>
      <w:r>
        <w:rPr>
          <w:rFonts w:hint="eastAsia" w:ascii="宋体" w:hAnsi="宋体" w:cs="宋体"/>
          <w:sz w:val="24"/>
        </w:rPr>
        <w:t>日-2024年</w:t>
      </w:r>
      <w:r>
        <w:rPr>
          <w:rFonts w:hint="eastAsia" w:ascii="宋体" w:hAnsi="宋体" w:cs="宋体"/>
          <w:sz w:val="24"/>
          <w:lang w:val="en-US" w:eastAsia="zh-CN"/>
        </w:rPr>
        <w:t>5</w:t>
      </w:r>
      <w:r>
        <w:rPr>
          <w:rFonts w:hint="eastAsia" w:ascii="宋体" w:hAnsi="宋体" w:cs="宋体"/>
          <w:sz w:val="24"/>
        </w:rPr>
        <w:t>月</w:t>
      </w:r>
      <w:r>
        <w:rPr>
          <w:rFonts w:hint="eastAsia" w:ascii="宋体" w:hAnsi="宋体" w:cs="宋体"/>
          <w:sz w:val="24"/>
          <w:lang w:val="en-US" w:eastAsia="zh-CN"/>
        </w:rPr>
        <w:t>30</w:t>
      </w:r>
      <w:r>
        <w:rPr>
          <w:rFonts w:hint="eastAsia" w:ascii="宋体" w:hAnsi="宋体" w:cs="宋体"/>
          <w:sz w:val="24"/>
        </w:rPr>
        <w:t>日，每天上午8时30分至下午16时30分。逾期获取招标文件者不予受理，未办理获取招标文件手续者不接受其投标。</w:t>
      </w:r>
    </w:p>
    <w:p>
      <w:pPr>
        <w:spacing w:line="360" w:lineRule="auto"/>
        <w:ind w:firstLine="480" w:firstLineChars="200"/>
        <w:rPr>
          <w:rFonts w:ascii="宋体" w:hAnsi="宋体" w:cs="宋体"/>
          <w:sz w:val="24"/>
        </w:rPr>
      </w:pPr>
      <w:r>
        <w:rPr>
          <w:rFonts w:hint="eastAsia" w:ascii="宋体" w:hAnsi="宋体" w:cs="宋体"/>
          <w:sz w:val="24"/>
        </w:rPr>
        <w:t>3.招标文件售价人民币300元/份，售后不退。</w:t>
      </w:r>
    </w:p>
    <w:p>
      <w:pPr>
        <w:spacing w:line="360" w:lineRule="auto"/>
        <w:ind w:firstLine="480" w:firstLineChars="200"/>
        <w:rPr>
          <w:rFonts w:ascii="宋体" w:hAnsi="宋体" w:cs="宋体"/>
          <w:sz w:val="24"/>
        </w:rPr>
      </w:pPr>
      <w:r>
        <w:rPr>
          <w:rFonts w:hint="eastAsia" w:ascii="宋体" w:hAnsi="宋体" w:cs="宋体"/>
          <w:sz w:val="24"/>
        </w:rPr>
        <w:t>4.账户信息：</w:t>
      </w:r>
    </w:p>
    <w:p>
      <w:pPr>
        <w:spacing w:line="360" w:lineRule="auto"/>
        <w:ind w:firstLine="480" w:firstLineChars="200"/>
        <w:rPr>
          <w:rFonts w:ascii="宋体" w:hAnsi="宋体" w:cs="宋体"/>
          <w:sz w:val="24"/>
        </w:rPr>
      </w:pPr>
      <w:r>
        <w:rPr>
          <w:rFonts w:hint="eastAsia" w:ascii="宋体" w:hAnsi="宋体" w:cs="宋体"/>
          <w:sz w:val="24"/>
        </w:rPr>
        <w:t>开户名称：海逸恒安项目管理有限公司青岛事业部；</w:t>
      </w:r>
    </w:p>
    <w:p>
      <w:pPr>
        <w:spacing w:line="360" w:lineRule="auto"/>
        <w:ind w:firstLine="480" w:firstLineChars="200"/>
        <w:rPr>
          <w:rFonts w:ascii="宋体" w:hAnsi="宋体" w:cs="宋体"/>
          <w:sz w:val="24"/>
        </w:rPr>
      </w:pPr>
      <w:r>
        <w:rPr>
          <w:rFonts w:hint="eastAsia" w:ascii="宋体" w:hAnsi="宋体" w:cs="宋体"/>
          <w:sz w:val="24"/>
        </w:rPr>
        <w:t>开户银行：中国建设银行股份有限公司青岛崂山支行；</w:t>
      </w:r>
    </w:p>
    <w:p>
      <w:pPr>
        <w:spacing w:line="360" w:lineRule="auto"/>
        <w:ind w:firstLine="480" w:firstLineChars="200"/>
        <w:rPr>
          <w:rFonts w:ascii="宋体" w:hAnsi="宋体" w:cs="宋体"/>
          <w:sz w:val="24"/>
        </w:rPr>
      </w:pPr>
      <w:r>
        <w:rPr>
          <w:rFonts w:hint="eastAsia" w:ascii="宋体" w:hAnsi="宋体" w:cs="宋体"/>
          <w:sz w:val="24"/>
        </w:rPr>
        <w:t>账号：37150198682700001356。</w:t>
      </w:r>
    </w:p>
    <w:p>
      <w:pPr>
        <w:spacing w:line="360" w:lineRule="auto"/>
        <w:ind w:firstLine="480" w:firstLineChars="200"/>
        <w:rPr>
          <w:rFonts w:ascii="宋体" w:hAnsi="宋体" w:cs="仿宋"/>
          <w:snapToGrid w:val="0"/>
          <w:kern w:val="0"/>
          <w:sz w:val="24"/>
        </w:rPr>
      </w:pPr>
      <w:r>
        <w:rPr>
          <w:rFonts w:hint="eastAsia" w:ascii="宋体" w:hAnsi="宋体" w:cs="仿宋"/>
          <w:snapToGrid w:val="0"/>
          <w:kern w:val="0"/>
          <w:sz w:val="24"/>
        </w:rPr>
        <w:t>注：</w:t>
      </w:r>
    </w:p>
    <w:p>
      <w:pPr>
        <w:spacing w:line="360" w:lineRule="auto"/>
        <w:ind w:firstLine="480" w:firstLineChars="200"/>
        <w:rPr>
          <w:rFonts w:ascii="宋体" w:hAnsi="宋体" w:cs="宋体"/>
          <w:sz w:val="24"/>
        </w:rPr>
      </w:pPr>
      <w:r>
        <w:rPr>
          <w:rFonts w:hint="eastAsia" w:ascii="宋体" w:hAnsi="宋体" w:cs="宋体"/>
          <w:sz w:val="24"/>
        </w:rPr>
        <w:t>①本项目实行资格后审，获取招标文件成功不代表资格后审的通过。</w:t>
      </w:r>
    </w:p>
    <w:p>
      <w:pPr>
        <w:spacing w:line="360" w:lineRule="auto"/>
        <w:ind w:firstLine="480" w:firstLineChars="200"/>
        <w:rPr>
          <w:rFonts w:ascii="宋体" w:hAnsi="宋体" w:cs="宋体"/>
          <w:sz w:val="24"/>
        </w:rPr>
      </w:pPr>
      <w:r>
        <w:rPr>
          <w:rFonts w:hint="eastAsia" w:ascii="宋体" w:hAnsi="宋体" w:cs="宋体"/>
          <w:sz w:val="24"/>
        </w:rPr>
        <w:t>②本采购项目的变更、修改、澄清等内容均在“中国政府采购网”和“中国海洋大学采购与招标管理中心网站”发布。相关内容一经在“中国政府采购网”和“中国海洋大学采购与招标管理中心网站”发布，视作已发放给所有潜在投标人。各潜在投标人应随时关注并及时自行查阅网站信息，未按要求查阅者自行承担相应后果。</w:t>
      </w:r>
    </w:p>
    <w:p>
      <w:pPr>
        <w:spacing w:line="360" w:lineRule="auto"/>
        <w:rPr>
          <w:rFonts w:ascii="宋体" w:hAnsi="宋体" w:cs="宋体"/>
          <w:b/>
          <w:bCs/>
          <w:sz w:val="24"/>
        </w:rPr>
      </w:pPr>
      <w:r>
        <w:rPr>
          <w:rFonts w:hint="eastAsia" w:ascii="宋体" w:hAnsi="宋体" w:cs="宋体"/>
          <w:b/>
          <w:bCs/>
          <w:sz w:val="24"/>
        </w:rPr>
        <w:t>四、提交投标文件</w:t>
      </w:r>
      <w:bookmarkEnd w:id="21"/>
      <w:bookmarkEnd w:id="22"/>
      <w:r>
        <w:rPr>
          <w:rFonts w:hint="eastAsia" w:ascii="宋体" w:hAnsi="宋体" w:cs="宋体"/>
          <w:b/>
          <w:bCs/>
          <w:sz w:val="24"/>
        </w:rPr>
        <w:t>截止时间、开标时间和地点</w:t>
      </w:r>
      <w:bookmarkEnd w:id="23"/>
      <w:bookmarkEnd w:id="24"/>
    </w:p>
    <w:p>
      <w:pPr>
        <w:spacing w:line="360" w:lineRule="auto"/>
        <w:ind w:firstLine="480" w:firstLineChars="200"/>
        <w:rPr>
          <w:rFonts w:ascii="宋体" w:hAnsi="宋体" w:cs="宋体"/>
          <w:bCs/>
          <w:sz w:val="24"/>
        </w:rPr>
      </w:pPr>
      <w:bookmarkStart w:id="25" w:name="_Toc28359084"/>
      <w:bookmarkStart w:id="26" w:name="_Toc35393794"/>
      <w:bookmarkStart w:id="27" w:name="_Toc35393625"/>
      <w:bookmarkStart w:id="28" w:name="_Toc28359007"/>
      <w:r>
        <w:rPr>
          <w:rFonts w:hint="eastAsia" w:ascii="宋体" w:hAnsi="宋体" w:cs="宋体"/>
          <w:bCs/>
          <w:sz w:val="24"/>
        </w:rPr>
        <w:t>1.提交投标文件截止时间：2024年</w:t>
      </w:r>
      <w:r>
        <w:rPr>
          <w:rFonts w:hint="eastAsia" w:ascii="宋体" w:hAnsi="宋体" w:cs="宋体"/>
          <w:bCs/>
          <w:sz w:val="24"/>
          <w:lang w:val="en-US" w:eastAsia="zh-CN"/>
        </w:rPr>
        <w:t>6</w:t>
      </w:r>
      <w:r>
        <w:rPr>
          <w:rFonts w:hint="eastAsia" w:ascii="宋体" w:hAnsi="宋体" w:cs="宋体"/>
          <w:bCs/>
          <w:sz w:val="24"/>
        </w:rPr>
        <w:t>月</w:t>
      </w:r>
      <w:r>
        <w:rPr>
          <w:rFonts w:hint="eastAsia" w:ascii="宋体" w:hAnsi="宋体" w:cs="宋体"/>
          <w:bCs/>
          <w:sz w:val="24"/>
          <w:lang w:val="en-US" w:eastAsia="zh-CN"/>
        </w:rPr>
        <w:t>18</w:t>
      </w:r>
      <w:r>
        <w:rPr>
          <w:rFonts w:hint="eastAsia" w:ascii="宋体" w:hAnsi="宋体" w:cs="宋体"/>
          <w:bCs/>
          <w:sz w:val="24"/>
        </w:rPr>
        <w:t>日</w:t>
      </w:r>
      <w:r>
        <w:rPr>
          <w:rFonts w:hint="eastAsia" w:ascii="宋体" w:hAnsi="宋体" w:cs="宋体"/>
          <w:bCs/>
          <w:sz w:val="24"/>
          <w:lang w:val="en-US" w:eastAsia="zh-CN"/>
        </w:rPr>
        <w:t>09</w:t>
      </w:r>
      <w:r>
        <w:rPr>
          <w:rFonts w:hint="eastAsia" w:ascii="宋体" w:hAnsi="宋体" w:cs="宋体"/>
          <w:bCs/>
          <w:sz w:val="24"/>
        </w:rPr>
        <w:t>点</w:t>
      </w:r>
      <w:r>
        <w:rPr>
          <w:rFonts w:hint="eastAsia" w:ascii="宋体" w:hAnsi="宋体" w:cs="宋体"/>
          <w:bCs/>
          <w:sz w:val="24"/>
          <w:lang w:val="en-US" w:eastAsia="zh-CN"/>
        </w:rPr>
        <w:t>00</w:t>
      </w:r>
      <w:r>
        <w:rPr>
          <w:rFonts w:hint="eastAsia" w:ascii="宋体" w:hAnsi="宋体" w:cs="宋体"/>
          <w:bCs/>
          <w:sz w:val="24"/>
        </w:rPr>
        <w:t>分（北京时间）。</w:t>
      </w:r>
    </w:p>
    <w:p>
      <w:pPr>
        <w:spacing w:line="360" w:lineRule="auto"/>
        <w:ind w:firstLine="480" w:firstLineChars="200"/>
        <w:rPr>
          <w:rFonts w:ascii="宋体" w:hAnsi="宋体" w:cs="宋体"/>
          <w:bCs/>
          <w:sz w:val="24"/>
        </w:rPr>
      </w:pPr>
      <w:r>
        <w:rPr>
          <w:rFonts w:hint="eastAsia" w:ascii="宋体" w:hAnsi="宋体" w:cs="宋体"/>
          <w:bCs/>
          <w:sz w:val="24"/>
        </w:rPr>
        <w:t>2.开标时间：2024年</w:t>
      </w:r>
      <w:r>
        <w:rPr>
          <w:rFonts w:hint="eastAsia" w:ascii="宋体" w:hAnsi="宋体" w:cs="宋体"/>
          <w:bCs/>
          <w:sz w:val="24"/>
          <w:lang w:val="en-US" w:eastAsia="zh-CN"/>
        </w:rPr>
        <w:t>6</w:t>
      </w:r>
      <w:r>
        <w:rPr>
          <w:rFonts w:hint="eastAsia" w:ascii="宋体" w:hAnsi="宋体" w:cs="宋体"/>
          <w:bCs/>
          <w:sz w:val="24"/>
        </w:rPr>
        <w:t>月</w:t>
      </w:r>
      <w:r>
        <w:rPr>
          <w:rFonts w:hint="eastAsia" w:ascii="宋体" w:hAnsi="宋体" w:cs="宋体"/>
          <w:bCs/>
          <w:sz w:val="24"/>
          <w:lang w:val="en-US" w:eastAsia="zh-CN"/>
        </w:rPr>
        <w:t>18</w:t>
      </w:r>
      <w:r>
        <w:rPr>
          <w:rFonts w:hint="eastAsia" w:ascii="宋体" w:hAnsi="宋体" w:cs="宋体"/>
          <w:bCs/>
          <w:sz w:val="24"/>
        </w:rPr>
        <w:t>日</w:t>
      </w:r>
      <w:r>
        <w:rPr>
          <w:rFonts w:hint="eastAsia" w:ascii="宋体" w:hAnsi="宋体" w:cs="宋体"/>
          <w:bCs/>
          <w:sz w:val="24"/>
          <w:lang w:val="en-US" w:eastAsia="zh-CN"/>
        </w:rPr>
        <w:t>09</w:t>
      </w:r>
      <w:r>
        <w:rPr>
          <w:rFonts w:hint="eastAsia" w:ascii="宋体" w:hAnsi="宋体" w:cs="宋体"/>
          <w:bCs/>
          <w:sz w:val="24"/>
        </w:rPr>
        <w:t>点</w:t>
      </w:r>
      <w:r>
        <w:rPr>
          <w:rFonts w:hint="eastAsia" w:ascii="宋体" w:hAnsi="宋体" w:cs="宋体"/>
          <w:bCs/>
          <w:sz w:val="24"/>
          <w:lang w:val="en-US" w:eastAsia="zh-CN"/>
        </w:rPr>
        <w:t>00</w:t>
      </w:r>
      <w:r>
        <w:rPr>
          <w:rFonts w:hint="eastAsia" w:ascii="宋体" w:hAnsi="宋体" w:cs="宋体"/>
          <w:bCs/>
          <w:sz w:val="24"/>
        </w:rPr>
        <w:t>分（北京时间）。</w:t>
      </w:r>
    </w:p>
    <w:p>
      <w:pPr>
        <w:spacing w:line="360" w:lineRule="auto"/>
        <w:ind w:firstLine="480" w:firstLineChars="200"/>
        <w:rPr>
          <w:rFonts w:ascii="宋体" w:hAnsi="宋体"/>
          <w:sz w:val="24"/>
          <w:u w:val="single"/>
        </w:rPr>
      </w:pPr>
      <w:r>
        <w:rPr>
          <w:rFonts w:hint="eastAsia" w:ascii="宋体" w:hAnsi="宋体" w:cs="宋体"/>
          <w:bCs/>
          <w:sz w:val="24"/>
        </w:rPr>
        <w:t>3.地点：山东省青岛市崂山区香岭路1号北大资源博雅3号楼22层2204会议室。</w:t>
      </w:r>
    </w:p>
    <w:p>
      <w:pPr>
        <w:spacing w:line="360" w:lineRule="auto"/>
        <w:rPr>
          <w:rFonts w:ascii="宋体" w:hAnsi="宋体" w:cs="宋体"/>
          <w:b/>
          <w:bCs/>
          <w:sz w:val="24"/>
        </w:rPr>
      </w:pPr>
      <w:r>
        <w:rPr>
          <w:rFonts w:hint="eastAsia" w:ascii="宋体" w:hAnsi="宋体" w:cs="宋体"/>
          <w:b/>
          <w:bCs/>
          <w:sz w:val="24"/>
        </w:rPr>
        <w:t>五、公告发布媒介</w:t>
      </w:r>
    </w:p>
    <w:p>
      <w:pPr>
        <w:spacing w:line="360" w:lineRule="auto"/>
        <w:ind w:firstLine="480" w:firstLineChars="200"/>
        <w:rPr>
          <w:rFonts w:ascii="宋体" w:hAnsi="宋体" w:cs="宋体"/>
          <w:sz w:val="24"/>
        </w:rPr>
      </w:pPr>
      <w:r>
        <w:rPr>
          <w:rFonts w:hint="eastAsia" w:ascii="宋体" w:hAnsi="宋体" w:cs="宋体"/>
          <w:sz w:val="24"/>
        </w:rPr>
        <w:t>本项目招标公告在“中国政府采购网”和“中国海洋大学采购与招标管理中心网站”发布。</w:t>
      </w:r>
    </w:p>
    <w:p>
      <w:pPr>
        <w:spacing w:line="360" w:lineRule="auto"/>
        <w:rPr>
          <w:rFonts w:ascii="宋体" w:hAnsi="宋体" w:cs="宋体"/>
          <w:b/>
          <w:bCs/>
          <w:sz w:val="24"/>
        </w:rPr>
      </w:pPr>
      <w:r>
        <w:rPr>
          <w:rFonts w:hint="eastAsia" w:ascii="宋体" w:hAnsi="宋体" w:cs="宋体"/>
          <w:b/>
          <w:bCs/>
          <w:sz w:val="24"/>
        </w:rPr>
        <w:t>六、公告期限</w:t>
      </w:r>
      <w:bookmarkEnd w:id="25"/>
      <w:bookmarkEnd w:id="26"/>
      <w:bookmarkEnd w:id="27"/>
      <w:bookmarkEnd w:id="28"/>
    </w:p>
    <w:p>
      <w:pPr>
        <w:spacing w:line="360" w:lineRule="auto"/>
        <w:ind w:firstLine="480" w:firstLineChars="200"/>
        <w:rPr>
          <w:rFonts w:ascii="宋体" w:hAnsi="宋体" w:cs="宋体"/>
          <w:sz w:val="24"/>
        </w:rPr>
      </w:pPr>
      <w:r>
        <w:rPr>
          <w:rFonts w:hint="eastAsia" w:ascii="宋体" w:hAnsi="宋体" w:cs="宋体"/>
          <w:sz w:val="24"/>
        </w:rPr>
        <w:t>自本公告发布之日起5个工作日。</w:t>
      </w:r>
      <w:bookmarkStart w:id="29" w:name="_Toc35393626"/>
      <w:bookmarkStart w:id="30" w:name="_Toc35393795"/>
    </w:p>
    <w:p>
      <w:pPr>
        <w:spacing w:line="360" w:lineRule="auto"/>
        <w:rPr>
          <w:rFonts w:ascii="宋体" w:hAnsi="宋体" w:cs="宋体"/>
          <w:b/>
          <w:bCs/>
          <w:sz w:val="24"/>
        </w:rPr>
      </w:pPr>
      <w:r>
        <w:rPr>
          <w:rFonts w:hint="eastAsia" w:ascii="宋体" w:hAnsi="宋体" w:cs="宋体"/>
          <w:b/>
          <w:bCs/>
          <w:sz w:val="24"/>
        </w:rPr>
        <w:t>七、其他补充事宜</w:t>
      </w:r>
      <w:bookmarkEnd w:id="29"/>
      <w:bookmarkEnd w:id="30"/>
    </w:p>
    <w:p>
      <w:pPr>
        <w:tabs>
          <w:tab w:val="left" w:pos="9741"/>
        </w:tabs>
        <w:spacing w:line="360" w:lineRule="auto"/>
        <w:ind w:left="961" w:leftChars="228" w:hanging="482" w:hangingChars="200"/>
        <w:rPr>
          <w:rFonts w:ascii="宋体" w:hAnsi="宋体" w:cs="宋体"/>
          <w:b/>
          <w:bCs/>
          <w:snapToGrid w:val="0"/>
          <w:kern w:val="0"/>
          <w:sz w:val="24"/>
        </w:rPr>
      </w:pPr>
      <w:r>
        <w:rPr>
          <w:rFonts w:hint="eastAsia" w:ascii="宋体" w:hAnsi="宋体" w:cs="宋体"/>
          <w:b/>
          <w:bCs/>
          <w:snapToGrid w:val="0"/>
          <w:kern w:val="0"/>
          <w:sz w:val="24"/>
        </w:rPr>
        <w:t>采购项目需要落实的政府采购政策</w:t>
      </w:r>
    </w:p>
    <w:p>
      <w:pPr>
        <w:spacing w:line="360" w:lineRule="auto"/>
        <w:ind w:firstLine="480" w:firstLineChars="200"/>
        <w:rPr>
          <w:rFonts w:ascii="宋体" w:hAnsi="宋体" w:cs="宋体"/>
          <w:sz w:val="24"/>
        </w:rPr>
      </w:pPr>
      <w:r>
        <w:rPr>
          <w:rFonts w:hint="eastAsia" w:ascii="宋体" w:hAnsi="宋体" w:cs="宋体"/>
          <w:sz w:val="24"/>
        </w:rPr>
        <w:t>（一）中小微型企业政府采购政策</w:t>
      </w:r>
    </w:p>
    <w:p>
      <w:pPr>
        <w:spacing w:line="360" w:lineRule="auto"/>
        <w:ind w:firstLine="480" w:firstLineChars="200"/>
        <w:rPr>
          <w:rFonts w:ascii="宋体" w:hAnsi="宋体" w:cs="宋体"/>
          <w:sz w:val="24"/>
        </w:rPr>
      </w:pPr>
      <w:r>
        <w:rPr>
          <w:rFonts w:hint="eastAsia" w:ascii="宋体" w:hAnsi="宋体" w:cs="宋体"/>
          <w:sz w:val="24"/>
        </w:rPr>
        <w:t>（二）监狱企业政府采购政策</w:t>
      </w:r>
    </w:p>
    <w:p>
      <w:pPr>
        <w:spacing w:line="360" w:lineRule="auto"/>
        <w:ind w:firstLine="480" w:firstLineChars="200"/>
        <w:rPr>
          <w:rFonts w:ascii="宋体" w:hAnsi="宋体" w:cs="宋体"/>
          <w:sz w:val="24"/>
        </w:rPr>
      </w:pPr>
      <w:r>
        <w:rPr>
          <w:rFonts w:hint="eastAsia" w:ascii="宋体" w:hAnsi="宋体" w:cs="宋体"/>
          <w:sz w:val="24"/>
        </w:rPr>
        <w:t>（三）促进残疾人就业政府采购政策</w:t>
      </w:r>
    </w:p>
    <w:p>
      <w:pPr>
        <w:spacing w:line="360" w:lineRule="auto"/>
        <w:ind w:firstLine="480" w:firstLineChars="200"/>
        <w:rPr>
          <w:rFonts w:ascii="宋体" w:hAnsi="宋体" w:cs="宋体"/>
          <w:sz w:val="24"/>
        </w:rPr>
      </w:pPr>
      <w:r>
        <w:rPr>
          <w:rFonts w:hint="eastAsia" w:ascii="宋体" w:hAnsi="宋体" w:cs="宋体"/>
          <w:sz w:val="24"/>
        </w:rPr>
        <w:t>（四）节能、环保产品政府采购政策</w:t>
      </w:r>
    </w:p>
    <w:p>
      <w:pPr>
        <w:spacing w:line="360" w:lineRule="auto"/>
        <w:ind w:firstLine="480" w:firstLineChars="200"/>
        <w:rPr>
          <w:rFonts w:ascii="宋体" w:hAnsi="宋体" w:cs="宋体"/>
          <w:sz w:val="24"/>
        </w:rPr>
      </w:pPr>
      <w:r>
        <w:rPr>
          <w:rFonts w:hint="eastAsia" w:ascii="宋体" w:hAnsi="宋体" w:cs="宋体"/>
          <w:sz w:val="24"/>
        </w:rPr>
        <w:t>详见招标文件。</w:t>
      </w:r>
    </w:p>
    <w:p>
      <w:pPr>
        <w:spacing w:line="360" w:lineRule="auto"/>
        <w:rPr>
          <w:rFonts w:ascii="宋体" w:hAnsi="宋体" w:cs="宋体"/>
          <w:b/>
          <w:bCs/>
          <w:sz w:val="24"/>
        </w:rPr>
      </w:pPr>
      <w:bookmarkStart w:id="31" w:name="_Toc35393627"/>
      <w:bookmarkStart w:id="32" w:name="_Toc28359085"/>
      <w:bookmarkStart w:id="33" w:name="_Toc35393796"/>
      <w:bookmarkStart w:id="34" w:name="_Toc28359008"/>
      <w:r>
        <w:rPr>
          <w:rFonts w:hint="eastAsia" w:ascii="宋体" w:hAnsi="宋体" w:cs="宋体"/>
          <w:b/>
          <w:bCs/>
          <w:sz w:val="24"/>
        </w:rPr>
        <w:t>八、对本次招标提出询问，请按以下方式联系。</w:t>
      </w:r>
      <w:bookmarkEnd w:id="31"/>
      <w:bookmarkEnd w:id="32"/>
      <w:bookmarkEnd w:id="33"/>
      <w:bookmarkEnd w:id="34"/>
    </w:p>
    <w:p>
      <w:pPr>
        <w:spacing w:line="360" w:lineRule="auto"/>
        <w:ind w:firstLine="480" w:firstLineChars="200"/>
        <w:rPr>
          <w:rFonts w:ascii="宋体" w:hAnsi="宋体" w:cs="宋体"/>
          <w:sz w:val="24"/>
        </w:rPr>
      </w:pPr>
      <w:r>
        <w:rPr>
          <w:rFonts w:hint="eastAsia" w:ascii="宋体" w:hAnsi="宋体" w:cs="宋体"/>
          <w:sz w:val="24"/>
        </w:rPr>
        <w:t>1.采购人信息</w:t>
      </w:r>
    </w:p>
    <w:p>
      <w:pPr>
        <w:spacing w:line="360" w:lineRule="auto"/>
        <w:ind w:firstLine="480" w:firstLineChars="200"/>
        <w:rPr>
          <w:rFonts w:ascii="宋体" w:hAnsi="宋体" w:cs="宋体"/>
          <w:sz w:val="24"/>
        </w:rPr>
      </w:pPr>
      <w:r>
        <w:rPr>
          <w:rFonts w:hint="eastAsia" w:ascii="宋体" w:hAnsi="宋体" w:cs="宋体"/>
          <w:sz w:val="24"/>
        </w:rPr>
        <w:t>名称：中国海洋大学</w:t>
      </w:r>
    </w:p>
    <w:p>
      <w:pPr>
        <w:spacing w:line="360" w:lineRule="auto"/>
        <w:ind w:firstLine="480" w:firstLineChars="200"/>
        <w:rPr>
          <w:rFonts w:ascii="宋体" w:hAnsi="宋体" w:cs="宋体"/>
          <w:sz w:val="24"/>
        </w:rPr>
      </w:pPr>
      <w:r>
        <w:rPr>
          <w:rFonts w:hint="eastAsia" w:ascii="宋体" w:hAnsi="宋体" w:cs="宋体"/>
          <w:sz w:val="24"/>
        </w:rPr>
        <w:t>地址：山东省青岛市崂山区松岭路238号</w:t>
      </w:r>
    </w:p>
    <w:p>
      <w:pPr>
        <w:spacing w:line="360" w:lineRule="auto"/>
        <w:ind w:firstLine="480" w:firstLineChars="200"/>
        <w:rPr>
          <w:rFonts w:hint="eastAsia" w:ascii="宋体" w:hAnsi="宋体" w:cs="宋体"/>
          <w:sz w:val="24"/>
        </w:rPr>
      </w:pPr>
      <w:bookmarkStart w:id="35" w:name="_Toc28359086"/>
      <w:bookmarkStart w:id="36" w:name="_Toc28359009"/>
      <w:r>
        <w:rPr>
          <w:rFonts w:hint="eastAsia" w:ascii="宋体" w:hAnsi="宋体" w:cs="宋体"/>
          <w:sz w:val="24"/>
        </w:rPr>
        <w:t>项目联系人：崔老师</w:t>
      </w:r>
    </w:p>
    <w:p>
      <w:pPr>
        <w:spacing w:line="360" w:lineRule="auto"/>
        <w:ind w:firstLine="480" w:firstLineChars="200"/>
        <w:rPr>
          <w:rFonts w:hint="eastAsia" w:ascii="宋体" w:hAnsi="宋体" w:cs="宋体"/>
          <w:sz w:val="24"/>
        </w:rPr>
      </w:pPr>
      <w:r>
        <w:rPr>
          <w:rFonts w:hint="eastAsia" w:ascii="宋体" w:hAnsi="宋体" w:cs="宋体"/>
          <w:sz w:val="24"/>
        </w:rPr>
        <w:t>联系电话：0532-66781979</w:t>
      </w:r>
    </w:p>
    <w:p>
      <w:pPr>
        <w:spacing w:line="360" w:lineRule="auto"/>
        <w:ind w:firstLine="480" w:firstLineChars="200"/>
        <w:rPr>
          <w:rFonts w:hint="eastAsia" w:ascii="宋体" w:hAnsi="宋体" w:cs="宋体"/>
          <w:sz w:val="24"/>
        </w:rPr>
      </w:pPr>
      <w:r>
        <w:rPr>
          <w:rFonts w:hint="eastAsia" w:ascii="宋体" w:hAnsi="宋体" w:cs="宋体"/>
          <w:sz w:val="24"/>
        </w:rPr>
        <w:t>邮箱：</w:t>
      </w:r>
      <w:r>
        <w:rPr>
          <w:rFonts w:hint="eastAsia" w:ascii="宋体" w:hAnsi="宋体" w:cs="宋体"/>
          <w:sz w:val="24"/>
        </w:rPr>
        <w:fldChar w:fldCharType="begin"/>
      </w:r>
      <w:r>
        <w:rPr>
          <w:rFonts w:hint="eastAsia" w:ascii="宋体" w:hAnsi="宋体" w:cs="宋体"/>
          <w:sz w:val="24"/>
        </w:rPr>
        <w:instrText xml:space="preserve"> HYPERLINK "mailto:zhaobiaozx@ouc.edu.cn" </w:instrText>
      </w:r>
      <w:r>
        <w:rPr>
          <w:rFonts w:hint="eastAsia" w:ascii="宋体" w:hAnsi="宋体" w:cs="宋体"/>
          <w:sz w:val="24"/>
        </w:rPr>
        <w:fldChar w:fldCharType="separate"/>
      </w:r>
      <w:r>
        <w:rPr>
          <w:rFonts w:hint="eastAsia" w:ascii="宋体" w:hAnsi="宋体" w:cs="宋体"/>
          <w:sz w:val="24"/>
        </w:rPr>
        <w:t>zhaobiaozx@ouc.edu.cn</w:t>
      </w:r>
      <w:r>
        <w:rPr>
          <w:rFonts w:hint="eastAsia" w:ascii="宋体" w:hAnsi="宋体" w:cs="宋体"/>
          <w:sz w:val="24"/>
        </w:rPr>
        <w:fldChar w:fldCharType="end"/>
      </w:r>
    </w:p>
    <w:p>
      <w:pPr>
        <w:spacing w:line="360" w:lineRule="auto"/>
        <w:ind w:firstLine="480" w:firstLineChars="200"/>
        <w:rPr>
          <w:rFonts w:ascii="宋体" w:hAnsi="宋体" w:cs="宋体"/>
          <w:sz w:val="24"/>
        </w:rPr>
      </w:pPr>
      <w:r>
        <w:rPr>
          <w:rFonts w:hint="eastAsia" w:ascii="宋体" w:hAnsi="宋体" w:cs="宋体"/>
          <w:sz w:val="24"/>
        </w:rPr>
        <w:t>2.采购代理机构信息</w:t>
      </w:r>
      <w:bookmarkEnd w:id="35"/>
      <w:bookmarkEnd w:id="36"/>
    </w:p>
    <w:p>
      <w:pPr>
        <w:adjustRightInd w:val="0"/>
        <w:snapToGrid w:val="0"/>
        <w:spacing w:line="360" w:lineRule="auto"/>
        <w:ind w:firstLine="480" w:firstLineChars="200"/>
        <w:rPr>
          <w:rFonts w:hint="eastAsia" w:ascii="宋体" w:hAnsi="宋体" w:cs="宋体"/>
          <w:kern w:val="0"/>
          <w:sz w:val="24"/>
        </w:rPr>
      </w:pPr>
      <w:r>
        <w:rPr>
          <w:rFonts w:hint="eastAsia" w:ascii="宋体" w:hAnsi="宋体" w:cs="宋体"/>
          <w:kern w:val="0"/>
          <w:sz w:val="24"/>
        </w:rPr>
        <w:t>名称：海逸恒安项目管理有限公司</w:t>
      </w:r>
    </w:p>
    <w:p>
      <w:pPr>
        <w:adjustRightInd w:val="0"/>
        <w:snapToGrid w:val="0"/>
        <w:spacing w:line="360" w:lineRule="auto"/>
        <w:ind w:firstLine="480" w:firstLineChars="200"/>
        <w:rPr>
          <w:rFonts w:hint="eastAsia" w:ascii="宋体" w:hAnsi="宋体" w:cs="宋体"/>
          <w:kern w:val="0"/>
          <w:sz w:val="24"/>
        </w:rPr>
      </w:pPr>
      <w:r>
        <w:rPr>
          <w:rFonts w:hint="eastAsia" w:ascii="宋体" w:hAnsi="宋体" w:cs="宋体"/>
          <w:kern w:val="0"/>
          <w:sz w:val="24"/>
        </w:rPr>
        <w:t>地址：山东省青岛市崂山区香岭路1号北大资源博雅3号楼22层2203室</w:t>
      </w:r>
    </w:p>
    <w:p>
      <w:pPr>
        <w:adjustRightInd w:val="0"/>
        <w:snapToGrid w:val="0"/>
        <w:spacing w:line="360" w:lineRule="auto"/>
        <w:ind w:firstLine="480" w:firstLineChars="200"/>
        <w:rPr>
          <w:rFonts w:ascii="宋体" w:hAnsi="宋体" w:cs="宋体"/>
          <w:kern w:val="0"/>
          <w:sz w:val="24"/>
        </w:rPr>
      </w:pPr>
      <w:r>
        <w:rPr>
          <w:rFonts w:hint="eastAsia" w:ascii="宋体" w:hAnsi="宋体" w:cs="宋体"/>
          <w:kern w:val="0"/>
          <w:sz w:val="24"/>
        </w:rPr>
        <w:t>项目联系人：逄昊晟、曹丽娜</w:t>
      </w:r>
    </w:p>
    <w:p>
      <w:pPr>
        <w:adjustRightInd w:val="0"/>
        <w:snapToGrid w:val="0"/>
        <w:spacing w:line="360" w:lineRule="auto"/>
        <w:ind w:firstLine="480" w:firstLineChars="200"/>
        <w:rPr>
          <w:rFonts w:hint="eastAsia" w:ascii="宋体" w:hAnsi="宋体" w:cs="宋体"/>
          <w:kern w:val="0"/>
          <w:sz w:val="24"/>
        </w:rPr>
      </w:pPr>
      <w:r>
        <w:rPr>
          <w:rFonts w:hint="eastAsia" w:ascii="宋体" w:hAnsi="宋体" w:cs="宋体"/>
          <w:kern w:val="0"/>
          <w:sz w:val="24"/>
        </w:rPr>
        <w:t>联系电话：0532-85761207</w:t>
      </w:r>
    </w:p>
    <w:p>
      <w:pPr>
        <w:adjustRightInd w:val="0"/>
        <w:snapToGrid w:val="0"/>
        <w:spacing w:line="360" w:lineRule="auto"/>
        <w:ind w:firstLine="480" w:firstLineChars="200"/>
        <w:rPr>
          <w:rFonts w:hint="eastAsia" w:ascii="宋体" w:hAnsi="宋体" w:cs="宋体"/>
          <w:kern w:val="0"/>
          <w:sz w:val="24"/>
        </w:rPr>
      </w:pPr>
      <w:r>
        <w:rPr>
          <w:rFonts w:hint="eastAsia" w:ascii="宋体" w:hAnsi="宋体" w:cs="宋体"/>
          <w:kern w:val="0"/>
          <w:sz w:val="24"/>
        </w:rPr>
        <w:t>邮箱：</w:t>
      </w:r>
      <w:r>
        <w:rPr>
          <w:rFonts w:hint="eastAsia" w:ascii="宋体" w:hAnsi="宋体" w:cs="宋体"/>
          <w:kern w:val="0"/>
          <w:sz w:val="24"/>
        </w:rPr>
        <w:fldChar w:fldCharType="begin"/>
      </w:r>
      <w:r>
        <w:rPr>
          <w:rFonts w:hint="eastAsia" w:ascii="宋体" w:hAnsi="宋体" w:cs="宋体"/>
          <w:kern w:val="0"/>
          <w:sz w:val="24"/>
        </w:rPr>
        <w:instrText xml:space="preserve"> HYPERLINK "mailto:panghaosheng@sdhyha.com" </w:instrText>
      </w:r>
      <w:r>
        <w:rPr>
          <w:rFonts w:hint="eastAsia" w:ascii="宋体" w:hAnsi="宋体" w:cs="宋体"/>
          <w:kern w:val="0"/>
          <w:sz w:val="24"/>
        </w:rPr>
        <w:fldChar w:fldCharType="separate"/>
      </w:r>
      <w:r>
        <w:rPr>
          <w:rFonts w:hint="eastAsia" w:ascii="宋体" w:hAnsi="宋体" w:cs="宋体"/>
          <w:kern w:val="0"/>
          <w:sz w:val="24"/>
        </w:rPr>
        <w:t>panghaosheng@sdhyha.com</w:t>
      </w:r>
      <w:r>
        <w:rPr>
          <w:rFonts w:hint="eastAsia" w:ascii="宋体" w:hAnsi="宋体" w:cs="宋体"/>
          <w:kern w:val="0"/>
          <w:sz w:val="24"/>
        </w:rPr>
        <w:fldChar w:fldCharType="end"/>
      </w:r>
    </w:p>
    <w:p>
      <w:pPr>
        <w:widowControl/>
        <w:spacing w:line="360" w:lineRule="auto"/>
        <w:ind w:firstLine="720" w:firstLineChars="300"/>
        <w:jc w:val="right"/>
        <w:rPr>
          <w:rFonts w:ascii="宋体" w:hAnsi="宋体" w:cs="宋体"/>
          <w:sz w:val="18"/>
          <w:szCs w:val="18"/>
        </w:rPr>
      </w:pPr>
      <w:r>
        <w:rPr>
          <w:rFonts w:hint="eastAsia" w:ascii="宋体" w:hAnsi="宋体" w:cs="仿宋"/>
          <w:sz w:val="24"/>
        </w:rPr>
        <w:t>2024年</w:t>
      </w:r>
      <w:r>
        <w:rPr>
          <w:rFonts w:hint="eastAsia" w:ascii="宋体" w:hAnsi="宋体" w:cs="仿宋"/>
          <w:sz w:val="24"/>
          <w:lang w:val="en-US" w:eastAsia="zh-CN"/>
        </w:rPr>
        <w:t>5</w:t>
      </w:r>
      <w:r>
        <w:rPr>
          <w:rFonts w:hint="eastAsia" w:ascii="宋体" w:hAnsi="宋体" w:cs="仿宋"/>
          <w:sz w:val="24"/>
        </w:rPr>
        <w:t>月</w:t>
      </w:r>
      <w:r>
        <w:rPr>
          <w:rFonts w:hint="eastAsia" w:ascii="宋体" w:hAnsi="宋体" w:cs="仿宋"/>
          <w:sz w:val="24"/>
          <w:lang w:val="en-US" w:eastAsia="zh-CN"/>
        </w:rPr>
        <w:t>23</w:t>
      </w:r>
      <w:r>
        <w:rPr>
          <w:rFonts w:hint="eastAsia" w:ascii="宋体" w:hAnsi="宋体" w:cs="仿宋"/>
          <w:sz w:val="24"/>
        </w:rPr>
        <w:t>日</w:t>
      </w:r>
    </w:p>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Cambria">
    <w:panose1 w:val="02040503050406030204"/>
    <w:charset w:val="00"/>
    <w:family w:val="roman"/>
    <w:pitch w:val="default"/>
    <w:sig w:usb0="E00006FF" w:usb1="420024FF" w:usb2="02000000" w:usb3="00000000" w:csb0="2000019F" w:csb1="00000000"/>
  </w:font>
  <w:font w:name="宋体 (正文)">
    <w:altName w:val="宋体"/>
    <w:panose1 w:val="00000000000000000000"/>
    <w:charset w:val="00"/>
    <w:family w:val="auto"/>
    <w:pitch w:val="default"/>
    <w:sig w:usb0="00000000" w:usb1="00000000" w:usb2="00000000" w:usb3="00000000" w:csb0="00000000" w:csb1="00000000"/>
  </w:font>
  <w:font w:name="仿宋">
    <w:panose1 w:val="02010609060101010101"/>
    <w:charset w:val="86"/>
    <w:family w:val="modern"/>
    <w:pitch w:val="default"/>
    <w:sig w:usb0="800002BF" w:usb1="38CF7CFA" w:usb2="00000016" w:usb3="00000000" w:csb0="00040001"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MTZmZDJkZDZlNGU2MDFmMDI4Y2E2YmU1YjllYzI5YWYifQ=="/>
  </w:docVars>
  <w:rsids>
    <w:rsidRoot w:val="00000000"/>
    <w:rsid w:val="4CD84CE7"/>
    <w:rsid w:val="7BB377D0"/>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9"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99"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szCs w:val="24"/>
      <w:lang w:val="en-US" w:eastAsia="zh-CN" w:bidi="ar-SA"/>
    </w:rPr>
  </w:style>
  <w:style w:type="paragraph" w:styleId="2">
    <w:name w:val="heading 1"/>
    <w:basedOn w:val="3"/>
    <w:next w:val="1"/>
    <w:qFormat/>
    <w:uiPriority w:val="99"/>
    <w:pPr>
      <w:keepNext/>
      <w:keepLines/>
      <w:spacing w:before="340" w:after="330" w:line="578" w:lineRule="auto"/>
      <w:outlineLvl w:val="0"/>
    </w:pPr>
    <w:rPr>
      <w:kern w:val="44"/>
      <w:sz w:val="44"/>
      <w:szCs w:val="20"/>
    </w:rPr>
  </w:style>
  <w:style w:type="character" w:default="1" w:styleId="5">
    <w:name w:val="Default Paragraph Font"/>
    <w:semiHidden/>
    <w:qFormat/>
    <w:uiPriority w:val="0"/>
  </w:style>
  <w:style w:type="table" w:default="1" w:styleId="4">
    <w:name w:val="Normal Table"/>
    <w:semiHidden/>
    <w:qFormat/>
    <w:uiPriority w:val="0"/>
    <w:tblPr>
      <w:tblCellMar>
        <w:top w:w="0" w:type="dxa"/>
        <w:left w:w="108" w:type="dxa"/>
        <w:bottom w:w="0" w:type="dxa"/>
        <w:right w:w="108" w:type="dxa"/>
      </w:tblCellMar>
    </w:tblPr>
  </w:style>
  <w:style w:type="paragraph" w:styleId="3">
    <w:name w:val="Title"/>
    <w:basedOn w:val="1"/>
    <w:next w:val="1"/>
    <w:qFormat/>
    <w:uiPriority w:val="99"/>
    <w:pPr>
      <w:spacing w:before="240" w:after="60" w:line="276" w:lineRule="auto"/>
      <w:jc w:val="center"/>
      <w:outlineLvl w:val="0"/>
    </w:pPr>
    <w:rPr>
      <w:rFonts w:ascii="Cambria" w:hAnsi="Cambria"/>
      <w:b/>
      <w:kern w:val="0"/>
      <w:sz w:val="32"/>
      <w:szCs w:val="20"/>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image" Target="media/image1.png"/><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4</Pages>
  <Words>1685</Words>
  <Characters>1956</Characters>
  <Lines>0</Lines>
  <Paragraphs>0</Paragraphs>
  <TotalTime>1</TotalTime>
  <ScaleCrop>false</ScaleCrop>
  <LinksUpToDate>false</LinksUpToDate>
  <CharactersWithSpaces>1956</CharactersWithSpaces>
  <Application>WPS Office_12.1.0.16929_F1E327BC-269C-435d-A152-05C5408002CA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2024-05-23T08:22:00Z</dcterms:created>
  <dc:creator>47089</dc:creator>
  <cp:lastModifiedBy>清</cp:lastModifiedBy>
  <dcterms:modified xsi:type="dcterms:W3CDTF">2024-05-24T01:46:34Z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2052-12.1.0.16929</vt:lpwstr>
  </property>
  <property fmtid="{D5CDD505-2E9C-101B-9397-08002B2CF9AE}" pid="3" name="ICV">
    <vt:lpwstr>5DFE328187394FBBA87F35329EBEF3D7_13</vt:lpwstr>
  </property>
</Properties>
</file>