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97951">
      <w:pPr>
        <w:adjustRightInd w:val="0"/>
        <w:snapToGrid w:val="0"/>
        <w:spacing w:after="156" w:afterLines="50" w:line="360" w:lineRule="auto"/>
        <w:jc w:val="center"/>
        <w:outlineLvl w:val="0"/>
        <w:rPr>
          <w:rFonts w:ascii="黑体" w:eastAsia="黑体"/>
          <w:b/>
          <w:kern w:val="44"/>
          <w:sz w:val="48"/>
          <w:szCs w:val="20"/>
        </w:rPr>
      </w:pPr>
      <w:bookmarkStart w:id="1" w:name="_GoBack"/>
      <w:bookmarkEnd w:id="1"/>
      <w:bookmarkStart w:id="0" w:name="_Toc129880039"/>
      <w:r>
        <w:rPr>
          <w:rFonts w:hint="eastAsia" w:ascii="宋体" w:hAnsi="宋体"/>
          <w:b/>
          <w:sz w:val="30"/>
          <w:szCs w:val="30"/>
        </w:rPr>
        <w:t>第八部分 采购需求</w:t>
      </w:r>
      <w:bookmarkEnd w:id="0"/>
    </w:p>
    <w:p w14:paraId="674FEDD8">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00645402">
      <w:pPr>
        <w:adjustRightInd w:val="0"/>
        <w:snapToGrid w:val="0"/>
        <w:jc w:val="center"/>
        <w:rPr>
          <w:rFonts w:hint="eastAsia" w:ascii="宋体" w:hAnsi="宋体"/>
          <w:b/>
          <w:sz w:val="30"/>
          <w:szCs w:val="30"/>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90"/>
        <w:gridCol w:w="3356"/>
        <w:gridCol w:w="1256"/>
        <w:gridCol w:w="1994"/>
      </w:tblGrid>
      <w:tr w14:paraId="1BD41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990" w:type="dxa"/>
            <w:vAlign w:val="center"/>
          </w:tcPr>
          <w:p w14:paraId="23F790B8">
            <w:pPr>
              <w:jc w:val="center"/>
              <w:rPr>
                <w:rFonts w:ascii="宋体" w:hAnsi="Bookman Old Style"/>
                <w:sz w:val="24"/>
              </w:rPr>
            </w:pPr>
            <w:r>
              <w:rPr>
                <w:rFonts w:hint="eastAsia" w:ascii="宋体" w:hAnsi="Bookman Old Style"/>
                <w:sz w:val="24"/>
              </w:rPr>
              <w:t>包号</w:t>
            </w:r>
          </w:p>
        </w:tc>
        <w:tc>
          <w:tcPr>
            <w:tcW w:w="3356" w:type="dxa"/>
            <w:vAlign w:val="center"/>
          </w:tcPr>
          <w:p w14:paraId="6B779AF7">
            <w:pPr>
              <w:jc w:val="center"/>
              <w:rPr>
                <w:rFonts w:ascii="宋体" w:hAnsi="Bookman Old Style"/>
                <w:sz w:val="24"/>
              </w:rPr>
            </w:pPr>
            <w:r>
              <w:rPr>
                <w:rFonts w:hint="eastAsia" w:ascii="宋体" w:hAnsi="Bookman Old Style"/>
                <w:sz w:val="24"/>
              </w:rPr>
              <w:t>货物名称</w:t>
            </w:r>
          </w:p>
        </w:tc>
        <w:tc>
          <w:tcPr>
            <w:tcW w:w="1256" w:type="dxa"/>
            <w:vAlign w:val="center"/>
          </w:tcPr>
          <w:p w14:paraId="6680DFD4">
            <w:pPr>
              <w:jc w:val="center"/>
              <w:rPr>
                <w:rFonts w:ascii="宋体" w:hAnsi="Bookman Old Style"/>
                <w:sz w:val="24"/>
              </w:rPr>
            </w:pPr>
            <w:r>
              <w:rPr>
                <w:rFonts w:hint="eastAsia" w:ascii="宋体" w:hAnsi="Bookman Old Style"/>
                <w:sz w:val="24"/>
              </w:rPr>
              <w:t>数量</w:t>
            </w:r>
          </w:p>
        </w:tc>
        <w:tc>
          <w:tcPr>
            <w:tcW w:w="1994" w:type="dxa"/>
            <w:vAlign w:val="center"/>
          </w:tcPr>
          <w:p w14:paraId="7917A9A5">
            <w:pPr>
              <w:jc w:val="center"/>
              <w:rPr>
                <w:rFonts w:ascii="宋体" w:hAnsi="Bookman Old Style"/>
                <w:sz w:val="24"/>
              </w:rPr>
            </w:pPr>
            <w:r>
              <w:rPr>
                <w:rFonts w:hint="eastAsia" w:ascii="宋体" w:hAnsi="Bookman Old Style"/>
                <w:sz w:val="24"/>
              </w:rPr>
              <w:t>是否接受进口</w:t>
            </w:r>
          </w:p>
        </w:tc>
      </w:tr>
      <w:tr w14:paraId="5B1A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90" w:type="dxa"/>
            <w:vMerge w:val="restart"/>
            <w:vAlign w:val="center"/>
          </w:tcPr>
          <w:p w14:paraId="31E1559A">
            <w:pPr>
              <w:jc w:val="center"/>
              <w:rPr>
                <w:rFonts w:ascii="宋体"/>
                <w:sz w:val="24"/>
              </w:rPr>
            </w:pPr>
            <w:r>
              <w:rPr>
                <w:rFonts w:hint="eastAsia" w:ascii="宋体"/>
                <w:sz w:val="24"/>
              </w:rPr>
              <w:t>1</w:t>
            </w:r>
          </w:p>
        </w:tc>
        <w:tc>
          <w:tcPr>
            <w:tcW w:w="3356" w:type="dxa"/>
            <w:vAlign w:val="center"/>
          </w:tcPr>
          <w:p w14:paraId="2C9DD1B5">
            <w:pPr>
              <w:jc w:val="center"/>
              <w:rPr>
                <w:rFonts w:ascii="Bookman Old Style" w:hAnsi="Bookman Old Style"/>
                <w:sz w:val="24"/>
              </w:rPr>
            </w:pPr>
            <w:r>
              <w:rPr>
                <w:rFonts w:hint="eastAsia" w:ascii="Bookman Old Style" w:hAnsi="Bookman Old Style"/>
                <w:sz w:val="24"/>
              </w:rPr>
              <w:t>流式细胞仪</w:t>
            </w:r>
          </w:p>
        </w:tc>
        <w:tc>
          <w:tcPr>
            <w:tcW w:w="1256" w:type="dxa"/>
            <w:vAlign w:val="center"/>
          </w:tcPr>
          <w:p w14:paraId="3D82E1A6">
            <w:pPr>
              <w:jc w:val="center"/>
              <w:rPr>
                <w:rFonts w:ascii="宋体" w:hAnsi="Bookman Old Style"/>
                <w:sz w:val="24"/>
              </w:rPr>
            </w:pPr>
            <w:r>
              <w:rPr>
                <w:rFonts w:hint="eastAsia" w:ascii="宋体" w:hAnsi="Bookman Old Style"/>
                <w:sz w:val="24"/>
              </w:rPr>
              <w:t>1台</w:t>
            </w:r>
          </w:p>
        </w:tc>
        <w:tc>
          <w:tcPr>
            <w:tcW w:w="1994" w:type="dxa"/>
            <w:vAlign w:val="center"/>
          </w:tcPr>
          <w:p w14:paraId="61176F6D">
            <w:pPr>
              <w:jc w:val="center"/>
              <w:rPr>
                <w:rFonts w:ascii="宋体" w:hAnsi="Bookman Old Style"/>
                <w:sz w:val="24"/>
              </w:rPr>
            </w:pPr>
            <w:r>
              <w:rPr>
                <w:rFonts w:hint="eastAsia" w:ascii="宋体" w:hAnsi="Bookman Old Style"/>
                <w:sz w:val="24"/>
              </w:rPr>
              <w:t>否</w:t>
            </w:r>
          </w:p>
        </w:tc>
      </w:tr>
      <w:tr w14:paraId="14CB6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90" w:type="dxa"/>
            <w:vMerge w:val="continue"/>
            <w:vAlign w:val="center"/>
          </w:tcPr>
          <w:p w14:paraId="237DCF30">
            <w:pPr>
              <w:jc w:val="center"/>
              <w:rPr>
                <w:rFonts w:ascii="宋体"/>
                <w:sz w:val="24"/>
              </w:rPr>
            </w:pPr>
          </w:p>
        </w:tc>
        <w:tc>
          <w:tcPr>
            <w:tcW w:w="3356" w:type="dxa"/>
            <w:vAlign w:val="center"/>
          </w:tcPr>
          <w:p w14:paraId="2C823270">
            <w:pPr>
              <w:jc w:val="center"/>
              <w:rPr>
                <w:rFonts w:ascii="Bookman Old Style" w:hAnsi="Bookman Old Style"/>
                <w:sz w:val="24"/>
              </w:rPr>
            </w:pPr>
            <w:r>
              <w:rPr>
                <w:rFonts w:hint="eastAsia" w:ascii="宋体" w:hAnsi="宋体"/>
                <w:sz w:val="24"/>
              </w:rPr>
              <w:t>实时荧光定量PCR系统</w:t>
            </w:r>
          </w:p>
        </w:tc>
        <w:tc>
          <w:tcPr>
            <w:tcW w:w="1256" w:type="dxa"/>
            <w:vAlign w:val="center"/>
          </w:tcPr>
          <w:p w14:paraId="19D5CFE7">
            <w:pPr>
              <w:jc w:val="center"/>
              <w:rPr>
                <w:rFonts w:ascii="宋体" w:hAnsi="Bookman Old Style"/>
                <w:sz w:val="24"/>
              </w:rPr>
            </w:pPr>
            <w:r>
              <w:rPr>
                <w:rFonts w:hint="eastAsia" w:ascii="宋体" w:hAnsi="Bookman Old Style"/>
                <w:sz w:val="24"/>
              </w:rPr>
              <w:t>1台</w:t>
            </w:r>
          </w:p>
        </w:tc>
        <w:tc>
          <w:tcPr>
            <w:tcW w:w="1994" w:type="dxa"/>
            <w:vAlign w:val="center"/>
          </w:tcPr>
          <w:p w14:paraId="3A9582E5">
            <w:pPr>
              <w:jc w:val="center"/>
              <w:rPr>
                <w:rFonts w:ascii="宋体" w:hAnsi="Bookman Old Style"/>
                <w:sz w:val="24"/>
              </w:rPr>
            </w:pPr>
            <w:r>
              <w:rPr>
                <w:rFonts w:hint="eastAsia" w:ascii="宋体" w:hAnsi="Bookman Old Style"/>
                <w:sz w:val="24"/>
              </w:rPr>
              <w:t>否</w:t>
            </w:r>
          </w:p>
        </w:tc>
      </w:tr>
    </w:tbl>
    <w:p w14:paraId="5AD2CB5C">
      <w:pPr>
        <w:adjustRightInd w:val="0"/>
        <w:snapToGrid w:val="0"/>
        <w:jc w:val="center"/>
        <w:rPr>
          <w:rFonts w:hint="eastAsia" w:ascii="宋体" w:hAnsi="宋体"/>
          <w:b/>
          <w:sz w:val="30"/>
          <w:szCs w:val="30"/>
        </w:rPr>
      </w:pPr>
    </w:p>
    <w:p w14:paraId="63D07584">
      <w:pPr>
        <w:adjustRightInd w:val="0"/>
        <w:snapToGrid w:val="0"/>
        <w:jc w:val="center"/>
        <w:rPr>
          <w:rFonts w:hint="eastAsia" w:ascii="宋体" w:hAnsi="宋体"/>
          <w:b/>
          <w:sz w:val="30"/>
          <w:szCs w:val="30"/>
        </w:rPr>
      </w:pPr>
    </w:p>
    <w:p w14:paraId="4F3934C6">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60AA7861">
      <w:pPr>
        <w:adjustRightInd w:val="0"/>
        <w:snapToGrid w:val="0"/>
        <w:rPr>
          <w:rFonts w:hint="eastAsia" w:ascii="宋体" w:hAnsi="宋体"/>
          <w:szCs w:val="21"/>
        </w:rPr>
      </w:pPr>
    </w:p>
    <w:p w14:paraId="06D90306">
      <w:pPr>
        <w:adjustRightInd w:val="0"/>
        <w:snapToGrid w:val="0"/>
        <w:rPr>
          <w:rFonts w:hint="eastAsia" w:ascii="宋体" w:hAnsi="宋体"/>
          <w:szCs w:val="21"/>
        </w:rPr>
      </w:pPr>
    </w:p>
    <w:p w14:paraId="4E55B23A">
      <w:pPr>
        <w:adjustRightInd w:val="0"/>
        <w:snapToGrid w:val="0"/>
        <w:rPr>
          <w:rFonts w:hint="eastAsia" w:ascii="宋体" w:hAnsi="宋体"/>
          <w:szCs w:val="21"/>
        </w:rPr>
      </w:pPr>
    </w:p>
    <w:p w14:paraId="48A34BFD">
      <w:pPr>
        <w:adjustRightInd w:val="0"/>
        <w:snapToGrid w:val="0"/>
        <w:spacing w:line="360" w:lineRule="auto"/>
        <w:rPr>
          <w:rFonts w:hint="eastAsia" w:ascii="宋体" w:hAnsi="宋体"/>
          <w:b/>
          <w:sz w:val="28"/>
          <w:szCs w:val="28"/>
        </w:rPr>
      </w:pPr>
      <w:r>
        <w:rPr>
          <w:rFonts w:ascii="宋体" w:hAnsi="宋体"/>
          <w:b/>
          <w:sz w:val="30"/>
          <w:szCs w:val="30"/>
        </w:rPr>
        <w:br w:type="page"/>
      </w:r>
      <w:r>
        <w:rPr>
          <w:rFonts w:hint="eastAsia" w:ascii="宋体" w:hAnsi="宋体"/>
          <w:b/>
          <w:sz w:val="28"/>
          <w:szCs w:val="28"/>
        </w:rPr>
        <w:t>一、总则</w:t>
      </w:r>
    </w:p>
    <w:p w14:paraId="3BA6F87C">
      <w:pPr>
        <w:adjustRightInd w:val="0"/>
        <w:snapToGrid w:val="0"/>
        <w:spacing w:line="360" w:lineRule="auto"/>
        <w:rPr>
          <w:rFonts w:hint="eastAsia" w:ascii="宋体" w:hAnsi="宋体"/>
          <w:b/>
          <w:sz w:val="28"/>
          <w:szCs w:val="28"/>
        </w:rPr>
      </w:pPr>
      <w:r>
        <w:rPr>
          <w:rFonts w:ascii="宋体" w:hAnsi="宋体"/>
          <w:b/>
          <w:sz w:val="28"/>
          <w:szCs w:val="28"/>
        </w:rPr>
        <w:t>1</w:t>
      </w:r>
      <w:r>
        <w:rPr>
          <w:rFonts w:hint="eastAsia" w:ascii="宋体" w:hAnsi="宋体"/>
          <w:b/>
          <w:sz w:val="28"/>
          <w:szCs w:val="28"/>
        </w:rPr>
        <w:t>、投标要求</w:t>
      </w:r>
    </w:p>
    <w:p w14:paraId="0F978325">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28ECA9A">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AFF5D91">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1B58BE6">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CC4B2B9">
      <w:pPr>
        <w:adjustRightInd w:val="0"/>
        <w:snapToGrid w:val="0"/>
        <w:spacing w:line="360" w:lineRule="auto"/>
        <w:rPr>
          <w:rFonts w:hint="eastAsia" w:ascii="宋体" w:hAnsi="宋体"/>
          <w:b/>
          <w:sz w:val="28"/>
          <w:szCs w:val="28"/>
        </w:rPr>
      </w:pPr>
      <w:r>
        <w:rPr>
          <w:rFonts w:hint="eastAsia" w:ascii="宋体" w:hAnsi="宋体"/>
          <w:b/>
          <w:sz w:val="28"/>
          <w:szCs w:val="28"/>
        </w:rPr>
        <w:t>2、评标标准</w:t>
      </w:r>
    </w:p>
    <w:p w14:paraId="41093794">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19A5F07A">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0E072548">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32DEE08">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54118F8F">
      <w:pPr>
        <w:spacing w:line="360" w:lineRule="auto"/>
        <w:ind w:left="554" w:hanging="554" w:hangingChars="231"/>
        <w:rPr>
          <w:rFonts w:hint="eastAsia"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40BD34F2">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35A4F325">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14109402">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5B0AC1BA">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46B6F4D5">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73DB574F">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40B159ED">
      <w:pPr>
        <w:rPr>
          <w:rFonts w:eastAsia="黑体"/>
          <w:b/>
          <w:bCs/>
          <w:kern w:val="44"/>
          <w:sz w:val="24"/>
        </w:rPr>
      </w:pPr>
    </w:p>
    <w:p w14:paraId="6ED3A60C">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4896091A">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3EE81644">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68AB1727">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6A414F4">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5FC489B0">
      <w:pPr>
        <w:pStyle w:val="2"/>
        <w:spacing w:line="360" w:lineRule="auto"/>
        <w:ind w:left="410" w:hanging="410" w:hangingChars="170"/>
        <w:rPr>
          <w:rFonts w:hint="eastAsia" w:hAnsi="宋体"/>
          <w:b/>
          <w:sz w:val="24"/>
          <w:szCs w:val="24"/>
        </w:rPr>
      </w:pPr>
    </w:p>
    <w:p w14:paraId="11E315DC">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4FCA4222">
      <w:pPr>
        <w:adjustRightInd w:val="0"/>
        <w:snapToGrid w:val="0"/>
        <w:spacing w:line="360" w:lineRule="auto"/>
        <w:rPr>
          <w:rFonts w:hint="eastAsia" w:ascii="宋体" w:hAnsi="宋体"/>
          <w:b/>
          <w:sz w:val="24"/>
        </w:rPr>
      </w:pPr>
    </w:p>
    <w:p w14:paraId="1D57E872">
      <w:pPr>
        <w:adjustRightInd w:val="0"/>
        <w:snapToGrid w:val="0"/>
        <w:spacing w:line="360" w:lineRule="auto"/>
        <w:rPr>
          <w:rFonts w:hint="eastAsia" w:ascii="宋体" w:hAnsi="宋体"/>
          <w:b/>
          <w:sz w:val="24"/>
        </w:rPr>
      </w:pPr>
      <w:r>
        <w:rPr>
          <w:rFonts w:hint="eastAsia" w:ascii="宋体" w:hAnsi="宋体"/>
          <w:b/>
          <w:sz w:val="24"/>
        </w:rPr>
        <w:t>6、如在具体技术规格中有本总则不一致之处，以具体技术规格中的要求为准。</w:t>
      </w:r>
    </w:p>
    <w:p w14:paraId="507D2BF0">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二、具体技术规格</w:t>
      </w:r>
    </w:p>
    <w:p w14:paraId="6D0B7DD0">
      <w:pPr>
        <w:jc w:val="center"/>
        <w:rPr>
          <w:b/>
          <w:sz w:val="24"/>
        </w:rPr>
      </w:pPr>
      <w:r>
        <w:rPr>
          <w:rFonts w:hint="eastAsia"/>
          <w:b/>
          <w:sz w:val="24"/>
        </w:rPr>
        <w:t xml:space="preserve">第1包 </w:t>
      </w:r>
    </w:p>
    <w:p w14:paraId="6CE6766B">
      <w:pPr>
        <w:jc w:val="center"/>
        <w:rPr>
          <w:b/>
          <w:sz w:val="24"/>
        </w:rPr>
      </w:pPr>
      <w:r>
        <w:rPr>
          <w:rFonts w:hint="eastAsia"/>
          <w:b/>
          <w:sz w:val="24"/>
        </w:rPr>
        <w:t>品目一 流式细胞仪</w:t>
      </w:r>
    </w:p>
    <w:p w14:paraId="6059C966">
      <w:pPr>
        <w:rPr>
          <w:b/>
          <w:sz w:val="24"/>
        </w:rPr>
      </w:pPr>
    </w:p>
    <w:p w14:paraId="6F9048DC">
      <w:pPr>
        <w:rPr>
          <w:b/>
          <w:sz w:val="24"/>
        </w:rPr>
      </w:pPr>
    </w:p>
    <w:p w14:paraId="0D4814F7">
      <w:pPr>
        <w:numPr>
          <w:ilvl w:val="0"/>
          <w:numId w:val="1"/>
        </w:numPr>
        <w:spacing w:line="360" w:lineRule="auto"/>
        <w:rPr>
          <w:b/>
          <w:sz w:val="24"/>
        </w:rPr>
      </w:pPr>
      <w:r>
        <w:rPr>
          <w:rFonts w:hint="eastAsia"/>
          <w:b/>
          <w:sz w:val="24"/>
        </w:rPr>
        <w:t>技术要求：</w:t>
      </w:r>
    </w:p>
    <w:p w14:paraId="2158F0B8">
      <w:pPr>
        <w:numPr>
          <w:ilvl w:val="0"/>
          <w:numId w:val="2"/>
        </w:numPr>
        <w:spacing w:line="360" w:lineRule="auto"/>
        <w:rPr>
          <w:b/>
          <w:sz w:val="24"/>
        </w:rPr>
      </w:pPr>
      <w:r>
        <w:rPr>
          <w:rFonts w:hint="eastAsia"/>
          <w:b/>
          <w:sz w:val="24"/>
        </w:rPr>
        <w:t>工作条件：</w:t>
      </w:r>
    </w:p>
    <w:p w14:paraId="6C178407">
      <w:pPr>
        <w:spacing w:line="360" w:lineRule="auto"/>
        <w:rPr>
          <w:sz w:val="24"/>
        </w:rPr>
      </w:pPr>
      <w:r>
        <w:rPr>
          <w:sz w:val="24"/>
        </w:rPr>
        <w:t>1.1 环境温度：</w:t>
      </w:r>
      <w:r>
        <w:rPr>
          <w:rFonts w:hint="eastAsia"/>
          <w:sz w:val="24"/>
        </w:rPr>
        <w:t>15-30</w:t>
      </w:r>
      <w:r>
        <w:rPr>
          <w:sz w:val="24"/>
        </w:rPr>
        <w:t>℃。</w:t>
      </w:r>
    </w:p>
    <w:p w14:paraId="5D3101CB">
      <w:pPr>
        <w:spacing w:line="360" w:lineRule="auto"/>
        <w:rPr>
          <w:sz w:val="24"/>
        </w:rPr>
      </w:pPr>
      <w:r>
        <w:rPr>
          <w:sz w:val="24"/>
        </w:rPr>
        <w:t>1.2 相对湿度：</w:t>
      </w:r>
      <w:r>
        <w:rPr>
          <w:rFonts w:hint="eastAsia"/>
          <w:sz w:val="24"/>
        </w:rPr>
        <w:t>30-80%（非冷凝）。</w:t>
      </w:r>
    </w:p>
    <w:p w14:paraId="3C1EAF53">
      <w:pPr>
        <w:spacing w:line="360" w:lineRule="auto"/>
        <w:rPr>
          <w:sz w:val="24"/>
        </w:rPr>
      </w:pPr>
      <w:r>
        <w:rPr>
          <w:sz w:val="24"/>
        </w:rPr>
        <w:t>1.3 使用电源：220V±10V，AC50/60Hz。</w:t>
      </w:r>
    </w:p>
    <w:p w14:paraId="0038D02F">
      <w:pPr>
        <w:spacing w:line="360" w:lineRule="auto"/>
        <w:rPr>
          <w:sz w:val="24"/>
        </w:rPr>
      </w:pPr>
    </w:p>
    <w:p w14:paraId="1E974410">
      <w:pPr>
        <w:numPr>
          <w:ilvl w:val="0"/>
          <w:numId w:val="2"/>
        </w:numPr>
        <w:spacing w:line="360" w:lineRule="auto"/>
        <w:rPr>
          <w:b/>
          <w:sz w:val="24"/>
        </w:rPr>
      </w:pPr>
      <w:r>
        <w:rPr>
          <w:rFonts w:hint="eastAsia"/>
          <w:b/>
          <w:sz w:val="24"/>
        </w:rPr>
        <w:t>设备用途：</w:t>
      </w:r>
    </w:p>
    <w:p w14:paraId="2C1ADB01">
      <w:pPr>
        <w:spacing w:line="360" w:lineRule="auto"/>
        <w:rPr>
          <w:sz w:val="24"/>
        </w:rPr>
      </w:pPr>
      <w:r>
        <w:rPr>
          <w:rFonts w:hint="eastAsia"/>
          <w:sz w:val="24"/>
        </w:rPr>
        <w:t>2.1 主要用于细胞免疫表型检测和功能研究，细胞凋亡、周期分析研究、DNA倍体分析、细胞周期蛋白检测研究，细胞各种生理功能研究（死活鉴定、细胞内pH值、细胞内钙流、膜电位检测）等。可对单个细胞或其他微小颗粒进行快速定量分析，测量细胞大小、内部颗粒的形状，检测细胞表面和浆细胞抗原、细胞内DNA、RNA含量等。</w:t>
      </w:r>
    </w:p>
    <w:p w14:paraId="1D507847">
      <w:pPr>
        <w:spacing w:line="360" w:lineRule="auto"/>
        <w:rPr>
          <w:sz w:val="24"/>
        </w:rPr>
      </w:pPr>
    </w:p>
    <w:p w14:paraId="3322F723">
      <w:pPr>
        <w:numPr>
          <w:ilvl w:val="0"/>
          <w:numId w:val="2"/>
        </w:numPr>
        <w:spacing w:line="360" w:lineRule="auto"/>
        <w:rPr>
          <w:b/>
          <w:sz w:val="24"/>
        </w:rPr>
      </w:pPr>
      <w:r>
        <w:rPr>
          <w:rFonts w:hint="eastAsia"/>
          <w:b/>
          <w:sz w:val="24"/>
        </w:rPr>
        <w:t>技术规格：</w:t>
      </w:r>
    </w:p>
    <w:p w14:paraId="5F6FCE28">
      <w:pPr>
        <w:spacing w:line="360" w:lineRule="auto"/>
        <w:rPr>
          <w:sz w:val="24"/>
        </w:rPr>
      </w:pPr>
      <w:r>
        <w:rPr>
          <w:rFonts w:hint="eastAsia"/>
          <w:sz w:val="24"/>
        </w:rPr>
        <w:t>★3.1 激光器：至少配备488nm蓝色、638±5nm红色、405nm紫色三根固态激光器。</w:t>
      </w:r>
    </w:p>
    <w:p w14:paraId="5F44C991">
      <w:pPr>
        <w:spacing w:line="360" w:lineRule="auto"/>
        <w:rPr>
          <w:sz w:val="24"/>
        </w:rPr>
      </w:pPr>
      <w:r>
        <w:rPr>
          <w:rFonts w:hint="eastAsia"/>
          <w:sz w:val="24"/>
        </w:rPr>
        <w:t>★3.2 检测通道：至少具备前向角检测通道FSC、侧向角检测通道SSC和八个荧光检测通道。</w:t>
      </w:r>
    </w:p>
    <w:p w14:paraId="6CF5B53C">
      <w:pPr>
        <w:spacing w:line="360" w:lineRule="auto"/>
        <w:rPr>
          <w:sz w:val="24"/>
        </w:rPr>
      </w:pPr>
      <w:r>
        <w:rPr>
          <w:rFonts w:hint="eastAsia"/>
          <w:sz w:val="24"/>
        </w:rPr>
        <w:t>3.3 检测器：光电二极管检测器或高精度光电倍增管检测器。</w:t>
      </w:r>
    </w:p>
    <w:p w14:paraId="2936BEC7">
      <w:pPr>
        <w:spacing w:line="360" w:lineRule="auto"/>
        <w:rPr>
          <w:sz w:val="24"/>
        </w:rPr>
      </w:pPr>
      <w:r>
        <w:rPr>
          <w:rFonts w:hint="eastAsia"/>
          <w:sz w:val="24"/>
        </w:rPr>
        <w:t>3.4 荧光收集方式：全反射光路将信号传导至观点检测器，每个检测器前只经过一个带通滤光片，能最大限度减少荧光信号的损失。</w:t>
      </w:r>
    </w:p>
    <w:p w14:paraId="34419510">
      <w:pPr>
        <w:spacing w:line="360" w:lineRule="auto"/>
        <w:rPr>
          <w:sz w:val="24"/>
        </w:rPr>
      </w:pPr>
      <w:r>
        <w:rPr>
          <w:rFonts w:hint="eastAsia"/>
          <w:sz w:val="24"/>
        </w:rPr>
        <w:t>#3.5 流动室：光学石英杯流动室，数值孔径NA＞1.3（需提供加盖设备制造商公章的官网截图或彩页或检测报告等相关证明材料）。</w:t>
      </w:r>
    </w:p>
    <w:p w14:paraId="53004633">
      <w:pPr>
        <w:spacing w:line="360" w:lineRule="auto"/>
        <w:rPr>
          <w:sz w:val="24"/>
        </w:rPr>
      </w:pPr>
      <w:r>
        <w:rPr>
          <w:rFonts w:hint="eastAsia"/>
          <w:sz w:val="24"/>
        </w:rPr>
        <w:t>★3.6 液流驱动方式：采用空气压缩泵泵或超低压蠕动泵（非注射泵/柱塞泵）驱动液流上样，确保上样液流连续稳定、无断点。</w:t>
      </w:r>
    </w:p>
    <w:p w14:paraId="4C9205FE">
      <w:pPr>
        <w:spacing w:line="360" w:lineRule="auto"/>
        <w:rPr>
          <w:sz w:val="24"/>
        </w:rPr>
      </w:pPr>
      <w:r>
        <w:rPr>
          <w:rFonts w:hint="eastAsia"/>
          <w:sz w:val="24"/>
        </w:rPr>
        <w:t>3.7 荧光灵敏度：FITC≤50MESF、 PE≤30MESF。</w:t>
      </w:r>
    </w:p>
    <w:p w14:paraId="18FCB798">
      <w:pPr>
        <w:spacing w:line="360" w:lineRule="auto"/>
        <w:rPr>
          <w:sz w:val="24"/>
        </w:rPr>
      </w:pPr>
      <w:r>
        <w:rPr>
          <w:rFonts w:hint="eastAsia"/>
          <w:sz w:val="24"/>
        </w:rPr>
        <w:t>3.8 荧光分辨率：rCV＜3.0%。</w:t>
      </w:r>
    </w:p>
    <w:p w14:paraId="321BFF49">
      <w:pPr>
        <w:spacing w:line="360" w:lineRule="auto"/>
        <w:rPr>
          <w:sz w:val="24"/>
        </w:rPr>
      </w:pPr>
      <w:r>
        <w:rPr>
          <w:rFonts w:hint="eastAsia"/>
          <w:sz w:val="24"/>
        </w:rPr>
        <w:t>#3.9 最小检测颗粒大小：≤90nm（需提供加盖设备制造商公章的官网截图或彩页或检测报告等相关证明材料）。</w:t>
      </w:r>
    </w:p>
    <w:p w14:paraId="771D6EC7">
      <w:pPr>
        <w:spacing w:line="360" w:lineRule="auto"/>
        <w:rPr>
          <w:sz w:val="24"/>
        </w:rPr>
      </w:pPr>
      <w:r>
        <w:rPr>
          <w:rFonts w:hint="eastAsia"/>
          <w:sz w:val="24"/>
        </w:rPr>
        <w:t>3.10 检测速度：≥25,000事件/秒。</w:t>
      </w:r>
    </w:p>
    <w:p w14:paraId="3F2FD1A3">
      <w:pPr>
        <w:spacing w:line="360" w:lineRule="auto"/>
        <w:rPr>
          <w:sz w:val="24"/>
        </w:rPr>
      </w:pPr>
      <w:r>
        <w:rPr>
          <w:rFonts w:hint="eastAsia"/>
          <w:sz w:val="24"/>
        </w:rPr>
        <w:t>#3.11 样本流速：有高中低三档固定流式，也可在10μL/min-240μL/min以1μL/min步径自定义调节（需提供加盖设备制造商公章的官网截图或彩页或检测报告等相关证明材料）。</w:t>
      </w:r>
    </w:p>
    <w:p w14:paraId="288A321C">
      <w:pPr>
        <w:spacing w:line="360" w:lineRule="auto"/>
        <w:rPr>
          <w:sz w:val="24"/>
        </w:rPr>
      </w:pPr>
      <w:r>
        <w:rPr>
          <w:rFonts w:hint="eastAsia"/>
          <w:sz w:val="24"/>
        </w:rPr>
        <w:t>#3.12 信号处理：全数字化系统，7个十进制数字显示（需提供加盖设备制造商公章的官网截图或彩页或检测报告等相关证明材料）。</w:t>
      </w:r>
    </w:p>
    <w:p w14:paraId="58B1121E">
      <w:pPr>
        <w:spacing w:line="360" w:lineRule="auto"/>
        <w:rPr>
          <w:sz w:val="24"/>
        </w:rPr>
      </w:pPr>
      <w:r>
        <w:rPr>
          <w:rFonts w:hint="eastAsia"/>
          <w:sz w:val="24"/>
        </w:rPr>
        <w:t>#3.13 数据补偿：自动矩阵补偿和手动矩阵补偿，具备补偿数据库功能，可以存储多色</w:t>
      </w:r>
    </w:p>
    <w:p w14:paraId="1C1100B6">
      <w:pPr>
        <w:spacing w:line="360" w:lineRule="auto"/>
        <w:rPr>
          <w:sz w:val="24"/>
        </w:rPr>
      </w:pPr>
      <w:r>
        <w:rPr>
          <w:rFonts w:hint="eastAsia"/>
          <w:sz w:val="24"/>
        </w:rPr>
        <w:t>实验中荧光染料的溢出值并任意调节（需提供加盖设备制造商公章的官网截图或彩页或检测报告等相关证明材料）。</w:t>
      </w:r>
    </w:p>
    <w:p w14:paraId="53550A9A">
      <w:pPr>
        <w:spacing w:line="360" w:lineRule="auto"/>
        <w:rPr>
          <w:sz w:val="24"/>
        </w:rPr>
      </w:pPr>
      <w:r>
        <w:rPr>
          <w:rFonts w:hint="eastAsia"/>
          <w:sz w:val="24"/>
        </w:rPr>
        <w:t>3.14 仪器质控：内置质控程序，通过质控能自动检测仪器配置、激光器功率、激光延迟、每个通道的CV值、增益值和平均荧光强度。</w:t>
      </w:r>
    </w:p>
    <w:p w14:paraId="0084908A">
      <w:pPr>
        <w:spacing w:line="360" w:lineRule="auto"/>
        <w:rPr>
          <w:sz w:val="24"/>
        </w:rPr>
      </w:pPr>
      <w:r>
        <w:rPr>
          <w:rFonts w:hint="eastAsia"/>
          <w:sz w:val="24"/>
        </w:rPr>
        <w:t xml:space="preserve">#3.15 软件：配套功能完备的流式软件用于控制仪器运行、实验数据收集以及结果分析，软件具有多种安全防护等级安装方式，可独立安装于任何PC终端用于数据分析，终身免费升级（需提供加盖设备制造商公章的官网截图或彩页或检测报告等相关证明材料）。 </w:t>
      </w:r>
    </w:p>
    <w:p w14:paraId="78A9A265">
      <w:pPr>
        <w:spacing w:line="360" w:lineRule="auto"/>
        <w:rPr>
          <w:sz w:val="24"/>
        </w:rPr>
      </w:pPr>
      <w:r>
        <w:rPr>
          <w:rFonts w:hint="eastAsia"/>
          <w:sz w:val="24"/>
        </w:rPr>
        <w:t>3.16 细胞观察系统：</w:t>
      </w:r>
    </w:p>
    <w:p w14:paraId="1EC7F99A">
      <w:pPr>
        <w:spacing w:line="360" w:lineRule="auto"/>
        <w:ind w:firstLine="218" w:firstLineChars="91"/>
        <w:rPr>
          <w:sz w:val="24"/>
        </w:rPr>
      </w:pPr>
      <w:r>
        <w:rPr>
          <w:rFonts w:hint="eastAsia"/>
          <w:sz w:val="24"/>
        </w:rPr>
        <w:t>3.16.1 芯片面积：≥35 mm×23 mm，真实物理分辨率≥2300万。</w:t>
      </w:r>
    </w:p>
    <w:p w14:paraId="78BF402A">
      <w:pPr>
        <w:spacing w:line="360" w:lineRule="auto"/>
        <w:ind w:firstLine="218" w:firstLineChars="91"/>
        <w:rPr>
          <w:sz w:val="24"/>
        </w:rPr>
      </w:pPr>
      <w:r>
        <w:rPr>
          <w:rFonts w:hint="eastAsia"/>
          <w:sz w:val="24"/>
        </w:rPr>
        <w:t>3.16.2 像素面积：≥5.9×5.9μm。</w:t>
      </w:r>
    </w:p>
    <w:p w14:paraId="5C0D8670">
      <w:pPr>
        <w:spacing w:line="360" w:lineRule="auto"/>
        <w:ind w:firstLine="218" w:firstLineChars="91"/>
        <w:rPr>
          <w:sz w:val="24"/>
        </w:rPr>
      </w:pPr>
      <w:r>
        <w:rPr>
          <w:rFonts w:hint="eastAsia"/>
          <w:sz w:val="24"/>
        </w:rPr>
        <w:t>3.16.3 图像分辨率：≥6000×3900。</w:t>
      </w:r>
    </w:p>
    <w:p w14:paraId="0DEB6835">
      <w:pPr>
        <w:spacing w:line="360" w:lineRule="auto"/>
        <w:ind w:firstLine="218" w:firstLineChars="91"/>
        <w:rPr>
          <w:sz w:val="24"/>
        </w:rPr>
      </w:pPr>
      <w:r>
        <w:rPr>
          <w:rFonts w:hint="eastAsia"/>
          <w:sz w:val="24"/>
        </w:rPr>
        <w:t>3.16.4 图像采集速度：全像素6000×390≥9帧/秒；2000×1328≥55帧/秒。</w:t>
      </w:r>
    </w:p>
    <w:p w14:paraId="1B0973DA">
      <w:pPr>
        <w:spacing w:line="360" w:lineRule="auto"/>
        <w:ind w:firstLine="218" w:firstLineChars="91"/>
        <w:rPr>
          <w:sz w:val="24"/>
        </w:rPr>
      </w:pPr>
      <w:r>
        <w:rPr>
          <w:rFonts w:hint="eastAsia"/>
          <w:sz w:val="24"/>
        </w:rPr>
        <w:t>3.16.5 曝光时间：0.1毫秒至120秒。</w:t>
      </w:r>
    </w:p>
    <w:p w14:paraId="54AE2752">
      <w:pPr>
        <w:spacing w:line="360" w:lineRule="auto"/>
        <w:ind w:firstLine="218" w:firstLineChars="91"/>
        <w:rPr>
          <w:sz w:val="24"/>
        </w:rPr>
      </w:pPr>
      <w:r>
        <w:rPr>
          <w:rFonts w:hint="eastAsia"/>
          <w:sz w:val="24"/>
        </w:rPr>
        <w:t>3.16.6 曝光控制：一键自动曝光，连续自动曝光，手动曝光。</w:t>
      </w:r>
    </w:p>
    <w:p w14:paraId="38274650">
      <w:pPr>
        <w:spacing w:line="360" w:lineRule="auto"/>
        <w:ind w:firstLine="218" w:firstLineChars="91"/>
        <w:rPr>
          <w:sz w:val="24"/>
        </w:rPr>
      </w:pPr>
      <w:r>
        <w:rPr>
          <w:rFonts w:hint="eastAsia"/>
          <w:sz w:val="24"/>
        </w:rPr>
        <w:t>3.16.7 图像采集模式：彩色及黑白双模式。</w:t>
      </w:r>
    </w:p>
    <w:p w14:paraId="55C13684">
      <w:pPr>
        <w:spacing w:line="360" w:lineRule="auto"/>
        <w:rPr>
          <w:sz w:val="24"/>
        </w:rPr>
      </w:pPr>
    </w:p>
    <w:p w14:paraId="70553C6B">
      <w:pPr>
        <w:numPr>
          <w:ilvl w:val="0"/>
          <w:numId w:val="2"/>
        </w:numPr>
        <w:spacing w:line="360" w:lineRule="auto"/>
        <w:rPr>
          <w:b/>
          <w:sz w:val="24"/>
        </w:rPr>
      </w:pPr>
      <w:r>
        <w:rPr>
          <w:rFonts w:hint="eastAsia"/>
          <w:b/>
          <w:sz w:val="24"/>
        </w:rPr>
        <w:t>产品配置要求</w:t>
      </w:r>
    </w:p>
    <w:p w14:paraId="10FBC63E">
      <w:pPr>
        <w:spacing w:line="360" w:lineRule="auto"/>
        <w:rPr>
          <w:sz w:val="24"/>
        </w:rPr>
      </w:pPr>
      <w:r>
        <w:rPr>
          <w:rFonts w:hint="eastAsia"/>
          <w:sz w:val="24"/>
        </w:rPr>
        <w:t>4.1 流式细胞仪主机（含3个激光器）       1台；</w:t>
      </w:r>
    </w:p>
    <w:p w14:paraId="25F0E542">
      <w:pPr>
        <w:spacing w:line="360" w:lineRule="auto"/>
        <w:rPr>
          <w:sz w:val="24"/>
        </w:rPr>
      </w:pPr>
      <w:r>
        <w:rPr>
          <w:rFonts w:hint="eastAsia"/>
          <w:sz w:val="24"/>
        </w:rPr>
        <w:t>4.2 数据采集及分析软件                   1套；</w:t>
      </w:r>
    </w:p>
    <w:p w14:paraId="2597D950">
      <w:pPr>
        <w:spacing w:line="360" w:lineRule="auto"/>
        <w:rPr>
          <w:sz w:val="24"/>
        </w:rPr>
      </w:pPr>
      <w:r>
        <w:rPr>
          <w:rFonts w:hint="eastAsia"/>
          <w:sz w:val="24"/>
        </w:rPr>
        <w:t>4.3 鞘液桶、废液桶及容器座               1套；</w:t>
      </w:r>
    </w:p>
    <w:p w14:paraId="4D789EB7">
      <w:pPr>
        <w:spacing w:line="360" w:lineRule="auto"/>
        <w:rPr>
          <w:sz w:val="24"/>
        </w:rPr>
      </w:pPr>
      <w:r>
        <w:rPr>
          <w:rFonts w:hint="eastAsia"/>
          <w:sz w:val="24"/>
        </w:rPr>
        <w:t>4.4 工作站                               1套；</w:t>
      </w:r>
    </w:p>
    <w:p w14:paraId="276DA55A">
      <w:pPr>
        <w:spacing w:line="360" w:lineRule="auto"/>
        <w:rPr>
          <w:sz w:val="24"/>
        </w:rPr>
      </w:pPr>
      <w:r>
        <w:rPr>
          <w:rFonts w:hint="eastAsia"/>
          <w:sz w:val="24"/>
        </w:rPr>
        <w:t>（主机配置不低于CPU: Intel i5 @ 2.9 GHz，RAM: 8GB，Storage: 1TB，液晶显示器≥23寸）</w:t>
      </w:r>
    </w:p>
    <w:p w14:paraId="346D437D">
      <w:pPr>
        <w:spacing w:line="360" w:lineRule="auto"/>
        <w:rPr>
          <w:sz w:val="24"/>
        </w:rPr>
      </w:pPr>
      <w:r>
        <w:rPr>
          <w:rFonts w:hint="eastAsia"/>
          <w:sz w:val="24"/>
        </w:rPr>
        <w:t>4.5 配套细胞观察系统               1套；</w:t>
      </w:r>
    </w:p>
    <w:p w14:paraId="5EC2EB6C">
      <w:pPr>
        <w:spacing w:line="360" w:lineRule="auto"/>
        <w:rPr>
          <w:sz w:val="24"/>
        </w:rPr>
      </w:pPr>
      <w:r>
        <w:rPr>
          <w:rFonts w:hint="eastAsia"/>
          <w:sz w:val="24"/>
        </w:rPr>
        <w:t>4.6 装机试剂（含鞘液、清洗液、质控微球） 1套。</w:t>
      </w:r>
    </w:p>
    <w:p w14:paraId="76CE8657">
      <w:pPr>
        <w:spacing w:line="360" w:lineRule="auto"/>
        <w:rPr>
          <w:sz w:val="24"/>
        </w:rPr>
      </w:pPr>
    </w:p>
    <w:p w14:paraId="6C04BE53">
      <w:pPr>
        <w:jc w:val="center"/>
        <w:rPr>
          <w:b/>
          <w:sz w:val="24"/>
        </w:rPr>
      </w:pPr>
      <w:r>
        <w:rPr>
          <w:rFonts w:hint="eastAsia"/>
          <w:b/>
          <w:sz w:val="24"/>
        </w:rPr>
        <w:t>品目二 实时荧光定量PCR系统</w:t>
      </w:r>
    </w:p>
    <w:p w14:paraId="0D0666C6">
      <w:pPr>
        <w:rPr>
          <w:b/>
          <w:sz w:val="24"/>
        </w:rPr>
      </w:pPr>
    </w:p>
    <w:p w14:paraId="49A16DB4">
      <w:pPr>
        <w:numPr>
          <w:ilvl w:val="0"/>
          <w:numId w:val="3"/>
        </w:numPr>
        <w:spacing w:line="360" w:lineRule="auto"/>
        <w:rPr>
          <w:b/>
          <w:sz w:val="24"/>
        </w:rPr>
      </w:pPr>
      <w:r>
        <w:rPr>
          <w:rFonts w:hint="eastAsia"/>
          <w:b/>
          <w:sz w:val="24"/>
        </w:rPr>
        <w:t>技术要求：</w:t>
      </w:r>
    </w:p>
    <w:p w14:paraId="50FA7FEF">
      <w:pPr>
        <w:numPr>
          <w:ilvl w:val="0"/>
          <w:numId w:val="4"/>
        </w:numPr>
        <w:spacing w:line="360" w:lineRule="auto"/>
        <w:rPr>
          <w:b/>
          <w:sz w:val="24"/>
        </w:rPr>
      </w:pPr>
      <w:r>
        <w:rPr>
          <w:rFonts w:hint="eastAsia"/>
          <w:b/>
          <w:sz w:val="24"/>
        </w:rPr>
        <w:t>工作条件：</w:t>
      </w:r>
    </w:p>
    <w:p w14:paraId="350AE318">
      <w:pPr>
        <w:spacing w:line="360" w:lineRule="auto"/>
        <w:rPr>
          <w:sz w:val="24"/>
        </w:rPr>
      </w:pPr>
      <w:r>
        <w:rPr>
          <w:sz w:val="24"/>
        </w:rPr>
        <w:t>1.1 环境温度：</w:t>
      </w:r>
      <w:r>
        <w:rPr>
          <w:rFonts w:hint="eastAsia"/>
          <w:sz w:val="24"/>
        </w:rPr>
        <w:t>15-30</w:t>
      </w:r>
      <w:r>
        <w:rPr>
          <w:sz w:val="24"/>
        </w:rPr>
        <w:t>℃。</w:t>
      </w:r>
    </w:p>
    <w:p w14:paraId="7DB6DF70">
      <w:pPr>
        <w:spacing w:line="360" w:lineRule="auto"/>
        <w:rPr>
          <w:sz w:val="24"/>
        </w:rPr>
      </w:pPr>
      <w:r>
        <w:rPr>
          <w:sz w:val="24"/>
        </w:rPr>
        <w:t>1.2 相对湿度：</w:t>
      </w:r>
      <w:r>
        <w:rPr>
          <w:rFonts w:hint="eastAsia"/>
          <w:sz w:val="24"/>
        </w:rPr>
        <w:t>≤80%（非冷凝）。</w:t>
      </w:r>
    </w:p>
    <w:p w14:paraId="6BA6D614">
      <w:pPr>
        <w:spacing w:line="360" w:lineRule="auto"/>
        <w:rPr>
          <w:sz w:val="24"/>
        </w:rPr>
      </w:pPr>
      <w:r>
        <w:rPr>
          <w:sz w:val="24"/>
        </w:rPr>
        <w:t>1.3 使用电源：220V±10V，AC50/60Hz。</w:t>
      </w:r>
    </w:p>
    <w:p w14:paraId="7A6FA9FC">
      <w:pPr>
        <w:spacing w:line="360" w:lineRule="auto"/>
        <w:rPr>
          <w:sz w:val="24"/>
        </w:rPr>
      </w:pPr>
    </w:p>
    <w:p w14:paraId="28D917F8">
      <w:pPr>
        <w:numPr>
          <w:ilvl w:val="0"/>
          <w:numId w:val="4"/>
        </w:numPr>
        <w:spacing w:line="360" w:lineRule="auto"/>
        <w:rPr>
          <w:b/>
          <w:sz w:val="24"/>
        </w:rPr>
      </w:pPr>
      <w:r>
        <w:rPr>
          <w:rFonts w:hint="eastAsia"/>
          <w:b/>
          <w:sz w:val="24"/>
        </w:rPr>
        <w:t>设备用途：</w:t>
      </w:r>
    </w:p>
    <w:p w14:paraId="2B793C78">
      <w:pPr>
        <w:spacing w:line="360" w:lineRule="auto"/>
        <w:rPr>
          <w:sz w:val="24"/>
        </w:rPr>
      </w:pPr>
      <w:r>
        <w:rPr>
          <w:rFonts w:hint="eastAsia"/>
          <w:sz w:val="24"/>
        </w:rPr>
        <w:t>2.1 主要用于基因表达分析，如复苏相关基因：可用于检测与复苏相关的基因表达变化，如脱水保护蛋白、抗氧化酶等，帮助理解复苏机制。</w:t>
      </w:r>
    </w:p>
    <w:p w14:paraId="651183FC">
      <w:pPr>
        <w:spacing w:line="360" w:lineRule="auto"/>
        <w:rPr>
          <w:sz w:val="24"/>
        </w:rPr>
      </w:pPr>
    </w:p>
    <w:p w14:paraId="6C0143D2">
      <w:pPr>
        <w:numPr>
          <w:ilvl w:val="0"/>
          <w:numId w:val="4"/>
        </w:numPr>
        <w:spacing w:line="360" w:lineRule="auto"/>
        <w:rPr>
          <w:b/>
          <w:sz w:val="24"/>
        </w:rPr>
      </w:pPr>
      <w:r>
        <w:rPr>
          <w:rFonts w:hint="eastAsia"/>
          <w:b/>
          <w:sz w:val="24"/>
        </w:rPr>
        <w:t>技术规格：</w:t>
      </w:r>
    </w:p>
    <w:p w14:paraId="0793B100">
      <w:pPr>
        <w:spacing w:line="360" w:lineRule="auto"/>
        <w:rPr>
          <w:sz w:val="24"/>
        </w:rPr>
      </w:pPr>
      <w:r>
        <w:rPr>
          <w:rFonts w:hint="eastAsia"/>
          <w:sz w:val="24"/>
        </w:rPr>
        <w:t>★3.1通量： ≥96孔。</w:t>
      </w:r>
    </w:p>
    <w:p w14:paraId="47F9FB15">
      <w:pPr>
        <w:spacing w:line="360" w:lineRule="auto"/>
        <w:rPr>
          <w:sz w:val="24"/>
        </w:rPr>
      </w:pPr>
      <w:r>
        <w:rPr>
          <w:rFonts w:hint="eastAsia"/>
          <w:sz w:val="24"/>
        </w:rPr>
        <w:t>#3.2通道数：至少具有6色激发光通道和6色检测光通道，可自由组合实现检测染料种类数≥21种，用于进行多重分析。</w:t>
      </w:r>
    </w:p>
    <w:p w14:paraId="5C22234D">
      <w:pPr>
        <w:spacing w:line="360" w:lineRule="auto"/>
        <w:rPr>
          <w:sz w:val="24"/>
        </w:rPr>
      </w:pPr>
      <w:r>
        <w:rPr>
          <w:rFonts w:hint="eastAsia"/>
          <w:sz w:val="24"/>
        </w:rPr>
        <w:t>#3.3带“动态温度”梯度功能，加热模块具有至少6个独立数码控温模块组成，每个控温模块可独立手工精确设置运行温度；同一个板上可同时进行6个不同运行温度的PCR检测，相邻两个模块之间的温度差可达5℃，每个温度孵育时间相同。</w:t>
      </w:r>
    </w:p>
    <w:p w14:paraId="24B1368A">
      <w:pPr>
        <w:spacing w:line="360" w:lineRule="auto"/>
        <w:rPr>
          <w:sz w:val="24"/>
        </w:rPr>
      </w:pPr>
      <w:r>
        <w:rPr>
          <w:rFonts w:hint="eastAsia"/>
          <w:sz w:val="24"/>
        </w:rPr>
        <w:t>★3.4试剂开放，各种国产及进口试剂均适用。</w:t>
      </w:r>
    </w:p>
    <w:p w14:paraId="3D85FF62">
      <w:pPr>
        <w:spacing w:line="360" w:lineRule="auto"/>
        <w:rPr>
          <w:sz w:val="24"/>
        </w:rPr>
      </w:pPr>
      <w:r>
        <w:rPr>
          <w:rFonts w:hint="eastAsia"/>
          <w:sz w:val="24"/>
        </w:rPr>
        <w:t>3.5耗材开放，可使用0.2mL单管、八联管、96孔板等。</w:t>
      </w:r>
    </w:p>
    <w:p w14:paraId="58A335BB">
      <w:pPr>
        <w:spacing w:line="360" w:lineRule="auto"/>
        <w:rPr>
          <w:sz w:val="24"/>
        </w:rPr>
      </w:pPr>
      <w:r>
        <w:rPr>
          <w:rFonts w:hint="eastAsia"/>
          <w:sz w:val="24"/>
        </w:rPr>
        <w:t>3.6 主机具有触摸屏，可独立运行，离线操作，无需连接电脑即可实时监控PCR荧光扩增曲线。</w:t>
      </w:r>
    </w:p>
    <w:p w14:paraId="08512CB1">
      <w:pPr>
        <w:spacing w:line="360" w:lineRule="auto"/>
        <w:rPr>
          <w:sz w:val="24"/>
        </w:rPr>
      </w:pPr>
      <w:r>
        <w:rPr>
          <w:rFonts w:hint="eastAsia"/>
          <w:sz w:val="24"/>
        </w:rPr>
        <w:t>3.7主机自带存储功能，在供电或网络中断时可备份还原超过2000次的定量运行文件。</w:t>
      </w:r>
    </w:p>
    <w:p w14:paraId="2D2C290A">
      <w:pPr>
        <w:spacing w:line="360" w:lineRule="auto"/>
        <w:rPr>
          <w:sz w:val="24"/>
        </w:rPr>
      </w:pPr>
      <w:r>
        <w:rPr>
          <w:rFonts w:hint="eastAsia"/>
          <w:sz w:val="24"/>
        </w:rPr>
        <w:t>#3.8激发光源：高亮度白光半导体光源（工作寿命&gt;4年），6色激发滤光片，6色检测滤光片。</w:t>
      </w:r>
    </w:p>
    <w:p w14:paraId="122F3AF4">
      <w:pPr>
        <w:spacing w:line="360" w:lineRule="auto"/>
        <w:rPr>
          <w:sz w:val="24"/>
        </w:rPr>
      </w:pPr>
      <w:r>
        <w:rPr>
          <w:rFonts w:hint="eastAsia"/>
          <w:sz w:val="24"/>
        </w:rPr>
        <w:t>3.9检测系统：CCD或CMOS成像系统，所有孔同时采集荧光数据，不同检测孔之间没有时间差。</w:t>
      </w:r>
    </w:p>
    <w:p w14:paraId="38F55FB5">
      <w:pPr>
        <w:spacing w:line="360" w:lineRule="auto"/>
        <w:rPr>
          <w:sz w:val="24"/>
        </w:rPr>
      </w:pPr>
      <w:r>
        <w:rPr>
          <w:rFonts w:hint="eastAsia"/>
          <w:sz w:val="24"/>
        </w:rPr>
        <w:t>#3.10支持的荧光染料： FAM™，SYBR®，VIC®，JOE™，TET™，HEX™，TAMRA™，NED™，Texas Red®，Cy®3，ABY，JUN，LIZ™，Cy®5，Cy®5.5等。必须能同时检测并区分VIC荧光和TAMRA荧光（提供软件截图证明并加盖制造商公章）。</w:t>
      </w:r>
    </w:p>
    <w:p w14:paraId="38657E04">
      <w:pPr>
        <w:spacing w:line="360" w:lineRule="auto"/>
        <w:rPr>
          <w:sz w:val="24"/>
        </w:rPr>
      </w:pPr>
      <w:r>
        <w:rPr>
          <w:rFonts w:hint="eastAsia"/>
          <w:sz w:val="24"/>
        </w:rPr>
        <w:t>#3.11温控模块最高升温速率：至少6℃/秒。</w:t>
      </w:r>
    </w:p>
    <w:p w14:paraId="28A0426F">
      <w:pPr>
        <w:spacing w:line="360" w:lineRule="auto"/>
        <w:rPr>
          <w:sz w:val="24"/>
        </w:rPr>
      </w:pPr>
      <w:r>
        <w:rPr>
          <w:rFonts w:hint="eastAsia"/>
          <w:sz w:val="24"/>
        </w:rPr>
        <w:t>#3.12温控模块在实验运行前及实验运行后，均可保持4℃恒温，防止试剂常温降解。</w:t>
      </w:r>
    </w:p>
    <w:p w14:paraId="27217424">
      <w:pPr>
        <w:spacing w:line="360" w:lineRule="auto"/>
        <w:rPr>
          <w:sz w:val="24"/>
        </w:rPr>
      </w:pPr>
      <w:r>
        <w:rPr>
          <w:rFonts w:hint="eastAsia"/>
          <w:sz w:val="24"/>
        </w:rPr>
        <w:t>★3.13温控范围：4℃～99℃。</w:t>
      </w:r>
    </w:p>
    <w:p w14:paraId="49715E6C">
      <w:pPr>
        <w:spacing w:line="360" w:lineRule="auto"/>
        <w:rPr>
          <w:sz w:val="24"/>
        </w:rPr>
      </w:pPr>
      <w:r>
        <w:rPr>
          <w:rFonts w:hint="eastAsia"/>
          <w:sz w:val="24"/>
        </w:rPr>
        <w:t>3.14温度准确性：≤±0.25℃。</w:t>
      </w:r>
    </w:p>
    <w:p w14:paraId="1D402ACE">
      <w:pPr>
        <w:spacing w:line="360" w:lineRule="auto"/>
        <w:rPr>
          <w:sz w:val="24"/>
        </w:rPr>
      </w:pPr>
      <w:r>
        <w:rPr>
          <w:rFonts w:hint="eastAsia"/>
          <w:sz w:val="24"/>
        </w:rPr>
        <w:t>3.15温度均一性：≤±0.4℃。</w:t>
      </w:r>
    </w:p>
    <w:p w14:paraId="41B6E4F2">
      <w:pPr>
        <w:spacing w:line="360" w:lineRule="auto"/>
        <w:rPr>
          <w:sz w:val="24"/>
        </w:rPr>
      </w:pPr>
      <w:r>
        <w:rPr>
          <w:rFonts w:hint="eastAsia"/>
          <w:sz w:val="24"/>
        </w:rPr>
        <w:t>3.16灵敏度：单拷贝检测/反应体系。</w:t>
      </w:r>
    </w:p>
    <w:p w14:paraId="2079F607">
      <w:pPr>
        <w:spacing w:line="360" w:lineRule="auto"/>
        <w:rPr>
          <w:sz w:val="24"/>
        </w:rPr>
      </w:pPr>
      <w:r>
        <w:rPr>
          <w:rFonts w:hint="eastAsia"/>
          <w:sz w:val="24"/>
        </w:rPr>
        <w:t>3.17精密度：最低可分辨1.5倍拷贝数差异，置信度99.7%。</w:t>
      </w:r>
    </w:p>
    <w:p w14:paraId="01E0236B">
      <w:pPr>
        <w:spacing w:line="360" w:lineRule="auto"/>
        <w:rPr>
          <w:sz w:val="24"/>
        </w:rPr>
      </w:pPr>
      <w:r>
        <w:rPr>
          <w:rFonts w:hint="eastAsia"/>
          <w:sz w:val="24"/>
        </w:rPr>
        <w:t>3.18线性动态范围：10个数量级。</w:t>
      </w:r>
    </w:p>
    <w:p w14:paraId="0EBB6E2E">
      <w:pPr>
        <w:spacing w:line="360" w:lineRule="auto"/>
        <w:rPr>
          <w:sz w:val="24"/>
        </w:rPr>
      </w:pPr>
      <w:r>
        <w:rPr>
          <w:rFonts w:hint="eastAsia"/>
          <w:sz w:val="24"/>
        </w:rPr>
        <w:t>#3.19 高分辨熔解曲线分辨率：≤0.015℃（提供软件截图证明并加盖制造商公章）。</w:t>
      </w:r>
    </w:p>
    <w:p w14:paraId="477E97EE">
      <w:pPr>
        <w:spacing w:line="360" w:lineRule="auto"/>
        <w:rPr>
          <w:sz w:val="24"/>
        </w:rPr>
      </w:pPr>
      <w:r>
        <w:rPr>
          <w:rFonts w:hint="eastAsia"/>
          <w:sz w:val="24"/>
        </w:rPr>
        <w:t>#3.20提供仪器制造商正版的引物与探针设计软件，可进行Taqman、TaqmanMGB等常用探针的设计和自动测评。</w:t>
      </w:r>
    </w:p>
    <w:p w14:paraId="5E975F4C">
      <w:pPr>
        <w:spacing w:line="360" w:lineRule="auto"/>
        <w:rPr>
          <w:sz w:val="24"/>
        </w:rPr>
      </w:pPr>
      <w:r>
        <w:rPr>
          <w:rFonts w:hint="eastAsia"/>
          <w:sz w:val="24"/>
        </w:rPr>
        <w:t>3.21具有USB、Wifi和云服务平台接口，可单机运行，可连接电脑运行，或通过云服务平台运行，使用户可以通过连接主机的电脑分析实验数据，也可以直接登录网络浏览器，在办公室实时查看和分析实验数据。</w:t>
      </w:r>
    </w:p>
    <w:p w14:paraId="702FDEA4">
      <w:pPr>
        <w:spacing w:line="360" w:lineRule="auto"/>
        <w:rPr>
          <w:sz w:val="24"/>
        </w:rPr>
      </w:pPr>
      <w:r>
        <w:rPr>
          <w:rFonts w:hint="eastAsia"/>
          <w:sz w:val="24"/>
        </w:rPr>
        <w:t>3.22 软件功能：</w:t>
      </w:r>
    </w:p>
    <w:p w14:paraId="777D3954">
      <w:pPr>
        <w:spacing w:line="360" w:lineRule="auto"/>
        <w:ind w:firstLine="420" w:firstLineChars="175"/>
        <w:rPr>
          <w:sz w:val="24"/>
        </w:rPr>
      </w:pPr>
      <w:r>
        <w:rPr>
          <w:rFonts w:hint="eastAsia"/>
          <w:sz w:val="24"/>
        </w:rPr>
        <w:t>3.22.1具有标准曲线的绝对定量分析功能。</w:t>
      </w:r>
    </w:p>
    <w:p w14:paraId="1A0D402E">
      <w:pPr>
        <w:spacing w:line="360" w:lineRule="auto"/>
        <w:ind w:firstLine="420" w:firstLineChars="175"/>
        <w:rPr>
          <w:sz w:val="24"/>
        </w:rPr>
      </w:pPr>
      <w:r>
        <w:rPr>
          <w:rFonts w:hint="eastAsia"/>
          <w:sz w:val="24"/>
        </w:rPr>
        <w:t>3.22.2相对标准曲线分析功能。</w:t>
      </w:r>
    </w:p>
    <w:p w14:paraId="0963F783">
      <w:pPr>
        <w:spacing w:line="360" w:lineRule="auto"/>
        <w:ind w:firstLine="420" w:firstLineChars="175"/>
        <w:rPr>
          <w:sz w:val="24"/>
        </w:rPr>
      </w:pPr>
      <w:r>
        <w:rPr>
          <w:rFonts w:hint="eastAsia"/>
          <w:sz w:val="24"/>
        </w:rPr>
        <w:t>3.22.3具有比较Ct值的相对定量分析功能。</w:t>
      </w:r>
    </w:p>
    <w:p w14:paraId="5B1B050D">
      <w:pPr>
        <w:spacing w:line="360" w:lineRule="auto"/>
        <w:ind w:firstLine="420" w:firstLineChars="175"/>
        <w:rPr>
          <w:sz w:val="24"/>
        </w:rPr>
      </w:pPr>
      <w:r>
        <w:rPr>
          <w:rFonts w:hint="eastAsia"/>
          <w:sz w:val="24"/>
        </w:rPr>
        <w:t>3.22.4融解曲线分析功能。</w:t>
      </w:r>
    </w:p>
    <w:p w14:paraId="369DA0DC">
      <w:pPr>
        <w:spacing w:line="360" w:lineRule="auto"/>
        <w:ind w:firstLine="420" w:firstLineChars="175"/>
        <w:rPr>
          <w:sz w:val="24"/>
        </w:rPr>
      </w:pPr>
      <w:r>
        <w:rPr>
          <w:rFonts w:hint="eastAsia"/>
          <w:sz w:val="24"/>
        </w:rPr>
        <w:t>3.22.5存在/不存在分析功能。</w:t>
      </w:r>
    </w:p>
    <w:p w14:paraId="5830E94B">
      <w:pPr>
        <w:spacing w:line="360" w:lineRule="auto"/>
        <w:ind w:firstLine="420" w:firstLineChars="175"/>
        <w:rPr>
          <w:sz w:val="24"/>
        </w:rPr>
      </w:pPr>
      <w:r>
        <w:rPr>
          <w:rFonts w:hint="eastAsia"/>
          <w:sz w:val="24"/>
        </w:rPr>
        <w:t>3.22.6实时扩增的基因分型功能。</w:t>
      </w:r>
    </w:p>
    <w:p w14:paraId="6772C620">
      <w:pPr>
        <w:spacing w:line="360" w:lineRule="auto"/>
        <w:ind w:firstLine="420" w:firstLineChars="175"/>
        <w:rPr>
          <w:sz w:val="24"/>
        </w:rPr>
      </w:pPr>
      <w:r>
        <w:rPr>
          <w:rFonts w:hint="eastAsia"/>
          <w:sz w:val="24"/>
        </w:rPr>
        <w:t>3.22.7基于荧光定量PCR的microRNA分析功能。</w:t>
      </w:r>
    </w:p>
    <w:p w14:paraId="39279856">
      <w:pPr>
        <w:spacing w:line="360" w:lineRule="auto"/>
        <w:rPr>
          <w:sz w:val="24"/>
        </w:rPr>
      </w:pPr>
    </w:p>
    <w:p w14:paraId="3F0BE57F">
      <w:pPr>
        <w:numPr>
          <w:ilvl w:val="0"/>
          <w:numId w:val="4"/>
        </w:numPr>
        <w:spacing w:line="360" w:lineRule="auto"/>
        <w:rPr>
          <w:b/>
          <w:sz w:val="24"/>
        </w:rPr>
      </w:pPr>
      <w:r>
        <w:rPr>
          <w:rFonts w:hint="eastAsia"/>
          <w:b/>
          <w:sz w:val="24"/>
        </w:rPr>
        <w:t>产品配置要求</w:t>
      </w:r>
    </w:p>
    <w:p w14:paraId="46701333">
      <w:pPr>
        <w:spacing w:line="360" w:lineRule="auto"/>
        <w:rPr>
          <w:sz w:val="24"/>
        </w:rPr>
      </w:pPr>
      <w:r>
        <w:rPr>
          <w:rFonts w:hint="eastAsia"/>
          <w:sz w:val="24"/>
        </w:rPr>
        <w:t>4.1系统主机           1套；</w:t>
      </w:r>
    </w:p>
    <w:p w14:paraId="549D721A">
      <w:pPr>
        <w:spacing w:line="360" w:lineRule="auto"/>
        <w:rPr>
          <w:sz w:val="24"/>
        </w:rPr>
      </w:pPr>
      <w:r>
        <w:rPr>
          <w:rFonts w:hint="eastAsia"/>
          <w:sz w:val="24"/>
        </w:rPr>
        <w:t xml:space="preserve">4.2配套电脑           1套；                       </w:t>
      </w:r>
    </w:p>
    <w:p w14:paraId="372F42D6">
      <w:pPr>
        <w:spacing w:line="360" w:lineRule="auto"/>
        <w:rPr>
          <w:sz w:val="24"/>
        </w:rPr>
      </w:pPr>
      <w:r>
        <w:rPr>
          <w:rFonts w:hint="eastAsia"/>
          <w:sz w:val="24"/>
        </w:rPr>
        <w:t xml:space="preserve">（ 英特尔® 酷睿TM 2双核Win7及以上英文操作系统、内存4GB以上、 SATA硬盘250 GB以上、带刻录光驱）                   </w:t>
      </w:r>
    </w:p>
    <w:p w14:paraId="2B23DB18">
      <w:pPr>
        <w:spacing w:line="360" w:lineRule="auto"/>
        <w:rPr>
          <w:sz w:val="24"/>
        </w:rPr>
      </w:pPr>
      <w:r>
        <w:rPr>
          <w:rFonts w:hint="eastAsia"/>
          <w:sz w:val="24"/>
        </w:rPr>
        <w:t>4.3装机验证试剂盒       1套；</w:t>
      </w:r>
    </w:p>
    <w:p w14:paraId="1998E8E9">
      <w:pPr>
        <w:spacing w:line="360" w:lineRule="auto"/>
        <w:rPr>
          <w:sz w:val="24"/>
        </w:rPr>
      </w:pPr>
      <w:r>
        <w:rPr>
          <w:rFonts w:hint="eastAsia"/>
          <w:sz w:val="24"/>
        </w:rPr>
        <w:t>4.4 定量PCR操作软件    1套。</w:t>
      </w:r>
    </w:p>
    <w:p w14:paraId="1A2BE72C">
      <w:pPr>
        <w:spacing w:line="360" w:lineRule="auto"/>
        <w:rPr>
          <w:b/>
          <w:sz w:val="24"/>
        </w:rPr>
      </w:pPr>
    </w:p>
    <w:p w14:paraId="21504320">
      <w:pPr>
        <w:spacing w:line="360" w:lineRule="auto"/>
        <w:rPr>
          <w:b/>
          <w:sz w:val="24"/>
        </w:rPr>
      </w:pPr>
      <w:r>
        <w:rPr>
          <w:rFonts w:hint="eastAsia"/>
          <w:b/>
          <w:sz w:val="24"/>
        </w:rPr>
        <w:t>（二）质保及售后服务：</w:t>
      </w:r>
    </w:p>
    <w:p w14:paraId="1F2BE8AF">
      <w:pPr>
        <w:spacing w:line="520" w:lineRule="exact"/>
        <w:rPr>
          <w:sz w:val="24"/>
        </w:rPr>
      </w:pPr>
      <w:r>
        <w:rPr>
          <w:sz w:val="24"/>
        </w:rPr>
        <w:t>1.1 设备安装调试：</w:t>
      </w:r>
      <w:r>
        <w:rPr>
          <w:rFonts w:hint="eastAsia"/>
          <w:sz w:val="24"/>
        </w:rPr>
        <w:t>设备到货30天内</w:t>
      </w:r>
      <w:r>
        <w:rPr>
          <w:sz w:val="24"/>
        </w:rPr>
        <w:t>卖方</w:t>
      </w:r>
      <w:r>
        <w:rPr>
          <w:rFonts w:hint="eastAsia"/>
          <w:sz w:val="24"/>
        </w:rPr>
        <w:t>完成</w:t>
      </w:r>
      <w:r>
        <w:rPr>
          <w:sz w:val="24"/>
        </w:rPr>
        <w:t>免费安装，调试服务。</w:t>
      </w:r>
    </w:p>
    <w:p w14:paraId="728A550B">
      <w:pPr>
        <w:spacing w:line="520" w:lineRule="exact"/>
        <w:rPr>
          <w:sz w:val="24"/>
        </w:rPr>
      </w:pPr>
      <w:r>
        <w:rPr>
          <w:sz w:val="24"/>
        </w:rPr>
        <w:t>1.2 技术培训：</w:t>
      </w:r>
    </w:p>
    <w:p w14:paraId="3FED6E2C">
      <w:pPr>
        <w:spacing w:line="520" w:lineRule="exact"/>
        <w:ind w:firstLine="480" w:firstLineChars="200"/>
        <w:rPr>
          <w:sz w:val="24"/>
        </w:rPr>
      </w:pPr>
      <w:r>
        <w:rPr>
          <w:sz w:val="24"/>
        </w:rPr>
        <w:t>（1）操作培训：货到后，卖方负责仪器的一次现场安装调试并达到合同指标要求的技术性能，并同时在现场提供一次基本原理, 必要的日常操作以及基本维护和安全常识等技术培训，使用户操作人员能更快更好地掌握仪器操作规范。</w:t>
      </w:r>
    </w:p>
    <w:p w14:paraId="12A86C79">
      <w:pPr>
        <w:spacing w:line="520" w:lineRule="exact"/>
        <w:ind w:firstLine="480" w:firstLineChars="200"/>
        <w:rPr>
          <w:sz w:val="24"/>
        </w:rPr>
      </w:pPr>
      <w:r>
        <w:rPr>
          <w:sz w:val="24"/>
        </w:rPr>
        <w:t>（2）技术培训：需提供至少2天的免费技术培训。培训人员不限</w:t>
      </w:r>
      <w:r>
        <w:rPr>
          <w:rFonts w:hint="eastAsia"/>
          <w:sz w:val="24"/>
        </w:rPr>
        <w:t>。</w:t>
      </w:r>
    </w:p>
    <w:p w14:paraId="6256134E">
      <w:pPr>
        <w:spacing w:line="520" w:lineRule="exact"/>
        <w:ind w:firstLine="480" w:firstLineChars="200"/>
        <w:rPr>
          <w:sz w:val="24"/>
        </w:rPr>
      </w:pPr>
      <w:r>
        <w:rPr>
          <w:sz w:val="24"/>
        </w:rPr>
        <w:t>（3）培训内容：包括仪器基本原理、仪器结构、使用流程、硬件操作、数据处理、维护保养及简单故障排除等，要求使用户人员能独立、熟练操作仪器。</w:t>
      </w:r>
    </w:p>
    <w:p w14:paraId="1B2F7DC4">
      <w:pPr>
        <w:spacing w:line="520" w:lineRule="exact"/>
        <w:ind w:firstLine="480" w:firstLineChars="200"/>
        <w:rPr>
          <w:sz w:val="24"/>
        </w:rPr>
      </w:pPr>
      <w:r>
        <w:rPr>
          <w:sz w:val="24"/>
        </w:rPr>
        <w:t>（4）培训地点：采购人指定地点。</w:t>
      </w:r>
    </w:p>
    <w:p w14:paraId="07F8874C">
      <w:pPr>
        <w:spacing w:line="520" w:lineRule="exact"/>
        <w:rPr>
          <w:sz w:val="24"/>
        </w:rPr>
      </w:pPr>
      <w:r>
        <w:rPr>
          <w:sz w:val="24"/>
        </w:rPr>
        <w:t>1.3 保修期：自验收合格之日一年。在保修期内，属产品质量问题所发生的一切费用由卖方负担。</w:t>
      </w:r>
    </w:p>
    <w:p w14:paraId="646B1FD6">
      <w:pPr>
        <w:spacing w:line="520" w:lineRule="exact"/>
        <w:rPr>
          <w:sz w:val="24"/>
        </w:rPr>
      </w:pPr>
      <w:r>
        <w:rPr>
          <w:sz w:val="24"/>
        </w:rPr>
        <w:t>1.4 维修响应时间：2小时内响应</w:t>
      </w:r>
      <w:r>
        <w:rPr>
          <w:rFonts w:hint="eastAsia"/>
          <w:sz w:val="24"/>
        </w:rPr>
        <w:t>，</w:t>
      </w:r>
      <w:r>
        <w:rPr>
          <w:sz w:val="24"/>
        </w:rPr>
        <w:t>24小时内到达现场解决问题</w:t>
      </w:r>
      <w:r>
        <w:rPr>
          <w:rFonts w:hint="eastAsia"/>
          <w:sz w:val="24"/>
        </w:rPr>
        <w:t>，</w:t>
      </w:r>
      <w:r>
        <w:rPr>
          <w:sz w:val="24"/>
        </w:rPr>
        <w:t>如问题不能解决，48小时内以合理的速度免费维修或更换有缺陷的货物或部件。</w:t>
      </w:r>
    </w:p>
    <w:p w14:paraId="7CB13B8A">
      <w:pPr>
        <w:spacing w:line="520" w:lineRule="exact"/>
        <w:rPr>
          <w:sz w:val="24"/>
        </w:rPr>
      </w:pPr>
      <w:r>
        <w:rPr>
          <w:sz w:val="24"/>
        </w:rPr>
        <w:t>1.5 软件升级：终身免费。</w:t>
      </w:r>
    </w:p>
    <w:p w14:paraId="3646256E">
      <w:pPr>
        <w:spacing w:line="360" w:lineRule="auto"/>
        <w:rPr>
          <w:b/>
          <w:sz w:val="24"/>
        </w:rPr>
      </w:pPr>
    </w:p>
    <w:p w14:paraId="3C16B006">
      <w:pPr>
        <w:spacing w:line="360" w:lineRule="auto"/>
        <w:rPr>
          <w:b/>
          <w:sz w:val="24"/>
        </w:rPr>
      </w:pPr>
      <w:r>
        <w:rPr>
          <w:rFonts w:hint="eastAsia"/>
          <w:b/>
          <w:sz w:val="24"/>
        </w:rPr>
        <w:t>（三） 订货数量：</w:t>
      </w:r>
    </w:p>
    <w:p w14:paraId="4D6B9F76">
      <w:pPr>
        <w:spacing w:line="360" w:lineRule="auto"/>
        <w:ind w:firstLine="420"/>
        <w:rPr>
          <w:sz w:val="24"/>
        </w:rPr>
      </w:pPr>
      <w:r>
        <w:rPr>
          <w:rFonts w:hint="eastAsia"/>
          <w:sz w:val="24"/>
        </w:rPr>
        <w:t xml:space="preserve">流式细胞仪   </w:t>
      </w:r>
      <w:r>
        <w:rPr>
          <w:rFonts w:hint="eastAsia"/>
          <w:sz w:val="24"/>
        </w:rPr>
        <w:tab/>
      </w:r>
      <w:r>
        <w:rPr>
          <w:rFonts w:hint="eastAsia"/>
          <w:sz w:val="24"/>
        </w:rPr>
        <w:t>1台。</w:t>
      </w:r>
    </w:p>
    <w:p w14:paraId="34D13E12">
      <w:pPr>
        <w:spacing w:line="360" w:lineRule="auto"/>
        <w:ind w:firstLine="420"/>
        <w:rPr>
          <w:sz w:val="24"/>
        </w:rPr>
      </w:pPr>
      <w:r>
        <w:rPr>
          <w:rFonts w:hint="eastAsia"/>
          <w:sz w:val="24"/>
        </w:rPr>
        <w:t>实时荧光定量PCR系统   1台。</w:t>
      </w:r>
    </w:p>
    <w:p w14:paraId="5A4707F6">
      <w:pPr>
        <w:spacing w:line="360" w:lineRule="auto"/>
        <w:rPr>
          <w:sz w:val="24"/>
        </w:rPr>
      </w:pPr>
    </w:p>
    <w:p w14:paraId="720956E2">
      <w:pPr>
        <w:spacing w:line="360" w:lineRule="auto"/>
        <w:rPr>
          <w:b/>
          <w:sz w:val="24"/>
        </w:rPr>
      </w:pPr>
      <w:r>
        <w:rPr>
          <w:rFonts w:hint="eastAsia"/>
          <w:b/>
          <w:sz w:val="24"/>
        </w:rPr>
        <w:t>（四）交货日期和交货地点（项目现场）：</w:t>
      </w:r>
    </w:p>
    <w:p w14:paraId="6B57193B">
      <w:pPr>
        <w:spacing w:line="360" w:lineRule="auto"/>
        <w:ind w:firstLine="480" w:firstLineChars="200"/>
        <w:rPr>
          <w:sz w:val="24"/>
        </w:rPr>
      </w:pPr>
      <w:r>
        <w:rPr>
          <w:rFonts w:hint="eastAsia"/>
          <w:bCs/>
          <w:sz w:val="24"/>
        </w:rPr>
        <w:t>合同签订后60天内，</w:t>
      </w:r>
      <w:r>
        <w:rPr>
          <w:rFonts w:hint="eastAsia"/>
          <w:sz w:val="24"/>
        </w:rPr>
        <w:t xml:space="preserve">交货至用户指定地点。  </w:t>
      </w:r>
    </w:p>
    <w:p w14:paraId="076FD377">
      <w:pPr>
        <w:spacing w:line="360" w:lineRule="auto"/>
        <w:rPr>
          <w:sz w:val="24"/>
        </w:rPr>
      </w:pPr>
    </w:p>
    <w:p w14:paraId="6810266A">
      <w:pPr>
        <w:spacing w:line="360" w:lineRule="auto"/>
        <w:rPr>
          <w:sz w:val="24"/>
        </w:rPr>
      </w:pPr>
      <w:r>
        <w:rPr>
          <w:rFonts w:hint="eastAsia"/>
          <w:b/>
          <w:bCs/>
          <w:sz w:val="24"/>
        </w:rPr>
        <w:t>（五）付款方式：</w:t>
      </w:r>
      <w:r>
        <w:rPr>
          <w:rFonts w:hint="eastAsia"/>
          <w:sz w:val="24"/>
        </w:rPr>
        <w:t xml:space="preserve">                                         </w:t>
      </w:r>
    </w:p>
    <w:p w14:paraId="4E9E9476">
      <w:pPr>
        <w:spacing w:line="360" w:lineRule="auto"/>
        <w:ind w:firstLine="480" w:firstLineChars="200"/>
        <w:rPr>
          <w:sz w:val="24"/>
        </w:rPr>
      </w:pPr>
      <w:r>
        <w:rPr>
          <w:rFonts w:hint="eastAsia"/>
          <w:sz w:val="24"/>
        </w:rPr>
        <w:t>国产产品，</w:t>
      </w:r>
      <w:r>
        <w:rPr>
          <w:sz w:val="24"/>
        </w:rPr>
        <w:t>100%</w:t>
      </w:r>
      <w:r>
        <w:rPr>
          <w:rFonts w:hint="eastAsia"/>
          <w:sz w:val="24"/>
        </w:rPr>
        <w:t>凭用户代表签字并加盖单位公章后的验收报告支付。</w:t>
      </w:r>
    </w:p>
    <w:p w14:paraId="34B2588C">
      <w:pPr>
        <w:spacing w:line="360" w:lineRule="auto"/>
        <w:ind w:firstLine="480" w:firstLineChars="200"/>
        <w:rPr>
          <w:sz w:val="24"/>
        </w:rPr>
      </w:pPr>
    </w:p>
    <w:p w14:paraId="38FBB8FE">
      <w:pPr>
        <w:spacing w:line="360" w:lineRule="auto"/>
        <w:rPr>
          <w:b/>
          <w:sz w:val="24"/>
        </w:rPr>
      </w:pPr>
      <w:r>
        <w:rPr>
          <w:rFonts w:hint="eastAsia"/>
          <w:b/>
          <w:sz w:val="24"/>
        </w:rPr>
        <w:t>（六）执行的相关标准</w:t>
      </w:r>
    </w:p>
    <w:p w14:paraId="2BF4C2B7">
      <w:pPr>
        <w:spacing w:line="360" w:lineRule="auto"/>
        <w:ind w:firstLine="480" w:firstLineChars="200"/>
        <w:rPr>
          <w:rFonts w:hint="eastAsia" w:ascii="宋体" w:hAnsi="宋体"/>
          <w:b/>
          <w:sz w:val="30"/>
          <w:szCs w:val="30"/>
        </w:rPr>
      </w:pPr>
      <w:r>
        <w:rPr>
          <w:rFonts w:hint="eastAsia" w:ascii="inherit" w:hAnsi="inherit" w:cs="宋体"/>
          <w:kern w:val="0"/>
          <w:sz w:val="24"/>
        </w:rPr>
        <w:t>产品应满足相关国家标准及行业标准。</w:t>
      </w:r>
    </w:p>
    <w:p w14:paraId="0F46F17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A3601"/>
    <w:multiLevelType w:val="multilevel"/>
    <w:tmpl w:val="920A3601"/>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A6A6750F"/>
    <w:multiLevelType w:val="singleLevel"/>
    <w:tmpl w:val="A6A6750F"/>
    <w:lvl w:ilvl="0" w:tentative="0">
      <w:start w:val="1"/>
      <w:numFmt w:val="chineseCounting"/>
      <w:suff w:val="nothing"/>
      <w:lvlText w:val="（%1）"/>
      <w:lvlJc w:val="left"/>
      <w:rPr>
        <w:rFonts w:hint="eastAsia"/>
      </w:rPr>
    </w:lvl>
  </w:abstractNum>
  <w:abstractNum w:abstractNumId="2">
    <w:nsid w:val="D785B104"/>
    <w:multiLevelType w:val="singleLevel"/>
    <w:tmpl w:val="D785B104"/>
    <w:lvl w:ilvl="0" w:tentative="0">
      <w:start w:val="1"/>
      <w:numFmt w:val="chineseCounting"/>
      <w:suff w:val="nothing"/>
      <w:lvlText w:val="（%1）"/>
      <w:lvlJc w:val="left"/>
      <w:rPr>
        <w:rFonts w:hint="eastAsia"/>
      </w:r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6161327"/>
    <w:rsid w:val="7D811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4303</Words>
  <Characters>4909</Characters>
  <Lines>0</Lines>
  <Paragraphs>0</Paragraphs>
  <TotalTime>0</TotalTime>
  <ScaleCrop>false</ScaleCrop>
  <LinksUpToDate>false</LinksUpToDate>
  <CharactersWithSpaces>5230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2025-07-09T09:43:00Z</dcterms:created>
  <dc:creator>yzjia</dc:creator>
  <cp:lastModifiedBy>清</cp:lastModifiedBy>
  <dcterms:modified xsi:type="dcterms:W3CDTF">2025-07-10T06:31:07Z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eyJoZGlkIjoiYzIzNjhjZjkxMjg2OGJjOTQ0NThhNzBhOGI4YTVmYWYiLCJ1c2VySWQiOiIyNDgyNzkwNjcifQ==</vt:lpwstr>
  </property>
  <property fmtid="{D5CDD505-2E9C-101B-9397-08002B2CF9AE}" pid="4" name="ICV">
    <vt:lpwstr>2F40100EA8CE4FD8B2FD1F57C8F2CA11_13</vt:lpwstr>
  </property>
</Properties>
</file>