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hint="eastAsia" w:ascii="宋体" w:hAnsi="宋体"/>
          <w:b/>
          <w:sz w:val="24"/>
        </w:rPr>
      </w:pPr>
      <w:bookmarkStart w:id="0" w:name="_GoBack"/>
      <w:bookmarkEnd w:id="0"/>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spacing w:before="936" w:beforeLines="300"/>
        <w:jc w:val="center"/>
        <w:rPr>
          <w:rFonts w:hint="eastAsia" w:ascii="黑体" w:eastAsia="黑体"/>
          <w:b/>
          <w:kern w:val="44"/>
          <w:sz w:val="48"/>
          <w:szCs w:val="20"/>
        </w:rPr>
      </w:pPr>
      <w:r>
        <w:rPr>
          <w:rFonts w:hint="eastAsia" w:ascii="黑体" w:eastAsia="黑体"/>
          <w:b/>
          <w:kern w:val="44"/>
          <w:sz w:val="48"/>
          <w:szCs w:val="20"/>
        </w:rPr>
        <w:t>第八部分  采购需求</w:t>
      </w:r>
      <w:r>
        <w:rPr>
          <w:rFonts w:ascii="黑体" w:eastAsia="黑体"/>
          <w:b/>
          <w:kern w:val="44"/>
          <w:sz w:val="48"/>
          <w:szCs w:val="20"/>
        </w:rPr>
        <w:br w:type="page"/>
      </w:r>
    </w:p>
    <w:p>
      <w:pPr>
        <w:numPr>
          <w:ilvl w:val="2"/>
          <w:numId w:val="1"/>
        </w:numPr>
        <w:adjustRightInd w:val="0"/>
        <w:snapToGrid w:val="0"/>
        <w:jc w:val="center"/>
        <w:rPr>
          <w:rFonts w:hint="eastAsia" w:ascii="宋体" w:hAnsi="宋体"/>
          <w:b/>
          <w:sz w:val="30"/>
          <w:szCs w:val="30"/>
        </w:rPr>
      </w:pPr>
      <w:r>
        <w:rPr>
          <w:rFonts w:hint="eastAsia" w:ascii="宋体" w:hAnsi="宋体"/>
          <w:b/>
          <w:sz w:val="30"/>
          <w:szCs w:val="30"/>
        </w:rPr>
        <w:t>货物需求一览表</w:t>
      </w:r>
    </w:p>
    <w:p>
      <w:pPr>
        <w:adjustRightInd w:val="0"/>
        <w:snapToGrid w:val="0"/>
        <w:jc w:val="center"/>
        <w:rPr>
          <w:rFonts w:hint="eastAsia" w:ascii="宋体" w:hAnsi="宋体"/>
          <w:b/>
          <w:sz w:val="30"/>
          <w:szCs w:val="30"/>
        </w:rPr>
      </w:pPr>
    </w:p>
    <w:tbl>
      <w:tblPr>
        <w:tblStyle w:val="3"/>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pPr>
              <w:jc w:val="center"/>
              <w:rPr>
                <w:rFonts w:ascii="宋体" w:hAnsi="Bookman Old Style"/>
                <w:sz w:val="24"/>
              </w:rPr>
            </w:pPr>
            <w:r>
              <w:rPr>
                <w:rFonts w:hint="eastAsia" w:ascii="宋体" w:hAnsi="Bookman Old Style"/>
                <w:sz w:val="24"/>
              </w:rPr>
              <w:t>包号</w:t>
            </w:r>
          </w:p>
        </w:tc>
        <w:tc>
          <w:tcPr>
            <w:tcW w:w="2640" w:type="dxa"/>
            <w:noWrap w:val="0"/>
            <w:vAlign w:val="center"/>
          </w:tcPr>
          <w:p>
            <w:pPr>
              <w:jc w:val="center"/>
              <w:rPr>
                <w:rFonts w:ascii="宋体" w:hAnsi="Bookman Old Style"/>
                <w:sz w:val="24"/>
              </w:rPr>
            </w:pPr>
            <w:r>
              <w:rPr>
                <w:rFonts w:hint="eastAsia" w:ascii="宋体" w:hAnsi="Bookman Old Style"/>
                <w:sz w:val="24"/>
              </w:rPr>
              <w:t>货物名称</w:t>
            </w:r>
          </w:p>
        </w:tc>
        <w:tc>
          <w:tcPr>
            <w:tcW w:w="635" w:type="dxa"/>
            <w:noWrap w:val="0"/>
            <w:vAlign w:val="center"/>
          </w:tcPr>
          <w:p>
            <w:pPr>
              <w:jc w:val="center"/>
              <w:rPr>
                <w:rFonts w:ascii="宋体" w:hAnsi="Bookman Old Style"/>
                <w:sz w:val="24"/>
              </w:rPr>
            </w:pPr>
            <w:r>
              <w:rPr>
                <w:rFonts w:hint="eastAsia" w:ascii="宋体" w:hAnsi="Bookman Old Style"/>
                <w:sz w:val="24"/>
              </w:rPr>
              <w:t>数量</w:t>
            </w:r>
          </w:p>
        </w:tc>
        <w:tc>
          <w:tcPr>
            <w:tcW w:w="1320" w:type="dxa"/>
            <w:noWrap w:val="0"/>
            <w:vAlign w:val="center"/>
          </w:tcPr>
          <w:p>
            <w:pPr>
              <w:jc w:val="center"/>
              <w:rPr>
                <w:rFonts w:ascii="宋体" w:hAnsi="Bookman Old Style"/>
                <w:sz w:val="24"/>
              </w:rPr>
            </w:pPr>
            <w:r>
              <w:rPr>
                <w:rFonts w:hint="eastAsia" w:ascii="宋体" w:hAnsi="Bookman Old Style"/>
                <w:sz w:val="24"/>
              </w:rPr>
              <w:t>交货期</w:t>
            </w:r>
          </w:p>
        </w:tc>
        <w:tc>
          <w:tcPr>
            <w:tcW w:w="1765" w:type="dxa"/>
            <w:noWrap w:val="0"/>
            <w:vAlign w:val="center"/>
          </w:tcPr>
          <w:p>
            <w:pPr>
              <w:jc w:val="center"/>
              <w:rPr>
                <w:rFonts w:hint="eastAsia" w:ascii="宋体" w:hAnsi="Bookman Old Style"/>
                <w:sz w:val="24"/>
              </w:rPr>
            </w:pPr>
            <w:r>
              <w:rPr>
                <w:rFonts w:hint="eastAsia" w:ascii="宋体" w:hAnsi="Bookman Old Style"/>
                <w:sz w:val="24"/>
              </w:rPr>
              <w:t>指定到货港</w:t>
            </w:r>
          </w:p>
        </w:tc>
        <w:tc>
          <w:tcPr>
            <w:tcW w:w="2520" w:type="dxa"/>
            <w:noWrap w:val="0"/>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hint="eastAsia" w:ascii="宋体"/>
                <w:sz w:val="24"/>
              </w:rPr>
            </w:pPr>
            <w:r>
              <w:rPr>
                <w:rFonts w:hint="eastAsia" w:ascii="宋体"/>
                <w:sz w:val="24"/>
              </w:rPr>
              <w:t>1</w:t>
            </w:r>
          </w:p>
        </w:tc>
        <w:tc>
          <w:tcPr>
            <w:tcW w:w="2640" w:type="dxa"/>
            <w:noWrap w:val="0"/>
            <w:vAlign w:val="center"/>
          </w:tcPr>
          <w:p>
            <w:pPr>
              <w:jc w:val="center"/>
              <w:rPr>
                <w:rFonts w:hint="eastAsia" w:ascii="Bookman Old Style" w:hAnsi="Bookman Old Style"/>
                <w:sz w:val="24"/>
              </w:rPr>
            </w:pPr>
            <w:r>
              <w:rPr>
                <w:rFonts w:hint="eastAsia" w:ascii="Bookman Old Style" w:hAnsi="Bookman Old Style"/>
                <w:sz w:val="24"/>
              </w:rPr>
              <w:t>电感耦合等离子体质谱仪</w:t>
            </w:r>
          </w:p>
        </w:tc>
        <w:tc>
          <w:tcPr>
            <w:tcW w:w="635" w:type="dxa"/>
            <w:noWrap w:val="0"/>
            <w:vAlign w:val="center"/>
          </w:tcPr>
          <w:p>
            <w:pPr>
              <w:jc w:val="center"/>
              <w:rPr>
                <w:rFonts w:ascii="宋体" w:hAnsi="Bookman Old Style"/>
                <w:sz w:val="24"/>
              </w:rPr>
            </w:pPr>
            <w:r>
              <w:rPr>
                <w:rFonts w:hint="eastAsia" w:ascii="宋体" w:hAnsi="Bookman Old Style"/>
                <w:sz w:val="24"/>
              </w:rPr>
              <w:t>1套</w:t>
            </w:r>
          </w:p>
        </w:tc>
        <w:tc>
          <w:tcPr>
            <w:tcW w:w="5605" w:type="dxa"/>
            <w:gridSpan w:val="3"/>
            <w:noWrap w:val="0"/>
            <w:vAlign w:val="center"/>
          </w:tcPr>
          <w:p>
            <w:pPr>
              <w:jc w:val="center"/>
              <w:rPr>
                <w:rFonts w:hint="eastAsia" w:ascii="宋体" w:hAnsi="Bookman Old Style"/>
                <w:sz w:val="24"/>
              </w:rPr>
            </w:pPr>
            <w:r>
              <w:rPr>
                <w:rFonts w:hint="eastAsia" w:ascii="宋体" w:hAnsi="Bookman Old Style"/>
                <w:sz w:val="24"/>
              </w:rPr>
              <w:t>详见具体技术规格</w:t>
            </w:r>
          </w:p>
        </w:tc>
      </w:tr>
    </w:tbl>
    <w:p>
      <w:pPr>
        <w:adjustRightInd w:val="0"/>
        <w:snapToGrid w:val="0"/>
        <w:jc w:val="center"/>
        <w:rPr>
          <w:rFonts w:hint="eastAsia" w:ascii="宋体" w:hAnsi="宋体"/>
          <w:b/>
          <w:sz w:val="30"/>
          <w:szCs w:val="30"/>
        </w:rPr>
      </w:pPr>
    </w:p>
    <w:p>
      <w:pPr>
        <w:adjustRightInd w:val="0"/>
        <w:snapToGrid w:val="0"/>
        <w:jc w:val="center"/>
        <w:rPr>
          <w:rFonts w:hint="eastAsia" w:ascii="宋体" w:hAnsi="宋体"/>
          <w:b/>
          <w:sz w:val="30"/>
          <w:szCs w:val="30"/>
        </w:rPr>
      </w:pPr>
    </w:p>
    <w:p>
      <w:pPr>
        <w:adjustRightInd w:val="0"/>
        <w:snapToGrid w:val="0"/>
        <w:jc w:val="center"/>
        <w:rPr>
          <w:rFonts w:hint="eastAsia" w:ascii="宋体" w:hAnsi="宋体"/>
          <w:b/>
          <w:sz w:val="30"/>
          <w:szCs w:val="30"/>
        </w:rPr>
      </w:pPr>
    </w:p>
    <w:p>
      <w:pPr>
        <w:rPr>
          <w:rFonts w:hint="eastAsia"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b/>
          <w:sz w:val="30"/>
          <w:szCs w:val="30"/>
        </w:rPr>
      </w:pPr>
      <w:r>
        <w:rPr>
          <w:rFonts w:ascii="宋体" w:hAnsi="宋体"/>
          <w:b/>
          <w:sz w:val="30"/>
          <w:szCs w:val="30"/>
        </w:rPr>
        <w:br w:type="page"/>
      </w:r>
    </w:p>
    <w:p>
      <w:pPr>
        <w:numPr>
          <w:ilvl w:val="2"/>
          <w:numId w:val="1"/>
        </w:numPr>
        <w:tabs>
          <w:tab w:val="left" w:pos="720"/>
          <w:tab w:val="clear" w:pos="1560"/>
        </w:tabs>
        <w:adjustRightInd w:val="0"/>
        <w:snapToGrid w:val="0"/>
        <w:ind w:hanging="1560"/>
        <w:jc w:val="center"/>
        <w:rPr>
          <w:rFonts w:ascii="宋体" w:hAnsi="宋体"/>
          <w:b/>
          <w:sz w:val="30"/>
          <w:szCs w:val="30"/>
        </w:rPr>
      </w:pPr>
      <w:r>
        <w:rPr>
          <w:rFonts w:hint="eastAsia" w:ascii="宋体" w:hAnsi="宋体"/>
          <w:b/>
          <w:sz w:val="30"/>
          <w:szCs w:val="30"/>
        </w:rPr>
        <w:t>总则</w:t>
      </w:r>
    </w:p>
    <w:p>
      <w:pPr>
        <w:spacing w:before="156" w:beforeLines="50" w:after="156" w:afterLines="50" w:line="360" w:lineRule="auto"/>
        <w:ind w:left="601" w:hanging="601"/>
        <w:rPr>
          <w:rFonts w:hint="eastAsia" w:ascii="宋体" w:hAnsi="宋体"/>
          <w:b/>
          <w:sz w:val="28"/>
        </w:rPr>
      </w:pPr>
      <w:r>
        <w:rPr>
          <w:rFonts w:hint="eastAsia" w:ascii="宋体" w:hAnsi="宋体"/>
          <w:b/>
          <w:sz w:val="28"/>
        </w:rPr>
        <w:t>1、工作条件</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1.1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pPr>
        <w:spacing w:line="360" w:lineRule="auto"/>
        <w:ind w:left="554" w:hanging="554" w:hangingChars="231"/>
        <w:rPr>
          <w:rFonts w:hint="eastAsia" w:ascii="宋体" w:hAnsi="宋体"/>
          <w:sz w:val="24"/>
        </w:rPr>
      </w:pPr>
      <w:r>
        <w:rPr>
          <w:rFonts w:hint="eastAsia" w:ascii="宋体" w:hAnsi="宋体"/>
          <w:sz w:val="24"/>
        </w:rPr>
        <w:t>1.2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pPr>
        <w:spacing w:line="360" w:lineRule="auto"/>
        <w:ind w:left="554" w:hanging="554" w:hangingChars="231"/>
        <w:rPr>
          <w:rFonts w:hint="eastAsia" w:ascii="宋体" w:hAnsi="宋体"/>
          <w:sz w:val="24"/>
        </w:rPr>
      </w:pPr>
      <w:r>
        <w:rPr>
          <w:rFonts w:hint="eastAsia" w:ascii="宋体" w:hAnsi="宋体"/>
          <w:sz w:val="24"/>
        </w:rPr>
        <w:t>1.3  配置符合中国有关标准要求的插头，如果没有这样的插头，则需</w:t>
      </w:r>
      <w:r>
        <w:rPr>
          <w:rFonts w:hint="eastAsia" w:ascii="宋体"/>
          <w:sz w:val="24"/>
        </w:rPr>
        <w:t>提供适当的转</w:t>
      </w:r>
      <w:r>
        <w:rPr>
          <w:rFonts w:hint="eastAsia" w:ascii="宋体" w:hAnsi="宋体"/>
          <w:sz w:val="24"/>
        </w:rPr>
        <w:t>换插座。</w:t>
      </w:r>
    </w:p>
    <w:p>
      <w:pPr>
        <w:spacing w:line="360" w:lineRule="auto"/>
        <w:ind w:left="554" w:hanging="554" w:hangingChars="231"/>
        <w:rPr>
          <w:rFonts w:hint="eastAsia" w:ascii="宋体" w:hAnsi="宋体"/>
          <w:sz w:val="24"/>
        </w:rPr>
      </w:pPr>
      <w:r>
        <w:rPr>
          <w:rFonts w:hint="eastAsia" w:ascii="宋体" w:hAnsi="宋体"/>
          <w:sz w:val="24"/>
        </w:rPr>
        <w:t>1.4  如产品达不到上述要求，投标人应注明其偏差。如仪器设备需要特殊工作条件（如水、电源、磁场强度、温度、湿度、动强度等）投标人应在投标书中加以说明。</w:t>
      </w:r>
    </w:p>
    <w:p>
      <w:pPr>
        <w:rPr>
          <w:rFonts w:hint="eastAsia" w:eastAsia="黑体"/>
          <w:b/>
          <w:bCs/>
          <w:kern w:val="44"/>
          <w:sz w:val="24"/>
        </w:rPr>
      </w:pPr>
    </w:p>
    <w:p>
      <w:pPr>
        <w:spacing w:before="156" w:beforeLines="50" w:after="156" w:afterLines="50" w:line="360" w:lineRule="auto"/>
        <w:ind w:left="601" w:hanging="601"/>
        <w:rPr>
          <w:rFonts w:hint="eastAsia" w:ascii="宋体" w:hAnsi="宋体"/>
          <w:b/>
          <w:sz w:val="28"/>
        </w:rPr>
      </w:pPr>
      <w:r>
        <w:rPr>
          <w:rFonts w:hint="eastAsia" w:ascii="宋体" w:hAnsi="宋体"/>
          <w:b/>
          <w:sz w:val="28"/>
        </w:rPr>
        <w:t>2、验收标准</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2.1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pPr>
        <w:spacing w:line="360" w:lineRule="auto"/>
        <w:ind w:left="554" w:hanging="554" w:hangingChars="231"/>
        <w:rPr>
          <w:rFonts w:hint="eastAsia" w:ascii="宋体" w:hAnsi="宋体"/>
          <w:sz w:val="24"/>
        </w:rPr>
      </w:pPr>
      <w:r>
        <w:rPr>
          <w:rFonts w:hint="eastAsia" w:ascii="宋体" w:hAnsi="宋体"/>
          <w:sz w:val="24"/>
        </w:rPr>
        <w:t xml:space="preserve">2.2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sz w:val="24"/>
        </w:rPr>
      </w:pPr>
      <w:r>
        <w:rPr>
          <w:rFonts w:hint="eastAsia" w:ascii="宋体" w:hAnsi="宋体"/>
          <w:sz w:val="24"/>
        </w:rPr>
        <w:t xml:space="preserve">2.3  </w:t>
      </w:r>
      <w:r>
        <w:rPr>
          <w:rFonts w:ascii="宋体" w:hAnsi="宋体"/>
          <w:sz w:val="24"/>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int="eastAsia" w:hAnsi="宋体"/>
          <w:b/>
          <w:sz w:val="24"/>
          <w:szCs w:val="24"/>
        </w:rPr>
      </w:pPr>
    </w:p>
    <w:p>
      <w:pPr>
        <w:pStyle w:val="2"/>
        <w:spacing w:line="360" w:lineRule="auto"/>
        <w:ind w:left="410" w:hanging="410" w:hangingChars="170"/>
        <w:rPr>
          <w:rFonts w:hint="eastAsia" w:hAnsi="宋体"/>
          <w:b/>
          <w:sz w:val="24"/>
          <w:szCs w:val="24"/>
        </w:rPr>
      </w:pPr>
      <w:r>
        <w:rPr>
          <w:rFonts w:hint="eastAsia" w:hAnsi="宋体"/>
          <w:b/>
          <w:sz w:val="24"/>
          <w:szCs w:val="24"/>
        </w:rPr>
        <w:t>3、本技术规格书中标注“*”号的为实质性要求，不满足其投标将被拒绝。</w:t>
      </w:r>
    </w:p>
    <w:p>
      <w:pPr>
        <w:pStyle w:val="2"/>
        <w:spacing w:line="360" w:lineRule="auto"/>
        <w:rPr>
          <w:rFonts w:hint="eastAsia" w:hAnsi="宋体"/>
          <w:b/>
          <w:sz w:val="24"/>
          <w:szCs w:val="24"/>
        </w:rPr>
      </w:pPr>
    </w:p>
    <w:p>
      <w:pPr>
        <w:pStyle w:val="2"/>
        <w:spacing w:line="360" w:lineRule="auto"/>
        <w:rPr>
          <w:rFonts w:hint="eastAsia" w:hAnsi="宋体"/>
          <w:b/>
          <w:sz w:val="24"/>
          <w:szCs w:val="24"/>
        </w:rPr>
      </w:pPr>
      <w:r>
        <w:rPr>
          <w:rFonts w:hint="eastAsia" w:hAnsi="宋体"/>
          <w:b/>
          <w:sz w:val="24"/>
          <w:szCs w:val="24"/>
        </w:rPr>
        <w:t>4、如在具体技术规格中有本总则不一致之处，以具体技术规格中的要求为准。</w:t>
      </w:r>
    </w:p>
    <w:p>
      <w:pPr>
        <w:spacing w:after="156" w:afterLines="50"/>
        <w:ind w:left="601" w:hanging="601"/>
        <w:rPr>
          <w:rFonts w:hint="eastAsia" w:ascii="宋体" w:hAnsi="宋体"/>
          <w:b/>
          <w:sz w:val="28"/>
        </w:rPr>
      </w:pPr>
      <w:r>
        <w:rPr>
          <w:rFonts w:ascii="宋体" w:hAnsi="宋体"/>
          <w:b/>
          <w:sz w:val="28"/>
        </w:rPr>
        <w:br w:type="page"/>
      </w:r>
      <w:r>
        <w:rPr>
          <w:rFonts w:hint="eastAsia" w:ascii="宋体" w:hAnsi="宋体"/>
          <w:b/>
          <w:sz w:val="28"/>
        </w:rPr>
        <w:t>三、具体技术规格</w:t>
      </w:r>
    </w:p>
    <w:p>
      <w:pPr>
        <w:rPr>
          <w:rFonts w:hint="eastAsia"/>
          <w:sz w:val="24"/>
        </w:rPr>
      </w:pPr>
    </w:p>
    <w:p>
      <w:pPr>
        <w:jc w:val="center"/>
        <w:rPr>
          <w:rFonts w:hint="eastAsia"/>
          <w:b/>
          <w:sz w:val="24"/>
        </w:rPr>
      </w:pPr>
      <w:r>
        <w:rPr>
          <w:rFonts w:hint="eastAsia"/>
          <w:b/>
          <w:sz w:val="24"/>
        </w:rPr>
        <w:t>第1包 电感耦合等离子体质谱仪</w:t>
      </w:r>
    </w:p>
    <w:p>
      <w:pPr>
        <w:rPr>
          <w:rFonts w:hint="eastAsia"/>
          <w:b/>
          <w:sz w:val="24"/>
        </w:rPr>
      </w:pPr>
    </w:p>
    <w:p>
      <w:pPr>
        <w:rPr>
          <w:rFonts w:hint="eastAsia"/>
          <w:b/>
          <w:sz w:val="24"/>
        </w:rPr>
      </w:pPr>
    </w:p>
    <w:p>
      <w:pPr>
        <w:numPr>
          <w:ilvl w:val="0"/>
          <w:numId w:val="2"/>
        </w:numPr>
        <w:rPr>
          <w:rFonts w:hint="eastAsia"/>
          <w:b/>
          <w:sz w:val="24"/>
        </w:rPr>
      </w:pPr>
      <w:r>
        <w:rPr>
          <w:rFonts w:hint="eastAsia"/>
          <w:b/>
          <w:sz w:val="24"/>
        </w:rPr>
        <w:t>技术要求：</w:t>
      </w:r>
    </w:p>
    <w:p>
      <w:pPr>
        <w:rPr>
          <w:b/>
          <w:sz w:val="24"/>
        </w:rPr>
      </w:pPr>
    </w:p>
    <w:p>
      <w:pPr>
        <w:numPr>
          <w:ilvl w:val="0"/>
          <w:numId w:val="3"/>
        </w:numPr>
        <w:spacing w:line="360" w:lineRule="auto"/>
        <w:rPr>
          <w:rFonts w:hint="eastAsia"/>
          <w:b/>
          <w:sz w:val="24"/>
        </w:rPr>
      </w:pPr>
      <w:r>
        <w:rPr>
          <w:rFonts w:hint="eastAsia"/>
          <w:b/>
          <w:sz w:val="24"/>
        </w:rPr>
        <w:t>工作条件：</w:t>
      </w:r>
    </w:p>
    <w:p>
      <w:pPr>
        <w:spacing w:line="360" w:lineRule="auto"/>
        <w:rPr>
          <w:rFonts w:hint="eastAsia"/>
          <w:sz w:val="24"/>
        </w:rPr>
      </w:pPr>
      <w:r>
        <w:rPr>
          <w:rFonts w:hint="eastAsia"/>
          <w:sz w:val="24"/>
        </w:rPr>
        <w:t>1.1工作环境温度： 15-30℃.</w:t>
      </w:r>
    </w:p>
    <w:p>
      <w:pPr>
        <w:spacing w:line="360" w:lineRule="auto"/>
        <w:rPr>
          <w:rFonts w:hint="eastAsia"/>
          <w:sz w:val="24"/>
        </w:rPr>
      </w:pPr>
      <w:r>
        <w:rPr>
          <w:rFonts w:hint="eastAsia"/>
          <w:sz w:val="24"/>
        </w:rPr>
        <w:t>1.2工作环境湿度： &lt; 80% (无冷凝)</w:t>
      </w:r>
    </w:p>
    <w:p>
      <w:pPr>
        <w:spacing w:line="360" w:lineRule="auto"/>
        <w:rPr>
          <w:rFonts w:hint="eastAsia"/>
          <w:sz w:val="24"/>
        </w:rPr>
      </w:pPr>
      <w:r>
        <w:rPr>
          <w:rFonts w:hint="eastAsia"/>
          <w:sz w:val="24"/>
        </w:rPr>
        <w:t>1.3电源：单相200-240V ，50 Hz</w:t>
      </w:r>
    </w:p>
    <w:p>
      <w:pPr>
        <w:spacing w:line="360" w:lineRule="auto"/>
        <w:rPr>
          <w:rFonts w:hint="eastAsia"/>
          <w:sz w:val="24"/>
        </w:rPr>
      </w:pPr>
    </w:p>
    <w:p>
      <w:pPr>
        <w:spacing w:line="360" w:lineRule="auto"/>
        <w:rPr>
          <w:rFonts w:hint="eastAsia"/>
          <w:b/>
          <w:sz w:val="24"/>
        </w:rPr>
      </w:pPr>
      <w:r>
        <w:rPr>
          <w:rFonts w:hint="eastAsia"/>
          <w:b/>
          <w:sz w:val="24"/>
        </w:rPr>
        <w:t>2.设备用途：</w:t>
      </w:r>
    </w:p>
    <w:p>
      <w:pPr>
        <w:spacing w:line="360" w:lineRule="auto"/>
        <w:rPr>
          <w:rFonts w:hint="eastAsia"/>
          <w:sz w:val="24"/>
        </w:rPr>
      </w:pPr>
      <w:r>
        <w:rPr>
          <w:rFonts w:hint="eastAsia"/>
          <w:sz w:val="24"/>
        </w:rPr>
        <w:t xml:space="preserve">2.1  本仪器要求能适用于多领域各种样品的元素分析、同位素分析和元素形态分析任务，满足环保、食品、地质、金属、生物样品、化工材料分析等等。       </w:t>
      </w:r>
    </w:p>
    <w:p>
      <w:pPr>
        <w:spacing w:line="360" w:lineRule="auto"/>
        <w:rPr>
          <w:rFonts w:hint="eastAsia"/>
          <w:sz w:val="24"/>
        </w:rPr>
      </w:pPr>
    </w:p>
    <w:p>
      <w:pPr>
        <w:tabs>
          <w:tab w:val="left" w:pos="360"/>
        </w:tabs>
        <w:spacing w:line="360" w:lineRule="auto"/>
        <w:rPr>
          <w:rFonts w:hint="eastAsia"/>
          <w:b/>
          <w:sz w:val="24"/>
        </w:rPr>
      </w:pPr>
      <w:r>
        <w:rPr>
          <w:rFonts w:hint="eastAsia"/>
          <w:b/>
          <w:sz w:val="24"/>
        </w:rPr>
        <w:t>3.技术规格：</w:t>
      </w:r>
    </w:p>
    <w:p>
      <w:pPr>
        <w:spacing w:line="360" w:lineRule="auto"/>
        <w:rPr>
          <w:rFonts w:hint="eastAsia"/>
          <w:sz w:val="24"/>
        </w:rPr>
      </w:pPr>
      <w:r>
        <w:rPr>
          <w:rFonts w:hint="eastAsia"/>
          <w:sz w:val="24"/>
        </w:rPr>
        <w:t>3.1.等离子体</w:t>
      </w:r>
    </w:p>
    <w:p>
      <w:pPr>
        <w:spacing w:line="360" w:lineRule="auto"/>
        <w:rPr>
          <w:rFonts w:hint="eastAsia"/>
          <w:sz w:val="24"/>
        </w:rPr>
      </w:pPr>
      <w:r>
        <w:rPr>
          <w:rFonts w:hint="eastAsia"/>
          <w:sz w:val="24"/>
        </w:rPr>
        <w:t>3.1.1离子源功率：可调范围覆盖550-1600W；</w:t>
      </w:r>
    </w:p>
    <w:p>
      <w:pPr>
        <w:spacing w:line="360" w:lineRule="auto"/>
        <w:rPr>
          <w:rFonts w:hint="eastAsia"/>
          <w:sz w:val="24"/>
        </w:rPr>
      </w:pPr>
      <w:r>
        <w:rPr>
          <w:rFonts w:hint="eastAsia"/>
          <w:sz w:val="24"/>
        </w:rPr>
        <w:t>* 3.1.2等离子体屏蔽技术：具有工作线圈和接口的二次放电消除功能，采用无需屏蔽炬设计的虚拟接地技术保证仪器最佳性能。对使用屏蔽炬技术的产品，必须配备20套屏蔽炬以备更换；</w:t>
      </w:r>
    </w:p>
    <w:p>
      <w:pPr>
        <w:spacing w:line="360" w:lineRule="auto"/>
        <w:rPr>
          <w:rFonts w:hint="eastAsia"/>
          <w:sz w:val="24"/>
        </w:rPr>
      </w:pPr>
      <w:r>
        <w:rPr>
          <w:rFonts w:hint="eastAsia"/>
          <w:sz w:val="24"/>
        </w:rPr>
        <w:t>3.1.3雾化器：具备高雾化效率和耐高盐性能的同心雾化器；</w:t>
      </w:r>
    </w:p>
    <w:p>
      <w:pPr>
        <w:spacing w:line="360" w:lineRule="auto"/>
        <w:rPr>
          <w:rFonts w:hint="eastAsia"/>
          <w:sz w:val="24"/>
        </w:rPr>
      </w:pPr>
      <w:r>
        <w:rPr>
          <w:rFonts w:hint="eastAsia"/>
          <w:sz w:val="24"/>
        </w:rPr>
        <w:t>#3.1.4射频发生器频率：不大于30.0 MHz。</w:t>
      </w:r>
    </w:p>
    <w:p>
      <w:pPr>
        <w:spacing w:line="360" w:lineRule="auto"/>
        <w:rPr>
          <w:rFonts w:hint="eastAsia"/>
          <w:sz w:val="24"/>
        </w:rPr>
      </w:pPr>
      <w:r>
        <w:rPr>
          <w:rFonts w:hint="eastAsia"/>
          <w:sz w:val="24"/>
        </w:rPr>
        <w:t>3.1.5进样系统：采用可调转动速度0～45rpm的四通道蠕动泵系统、高效雾化器搭配带制冷功能的雾化室；</w:t>
      </w:r>
    </w:p>
    <w:p>
      <w:pPr>
        <w:spacing w:line="360" w:lineRule="auto"/>
        <w:rPr>
          <w:rFonts w:hint="eastAsia"/>
          <w:sz w:val="24"/>
        </w:rPr>
      </w:pPr>
      <w:r>
        <w:rPr>
          <w:rFonts w:hint="eastAsia"/>
          <w:sz w:val="24"/>
        </w:rPr>
        <w:t>3.1.6炬管、中心管采用可拆卸式，方便更换（提供矩管中心管拆卸实物图）；</w:t>
      </w:r>
    </w:p>
    <w:p>
      <w:pPr>
        <w:spacing w:line="360" w:lineRule="auto"/>
        <w:rPr>
          <w:rFonts w:hint="eastAsia"/>
          <w:sz w:val="24"/>
        </w:rPr>
      </w:pPr>
      <w:r>
        <w:rPr>
          <w:rFonts w:hint="eastAsia"/>
          <w:sz w:val="24"/>
        </w:rPr>
        <w:t>3.1.7气路部分均采用高精度的质量流量计控制（包括等离子部分气路和碰撞反应池部分气路）；</w:t>
      </w:r>
    </w:p>
    <w:p>
      <w:pPr>
        <w:spacing w:line="360" w:lineRule="auto"/>
        <w:rPr>
          <w:rFonts w:hint="eastAsia"/>
          <w:sz w:val="24"/>
        </w:rPr>
      </w:pPr>
      <w:r>
        <w:rPr>
          <w:rFonts w:hint="eastAsia"/>
          <w:sz w:val="24"/>
        </w:rPr>
        <w:t>#3.1.8等离子体可视系统：具有观察窗并可以实时通过电脑显示器监控等离子体及锥口和中心管的状态，便于及时判断仪器是否需要维护（提供仪器控制软件截图作为证明文件）。</w:t>
      </w:r>
    </w:p>
    <w:p>
      <w:pPr>
        <w:spacing w:line="360" w:lineRule="auto"/>
        <w:rPr>
          <w:rFonts w:hint="eastAsia"/>
          <w:sz w:val="24"/>
        </w:rPr>
      </w:pPr>
      <w:r>
        <w:rPr>
          <w:rFonts w:hint="eastAsia"/>
          <w:sz w:val="24"/>
        </w:rPr>
        <w:t>3.2.离子提取</w:t>
      </w:r>
    </w:p>
    <w:p>
      <w:pPr>
        <w:spacing w:line="360" w:lineRule="auto"/>
        <w:rPr>
          <w:rFonts w:hint="eastAsia"/>
          <w:sz w:val="24"/>
        </w:rPr>
      </w:pPr>
      <w:r>
        <w:rPr>
          <w:rFonts w:hint="eastAsia"/>
          <w:sz w:val="24"/>
        </w:rPr>
        <w:t>*3.2.1接口规格：采样锥口径0.9-1.2mm，截取锥口径≤0.6mm，若使用超锥，必须额外配置20套及以上超锥以备更换。</w:t>
      </w:r>
    </w:p>
    <w:p>
      <w:pPr>
        <w:spacing w:line="360" w:lineRule="auto"/>
        <w:rPr>
          <w:rFonts w:hint="eastAsia"/>
          <w:sz w:val="24"/>
        </w:rPr>
      </w:pPr>
      <w:r>
        <w:rPr>
          <w:rFonts w:hint="eastAsia"/>
          <w:sz w:val="24"/>
        </w:rPr>
        <w:t>3.2.2拥有两种不同类型的接口技术，具有高灵敏度模式和耐高盐两种模式；</w:t>
      </w:r>
    </w:p>
    <w:p>
      <w:pPr>
        <w:spacing w:line="360" w:lineRule="auto"/>
        <w:rPr>
          <w:rFonts w:hint="eastAsia"/>
          <w:sz w:val="24"/>
        </w:rPr>
      </w:pPr>
      <w:r>
        <w:rPr>
          <w:rFonts w:hint="eastAsia"/>
          <w:sz w:val="24"/>
        </w:rPr>
        <w:t>#3.2.3离子传输系统：仪器应配置一套正交离子偏转聚焦系统，实现样品离子与中性粒子和光子的分离。</w:t>
      </w:r>
    </w:p>
    <w:p>
      <w:pPr>
        <w:spacing w:line="360" w:lineRule="auto"/>
        <w:rPr>
          <w:rFonts w:hint="eastAsia"/>
          <w:sz w:val="24"/>
        </w:rPr>
      </w:pPr>
      <w:r>
        <w:rPr>
          <w:rFonts w:hint="eastAsia"/>
          <w:sz w:val="24"/>
        </w:rPr>
        <w:t>3.3.碰撞/反应池</w:t>
      </w:r>
    </w:p>
    <w:p>
      <w:pPr>
        <w:spacing w:line="360" w:lineRule="auto"/>
        <w:rPr>
          <w:rFonts w:hint="eastAsia"/>
          <w:sz w:val="24"/>
        </w:rPr>
      </w:pPr>
      <w:r>
        <w:rPr>
          <w:rFonts w:hint="eastAsia"/>
          <w:sz w:val="24"/>
        </w:rPr>
        <w:t>#3.3.1仪器要求配置平面四极杆的碰撞反应池（需提供碰撞反应池的部件照片作为证明材料）；</w:t>
      </w:r>
    </w:p>
    <w:p>
      <w:pPr>
        <w:spacing w:line="360" w:lineRule="auto"/>
        <w:rPr>
          <w:rFonts w:hint="eastAsia"/>
          <w:sz w:val="24"/>
        </w:rPr>
      </w:pPr>
      <w:r>
        <w:rPr>
          <w:rFonts w:hint="eastAsia"/>
          <w:sz w:val="24"/>
        </w:rPr>
        <w:t>3.3.2 碰撞反应池内四极杆必须具有质量过滤功能，可选择性地去除如Ar、O、N等低质量元素干扰离子，进入主四级杆质量分析器，免维护；</w:t>
      </w:r>
    </w:p>
    <w:p>
      <w:pPr>
        <w:spacing w:line="360" w:lineRule="auto"/>
        <w:rPr>
          <w:rFonts w:hint="eastAsia"/>
          <w:sz w:val="24"/>
        </w:rPr>
      </w:pPr>
      <w:r>
        <w:rPr>
          <w:rFonts w:hint="eastAsia"/>
          <w:sz w:val="24"/>
        </w:rPr>
        <w:t>3.3.3池内须可使用标准模式（STD模式）、碰撞模式（KED模式）和反应模式（CCT模式）进行干扰的消除和样品分析，每种模式都可设置带宽进行质量数的区段筛选以达到更优异的干扰消除效果；</w:t>
      </w:r>
    </w:p>
    <w:p>
      <w:pPr>
        <w:spacing w:line="360" w:lineRule="auto"/>
        <w:rPr>
          <w:rFonts w:hint="eastAsia"/>
          <w:sz w:val="24"/>
        </w:rPr>
      </w:pPr>
      <w:r>
        <w:rPr>
          <w:rFonts w:hint="eastAsia"/>
          <w:sz w:val="24"/>
        </w:rPr>
        <w:t>3.4.四极杆质量分析器</w:t>
      </w:r>
    </w:p>
    <w:p>
      <w:pPr>
        <w:spacing w:line="360" w:lineRule="auto"/>
        <w:rPr>
          <w:rFonts w:hint="eastAsia"/>
          <w:sz w:val="24"/>
        </w:rPr>
      </w:pPr>
      <w:r>
        <w:rPr>
          <w:rFonts w:hint="eastAsia"/>
          <w:sz w:val="24"/>
        </w:rPr>
        <w:t>3.4.1 纯Mo材料的长杆结构设计，提供双曲面电势场保证最佳的质量轴分辨率、丰度灵敏度；</w:t>
      </w:r>
    </w:p>
    <w:p>
      <w:pPr>
        <w:spacing w:line="360" w:lineRule="auto"/>
        <w:rPr>
          <w:rFonts w:hint="eastAsia"/>
          <w:sz w:val="24"/>
        </w:rPr>
      </w:pPr>
      <w:r>
        <w:rPr>
          <w:rFonts w:hint="eastAsia"/>
          <w:sz w:val="24"/>
        </w:rPr>
        <w:t>*3.4.2质量分辨率：满足0.1-1.0amu在线连续可调，要求在同一次样品测试中，可对所有元素的分辨率进行单独设置，不同分辨率可自动切换；</w:t>
      </w:r>
    </w:p>
    <w:p>
      <w:pPr>
        <w:spacing w:line="360" w:lineRule="auto"/>
        <w:rPr>
          <w:rFonts w:hint="eastAsia"/>
          <w:sz w:val="24"/>
        </w:rPr>
      </w:pPr>
      <w:r>
        <w:rPr>
          <w:rFonts w:hint="eastAsia"/>
          <w:sz w:val="24"/>
        </w:rPr>
        <w:t>3.4.3四极杆扫描速度：&gt;80000 amu/秒。</w:t>
      </w:r>
    </w:p>
    <w:p>
      <w:pPr>
        <w:spacing w:line="360" w:lineRule="auto"/>
        <w:rPr>
          <w:rFonts w:hint="eastAsia"/>
          <w:sz w:val="24"/>
        </w:rPr>
      </w:pPr>
      <w:r>
        <w:rPr>
          <w:rFonts w:hint="eastAsia"/>
          <w:sz w:val="24"/>
        </w:rPr>
        <w:t>3.4.4 驱动频率：≤2.3MHz（投标文件中需提供官网链接及截图作为证明文件）</w:t>
      </w:r>
    </w:p>
    <w:p>
      <w:pPr>
        <w:spacing w:line="360" w:lineRule="auto"/>
        <w:rPr>
          <w:rFonts w:hint="eastAsia"/>
          <w:sz w:val="24"/>
        </w:rPr>
      </w:pPr>
      <w:r>
        <w:rPr>
          <w:rFonts w:hint="eastAsia"/>
          <w:sz w:val="24"/>
        </w:rPr>
        <w:t>3.5 检测器</w:t>
      </w:r>
    </w:p>
    <w:p>
      <w:pPr>
        <w:spacing w:line="360" w:lineRule="auto"/>
        <w:rPr>
          <w:rFonts w:hint="eastAsia"/>
          <w:sz w:val="24"/>
        </w:rPr>
      </w:pPr>
      <w:r>
        <w:rPr>
          <w:rFonts w:hint="eastAsia"/>
          <w:sz w:val="24"/>
        </w:rPr>
        <w:t>3.5.1具有脉冲和模拟双模式校正的电子倍增器；</w:t>
      </w:r>
    </w:p>
    <w:p>
      <w:pPr>
        <w:spacing w:line="360" w:lineRule="auto"/>
        <w:rPr>
          <w:rFonts w:hint="eastAsia"/>
          <w:sz w:val="24"/>
        </w:rPr>
      </w:pPr>
      <w:r>
        <w:rPr>
          <w:rFonts w:hint="eastAsia"/>
          <w:sz w:val="24"/>
        </w:rPr>
        <w:t>*3.5.2分析的质量范围：2-290amu；且仪器应具备分析UOOO+离子的能力，并提供宣传彩页或者厂家文献证明。</w:t>
      </w:r>
    </w:p>
    <w:p>
      <w:pPr>
        <w:spacing w:line="360" w:lineRule="auto"/>
        <w:rPr>
          <w:rFonts w:hint="eastAsia"/>
          <w:sz w:val="24"/>
        </w:rPr>
      </w:pPr>
      <w:r>
        <w:rPr>
          <w:rFonts w:hint="eastAsia"/>
          <w:sz w:val="24"/>
        </w:rPr>
        <w:t>#3.5.3检测限：Be(9)≤0.5ppt , In(115)≤0.2ppt, Bi(209)≤0.2ppt；</w:t>
      </w:r>
    </w:p>
    <w:p>
      <w:pPr>
        <w:spacing w:line="360" w:lineRule="auto"/>
        <w:rPr>
          <w:rFonts w:hint="eastAsia"/>
          <w:sz w:val="24"/>
        </w:rPr>
      </w:pPr>
      <w:r>
        <w:rPr>
          <w:rFonts w:hint="eastAsia"/>
          <w:sz w:val="24"/>
        </w:rPr>
        <w:t>*3.5.4标准模式下灵敏度：</w:t>
      </w:r>
    </w:p>
    <w:p>
      <w:pPr>
        <w:spacing w:line="360" w:lineRule="auto"/>
        <w:rPr>
          <w:rFonts w:hint="eastAsia"/>
          <w:sz w:val="24"/>
        </w:rPr>
      </w:pPr>
      <w:r>
        <w:rPr>
          <w:rFonts w:hint="eastAsia"/>
          <w:sz w:val="24"/>
        </w:rPr>
        <w:t>中质量数（In 或 Y）：&gt;220（Mcps/ppm）</w:t>
      </w:r>
    </w:p>
    <w:p>
      <w:pPr>
        <w:spacing w:line="360" w:lineRule="auto"/>
        <w:rPr>
          <w:rFonts w:hint="eastAsia"/>
          <w:sz w:val="24"/>
        </w:rPr>
      </w:pPr>
      <w:r>
        <w:rPr>
          <w:rFonts w:hint="eastAsia"/>
          <w:sz w:val="24"/>
        </w:rPr>
        <w:t>高质量数（U 或 Tl）：&gt;300（Mcps/ppm）</w:t>
      </w:r>
    </w:p>
    <w:p>
      <w:pPr>
        <w:spacing w:line="360" w:lineRule="auto"/>
        <w:rPr>
          <w:rFonts w:hint="eastAsia"/>
          <w:sz w:val="24"/>
        </w:rPr>
      </w:pPr>
      <w:r>
        <w:rPr>
          <w:rFonts w:hint="eastAsia"/>
          <w:sz w:val="24"/>
        </w:rPr>
        <w:t>3.5.5 短期稳定性：RSD&lt;2%（10min）；</w:t>
      </w:r>
    </w:p>
    <w:p>
      <w:pPr>
        <w:spacing w:line="360" w:lineRule="auto"/>
        <w:rPr>
          <w:rFonts w:hint="eastAsia"/>
          <w:sz w:val="24"/>
        </w:rPr>
      </w:pPr>
      <w:r>
        <w:rPr>
          <w:rFonts w:hint="eastAsia"/>
          <w:sz w:val="24"/>
        </w:rPr>
        <w:t>3.5.6 氧化物离子(CeO+/Ce+)＜2%；双电荷粒子(Ba++/Ba+)＜3%；</w:t>
      </w:r>
    </w:p>
    <w:p>
      <w:pPr>
        <w:spacing w:line="360" w:lineRule="auto"/>
        <w:rPr>
          <w:rFonts w:hint="eastAsia"/>
          <w:sz w:val="24"/>
        </w:rPr>
      </w:pPr>
      <w:r>
        <w:rPr>
          <w:rFonts w:hint="eastAsia"/>
          <w:sz w:val="24"/>
        </w:rPr>
        <w:t>3.6 真空系统</w:t>
      </w:r>
    </w:p>
    <w:p>
      <w:pPr>
        <w:spacing w:line="360" w:lineRule="auto"/>
        <w:rPr>
          <w:rFonts w:hint="eastAsia"/>
          <w:sz w:val="24"/>
        </w:rPr>
      </w:pPr>
      <w:r>
        <w:rPr>
          <w:rFonts w:hint="eastAsia"/>
          <w:sz w:val="24"/>
        </w:rPr>
        <w:t>3.6.1具有无需卸真空即可关机，从大气压开始抽至可工作的真空度的时间不大于15分钟。</w:t>
      </w:r>
    </w:p>
    <w:p>
      <w:pPr>
        <w:spacing w:line="360" w:lineRule="auto"/>
        <w:rPr>
          <w:rFonts w:hint="eastAsia"/>
          <w:sz w:val="24"/>
        </w:rPr>
      </w:pPr>
      <w:r>
        <w:rPr>
          <w:rFonts w:hint="eastAsia"/>
          <w:sz w:val="24"/>
        </w:rPr>
        <w:t>3.7 数据处理系统</w:t>
      </w:r>
    </w:p>
    <w:p>
      <w:pPr>
        <w:spacing w:line="360" w:lineRule="auto"/>
        <w:rPr>
          <w:rFonts w:hint="eastAsia"/>
          <w:sz w:val="24"/>
        </w:rPr>
      </w:pPr>
      <w:r>
        <w:rPr>
          <w:rFonts w:hint="eastAsia"/>
          <w:sz w:val="24"/>
        </w:rPr>
        <w:t>3.7.1 全自动分析功能(启动关闭仪器 ,炬位调整, 等离子体参数, 离子透镜, 标准等离子体条件与冷等离子体条件切换,标准技术与碰撞池技术切换等)，实时数据显示,实时报告显示；</w:t>
      </w:r>
    </w:p>
    <w:p>
      <w:pPr>
        <w:spacing w:line="360" w:lineRule="auto"/>
        <w:rPr>
          <w:rFonts w:hint="eastAsia"/>
          <w:sz w:val="24"/>
        </w:rPr>
      </w:pPr>
      <w:r>
        <w:rPr>
          <w:rFonts w:hint="eastAsia"/>
          <w:sz w:val="24"/>
        </w:rPr>
        <w:t>3.7.2 软件支持中文版，可以安装于个人计算机上，样品分析数据可以使用此软件进行离线数据处理并生成报告。</w:t>
      </w:r>
    </w:p>
    <w:p>
      <w:pPr>
        <w:spacing w:line="360" w:lineRule="auto"/>
        <w:rPr>
          <w:rFonts w:hint="eastAsia"/>
          <w:sz w:val="24"/>
        </w:rPr>
      </w:pPr>
      <w:r>
        <w:rPr>
          <w:rFonts w:hint="eastAsia"/>
          <w:sz w:val="24"/>
        </w:rPr>
        <w:t>3.8 实际应用能力</w:t>
      </w:r>
    </w:p>
    <w:p>
      <w:pPr>
        <w:spacing w:line="360" w:lineRule="auto"/>
        <w:rPr>
          <w:rFonts w:hint="eastAsia"/>
          <w:sz w:val="24"/>
        </w:rPr>
      </w:pPr>
      <w:r>
        <w:rPr>
          <w:rFonts w:hint="eastAsia"/>
          <w:sz w:val="24"/>
        </w:rPr>
        <w:t>3.8.1 通过碰撞模式直接消除ArAr+多原子离子对Se元素的干扰，无需使用CH4或H2气的反应模式即可获得3ppt的Se元素检出限水平。</w:t>
      </w:r>
    </w:p>
    <w:p>
      <w:pPr>
        <w:spacing w:line="360" w:lineRule="auto"/>
        <w:rPr>
          <w:rFonts w:hint="eastAsia"/>
          <w:sz w:val="24"/>
        </w:rPr>
      </w:pPr>
      <w:r>
        <w:rPr>
          <w:rFonts w:hint="eastAsia"/>
          <w:sz w:val="24"/>
        </w:rPr>
        <w:t>3.8.2 对于高Cl和高Ca样品（5% HCl，200ppm Ca）中As元素的分析，可直接利用碰撞模式消除ArCl+和CaCl+离子对As元素的干扰并获得0.5ppt的检出限水平，无需使用O2或其他反应气体以及复杂的反应模式，并提供文献证明。</w:t>
      </w:r>
    </w:p>
    <w:p>
      <w:pPr>
        <w:spacing w:line="360" w:lineRule="auto"/>
        <w:rPr>
          <w:rFonts w:hint="eastAsia"/>
          <w:b/>
          <w:sz w:val="24"/>
        </w:rPr>
      </w:pPr>
    </w:p>
    <w:p>
      <w:pPr>
        <w:spacing w:line="360" w:lineRule="auto"/>
        <w:rPr>
          <w:rFonts w:hint="eastAsia"/>
          <w:b/>
          <w:sz w:val="24"/>
        </w:rPr>
      </w:pPr>
      <w:r>
        <w:rPr>
          <w:rFonts w:hint="eastAsia"/>
          <w:b/>
          <w:sz w:val="24"/>
        </w:rPr>
        <w:t>4.产品配置要求</w:t>
      </w:r>
    </w:p>
    <w:p>
      <w:pPr>
        <w:spacing w:line="360" w:lineRule="auto"/>
        <w:rPr>
          <w:rFonts w:hint="eastAsia"/>
          <w:sz w:val="24"/>
        </w:rPr>
      </w:pPr>
      <w:r>
        <w:rPr>
          <w:rFonts w:hint="eastAsia"/>
          <w:sz w:val="24"/>
        </w:rPr>
        <w:t>4.1.</w:t>
      </w:r>
      <w:r>
        <w:rPr>
          <w:rFonts w:hint="eastAsia"/>
          <w:sz w:val="24"/>
        </w:rPr>
        <w:tab/>
      </w:r>
      <w:r>
        <w:rPr>
          <w:rFonts w:hint="eastAsia"/>
          <w:sz w:val="24"/>
        </w:rPr>
        <w:t>电感耦合等离子体质谱仪主机 1套；</w:t>
      </w:r>
    </w:p>
    <w:p>
      <w:pPr>
        <w:spacing w:line="360" w:lineRule="auto"/>
        <w:rPr>
          <w:rFonts w:hint="eastAsia"/>
          <w:sz w:val="24"/>
        </w:rPr>
      </w:pPr>
      <w:r>
        <w:rPr>
          <w:rFonts w:hint="eastAsia"/>
          <w:sz w:val="24"/>
        </w:rPr>
        <w:t>4.2.</w:t>
      </w:r>
      <w:r>
        <w:rPr>
          <w:rFonts w:hint="eastAsia"/>
          <w:sz w:val="24"/>
        </w:rPr>
        <w:tab/>
      </w:r>
      <w:r>
        <w:rPr>
          <w:rFonts w:hint="eastAsia"/>
          <w:sz w:val="24"/>
        </w:rPr>
        <w:t>仪器控制软件及工作站电脑 1套；</w:t>
      </w:r>
    </w:p>
    <w:p>
      <w:pPr>
        <w:spacing w:line="360" w:lineRule="auto"/>
        <w:rPr>
          <w:rFonts w:hint="eastAsia"/>
          <w:sz w:val="24"/>
        </w:rPr>
      </w:pPr>
      <w:r>
        <w:rPr>
          <w:rFonts w:hint="eastAsia"/>
          <w:sz w:val="24"/>
        </w:rPr>
        <w:t>4.3.</w:t>
      </w:r>
      <w:r>
        <w:rPr>
          <w:rFonts w:hint="eastAsia"/>
          <w:sz w:val="24"/>
        </w:rPr>
        <w:tab/>
      </w:r>
      <w:r>
        <w:rPr>
          <w:rFonts w:hint="eastAsia"/>
          <w:sz w:val="24"/>
        </w:rPr>
        <w:t>进样系统1套（半导体制冷雾化室及雾化器）；</w:t>
      </w:r>
    </w:p>
    <w:p>
      <w:pPr>
        <w:spacing w:line="360" w:lineRule="auto"/>
        <w:rPr>
          <w:rFonts w:hint="eastAsia"/>
          <w:sz w:val="24"/>
        </w:rPr>
      </w:pPr>
      <w:r>
        <w:rPr>
          <w:rFonts w:hint="eastAsia"/>
          <w:sz w:val="24"/>
        </w:rPr>
        <w:t>4.4.</w:t>
      </w:r>
      <w:r>
        <w:rPr>
          <w:rFonts w:hint="eastAsia"/>
          <w:sz w:val="24"/>
        </w:rPr>
        <w:tab/>
      </w:r>
      <w:r>
        <w:rPr>
          <w:rFonts w:hint="eastAsia"/>
          <w:sz w:val="24"/>
        </w:rPr>
        <w:t>内标加入系统（三通，转接头）1套；</w:t>
      </w:r>
    </w:p>
    <w:p>
      <w:pPr>
        <w:spacing w:line="360" w:lineRule="auto"/>
        <w:rPr>
          <w:rFonts w:hint="eastAsia"/>
          <w:sz w:val="24"/>
        </w:rPr>
      </w:pPr>
      <w:r>
        <w:rPr>
          <w:rFonts w:hint="eastAsia"/>
          <w:sz w:val="24"/>
        </w:rPr>
        <w:t>4.5.</w:t>
      </w:r>
      <w:r>
        <w:rPr>
          <w:rFonts w:hint="eastAsia"/>
          <w:sz w:val="24"/>
        </w:rPr>
        <w:tab/>
      </w:r>
      <w:r>
        <w:rPr>
          <w:rFonts w:hint="eastAsia"/>
          <w:sz w:val="24"/>
        </w:rPr>
        <w:t>消耗品包1套：包含采样锥1套、截取锥1套、高基体截取锥嵌片1套、采样锥石墨垫圈20个、进样泵管1包、废液泵管1包、排废液用毛细管1包、引入样品/内标用1包、石英炬管2个、石英中心管2个；</w:t>
      </w:r>
    </w:p>
    <w:p>
      <w:pPr>
        <w:spacing w:line="360" w:lineRule="auto"/>
        <w:rPr>
          <w:rFonts w:hint="eastAsia"/>
          <w:sz w:val="24"/>
        </w:rPr>
      </w:pPr>
      <w:r>
        <w:rPr>
          <w:rFonts w:hint="eastAsia"/>
          <w:sz w:val="24"/>
        </w:rPr>
        <w:t>4.6.</w:t>
      </w:r>
      <w:r>
        <w:rPr>
          <w:rFonts w:hint="eastAsia"/>
          <w:sz w:val="24"/>
        </w:rPr>
        <w:tab/>
      </w:r>
      <w:r>
        <w:rPr>
          <w:rFonts w:hint="eastAsia"/>
          <w:sz w:val="24"/>
        </w:rPr>
        <w:t>质谱调谐液1套；</w:t>
      </w:r>
    </w:p>
    <w:p>
      <w:pPr>
        <w:spacing w:line="360" w:lineRule="auto"/>
        <w:rPr>
          <w:rFonts w:hint="eastAsia"/>
          <w:sz w:val="24"/>
        </w:rPr>
      </w:pPr>
      <w:r>
        <w:rPr>
          <w:rFonts w:hint="eastAsia"/>
          <w:sz w:val="24"/>
        </w:rPr>
        <w:t>4.7.</w:t>
      </w:r>
      <w:r>
        <w:rPr>
          <w:rFonts w:hint="eastAsia"/>
          <w:sz w:val="24"/>
        </w:rPr>
        <w:tab/>
      </w:r>
      <w:r>
        <w:rPr>
          <w:rFonts w:hint="eastAsia"/>
          <w:sz w:val="24"/>
        </w:rPr>
        <w:t>15KVA一小时延时不间断电源1套；</w:t>
      </w:r>
    </w:p>
    <w:p>
      <w:pPr>
        <w:spacing w:line="360" w:lineRule="auto"/>
        <w:rPr>
          <w:sz w:val="24"/>
        </w:rPr>
      </w:pPr>
      <w:r>
        <w:rPr>
          <w:rFonts w:hint="eastAsia"/>
          <w:sz w:val="24"/>
        </w:rPr>
        <w:t>4.8.</w:t>
      </w:r>
      <w:r>
        <w:rPr>
          <w:rFonts w:hint="eastAsia"/>
          <w:sz w:val="24"/>
        </w:rPr>
        <w:tab/>
      </w:r>
      <w:r>
        <w:rPr>
          <w:rFonts w:hint="eastAsia"/>
          <w:sz w:val="24"/>
        </w:rPr>
        <w:t>循环冷却水机1套；</w:t>
      </w:r>
    </w:p>
    <w:p>
      <w:pPr>
        <w:spacing w:line="360" w:lineRule="auto"/>
        <w:rPr>
          <w:rFonts w:hint="eastAsia"/>
          <w:sz w:val="24"/>
        </w:rPr>
      </w:pPr>
    </w:p>
    <w:p>
      <w:pPr>
        <w:spacing w:line="360" w:lineRule="auto"/>
        <w:rPr>
          <w:rFonts w:hint="eastAsia"/>
          <w:b/>
          <w:sz w:val="24"/>
        </w:rPr>
      </w:pPr>
      <w:r>
        <w:rPr>
          <w:rFonts w:hint="eastAsia"/>
          <w:b/>
          <w:sz w:val="24"/>
        </w:rPr>
        <w:t>5</w:t>
      </w:r>
      <w:r>
        <w:rPr>
          <w:b/>
          <w:sz w:val="24"/>
        </w:rPr>
        <w:t xml:space="preserve">. </w:t>
      </w:r>
      <w:r>
        <w:rPr>
          <w:rFonts w:hint="eastAsia"/>
          <w:b/>
          <w:sz w:val="24"/>
        </w:rPr>
        <w:t>选购附件、备件及消耗品</w:t>
      </w:r>
    </w:p>
    <w:p>
      <w:pPr>
        <w:spacing w:line="360" w:lineRule="auto"/>
        <w:rPr>
          <w:rFonts w:hint="eastAsia"/>
          <w:sz w:val="24"/>
        </w:rPr>
      </w:pPr>
      <w:r>
        <w:rPr>
          <w:rFonts w:hint="eastAsia"/>
          <w:sz w:val="24"/>
        </w:rPr>
        <w:t xml:space="preserve">无          </w:t>
      </w:r>
    </w:p>
    <w:p>
      <w:pPr>
        <w:tabs>
          <w:tab w:val="left" w:pos="540"/>
        </w:tabs>
        <w:spacing w:line="360" w:lineRule="auto"/>
        <w:rPr>
          <w:rFonts w:hint="eastAsia"/>
          <w:sz w:val="24"/>
        </w:rPr>
      </w:pPr>
      <w:r>
        <w:rPr>
          <w:rFonts w:hint="eastAsia"/>
          <w:sz w:val="24"/>
        </w:rPr>
        <w:t xml:space="preserve">   </w:t>
      </w:r>
    </w:p>
    <w:p>
      <w:pPr>
        <w:spacing w:line="360" w:lineRule="auto"/>
        <w:rPr>
          <w:rFonts w:hint="eastAsia"/>
          <w:b/>
          <w:sz w:val="24"/>
        </w:rPr>
      </w:pPr>
      <w:r>
        <w:rPr>
          <w:rFonts w:hint="eastAsia"/>
          <w:b/>
          <w:sz w:val="24"/>
        </w:rPr>
        <w:t>（二）质保及售后服务：</w:t>
      </w:r>
    </w:p>
    <w:p>
      <w:pPr>
        <w:spacing w:line="360" w:lineRule="auto"/>
        <w:rPr>
          <w:rFonts w:hint="eastAsia"/>
          <w:sz w:val="24"/>
        </w:rPr>
      </w:pPr>
      <w:r>
        <w:rPr>
          <w:rFonts w:hint="eastAsia"/>
          <w:sz w:val="24"/>
        </w:rPr>
        <w:t>1.1 设备安装、调试和验收</w:t>
      </w:r>
    </w:p>
    <w:p>
      <w:pPr>
        <w:spacing w:line="360" w:lineRule="auto"/>
        <w:rPr>
          <w:rFonts w:hint="eastAsia"/>
          <w:sz w:val="24"/>
        </w:rPr>
      </w:pPr>
      <w:r>
        <w:rPr>
          <w:rFonts w:hint="eastAsia"/>
          <w:sz w:val="24"/>
        </w:rPr>
        <w:t>1.1.1 卖方应在合同生效后的1个月内向买方提出详细的安装要求并提供技术咨询，为客户提供前期的实验室建设和布局方案。</w:t>
      </w:r>
    </w:p>
    <w:p>
      <w:pPr>
        <w:spacing w:line="360" w:lineRule="auto"/>
        <w:rPr>
          <w:rFonts w:hint="eastAsia"/>
          <w:sz w:val="24"/>
        </w:rPr>
      </w:pPr>
      <w:r>
        <w:rPr>
          <w:rFonts w:hint="eastAsia"/>
          <w:sz w:val="24"/>
        </w:rPr>
        <w:t>1.1.2 仪器到达买方所在地后，在接到买方通知后2周内卖方进行安装调试，直至通过验收。</w:t>
      </w:r>
    </w:p>
    <w:p>
      <w:pPr>
        <w:spacing w:line="360" w:lineRule="auto"/>
        <w:rPr>
          <w:rFonts w:hint="eastAsia"/>
          <w:sz w:val="24"/>
        </w:rPr>
      </w:pPr>
      <w:r>
        <w:rPr>
          <w:rFonts w:hint="eastAsia"/>
          <w:sz w:val="24"/>
        </w:rPr>
        <w:t>1.1.3 仪器到达买方现场后，买方提供符合仪器安装的合适场地条件；卖方提供所有仪器的连接件及各种必需的附件进行安装调试，安装调试时不需要买方提供任何零配件的情况下完成所有系统技术指标。</w:t>
      </w:r>
    </w:p>
    <w:p>
      <w:pPr>
        <w:spacing w:line="360" w:lineRule="auto"/>
        <w:rPr>
          <w:rFonts w:hint="eastAsia"/>
          <w:sz w:val="24"/>
        </w:rPr>
      </w:pPr>
      <w:r>
        <w:rPr>
          <w:rFonts w:hint="eastAsia"/>
          <w:sz w:val="24"/>
        </w:rPr>
        <w:t>1.1.4 卖方提供仪器验收和校正的标样。</w:t>
      </w:r>
    </w:p>
    <w:p>
      <w:pPr>
        <w:spacing w:line="360" w:lineRule="auto"/>
        <w:rPr>
          <w:rFonts w:hint="eastAsia"/>
          <w:sz w:val="24"/>
        </w:rPr>
      </w:pPr>
      <w:r>
        <w:rPr>
          <w:rFonts w:hint="eastAsia"/>
          <w:sz w:val="24"/>
        </w:rPr>
        <w:t>1.2质量保证：</w:t>
      </w:r>
    </w:p>
    <w:p>
      <w:pPr>
        <w:spacing w:line="360" w:lineRule="auto"/>
        <w:rPr>
          <w:rFonts w:hint="eastAsia"/>
          <w:sz w:val="24"/>
        </w:rPr>
      </w:pPr>
      <w:r>
        <w:rPr>
          <w:rFonts w:hint="eastAsia"/>
          <w:sz w:val="24"/>
        </w:rPr>
        <w:t>1.2.1卖方保证所提供产品是全新的、其功能与指标满足制造商的技术标准，并保证无条件满足中华人民共和国国家强制性执行标准，确保人身安全和劳动保护条件。</w:t>
      </w:r>
    </w:p>
    <w:p>
      <w:pPr>
        <w:spacing w:line="360" w:lineRule="auto"/>
        <w:rPr>
          <w:rFonts w:hint="eastAsia"/>
          <w:sz w:val="24"/>
        </w:rPr>
      </w:pPr>
      <w:r>
        <w:rPr>
          <w:rFonts w:hint="eastAsia"/>
          <w:sz w:val="24"/>
        </w:rPr>
        <w:t>1.2.2 卖方保证所提供的产品完全符合满足合同签订时所提供的技术指标。</w:t>
      </w:r>
    </w:p>
    <w:p>
      <w:pPr>
        <w:spacing w:line="360" w:lineRule="auto"/>
        <w:rPr>
          <w:rFonts w:hint="eastAsia"/>
          <w:sz w:val="24"/>
        </w:rPr>
      </w:pPr>
      <w:r>
        <w:rPr>
          <w:rFonts w:hint="eastAsia"/>
          <w:sz w:val="24"/>
        </w:rPr>
        <w:t>1.3技术培训：</w:t>
      </w:r>
    </w:p>
    <w:p>
      <w:pPr>
        <w:spacing w:line="360" w:lineRule="auto"/>
        <w:rPr>
          <w:rFonts w:hint="eastAsia"/>
          <w:sz w:val="24"/>
        </w:rPr>
      </w:pPr>
      <w:r>
        <w:rPr>
          <w:rFonts w:hint="eastAsia"/>
          <w:sz w:val="24"/>
        </w:rPr>
        <w:t>1.3.1 现场培训：卖方设备安装调试完成后，应对用户技术人员进行调试、操作、仪器维护、故障排除等方面的现场培训，除现场安装培训外，制造商应提供终身免费技术咨询服务。</w:t>
      </w:r>
    </w:p>
    <w:p>
      <w:pPr>
        <w:spacing w:line="360" w:lineRule="auto"/>
        <w:rPr>
          <w:rFonts w:hint="eastAsia"/>
          <w:sz w:val="24"/>
        </w:rPr>
      </w:pPr>
      <w:r>
        <w:rPr>
          <w:rFonts w:hint="eastAsia"/>
          <w:sz w:val="24"/>
        </w:rPr>
        <w:t>1.3.2 国内培训：验收1年内根据用户要求不少于2人的国内免费深度现场培训。提供的培训应涉及货物的基本原理、操作使用和保养维修等有关内容的培训。培训老师的培训费、旅费、食宿费等费用由卖方负责。</w:t>
      </w:r>
    </w:p>
    <w:p>
      <w:pPr>
        <w:spacing w:line="360" w:lineRule="auto"/>
        <w:rPr>
          <w:rFonts w:hint="eastAsia"/>
          <w:sz w:val="24"/>
        </w:rPr>
      </w:pPr>
      <w:r>
        <w:rPr>
          <w:rFonts w:hint="eastAsia"/>
          <w:sz w:val="24"/>
        </w:rPr>
        <w:t>1.4 保修期：卖方提供2年的免费保修，保修期自仪器验收签字之日起计算。</w:t>
      </w:r>
    </w:p>
    <w:p>
      <w:pPr>
        <w:spacing w:line="360" w:lineRule="auto"/>
        <w:rPr>
          <w:rFonts w:hint="eastAsia"/>
          <w:sz w:val="24"/>
        </w:rPr>
      </w:pPr>
      <w:r>
        <w:rPr>
          <w:rFonts w:hint="eastAsia"/>
          <w:sz w:val="24"/>
        </w:rPr>
        <w:t>保修期内由于设备质量或安装调试原因造成的维修所产生的全部费用（包括更换零配件的费用）均由卖方承担。保修期内出现故障导致仪器停用的时间，从保修期中扣除。保修期满前1个月内卖方应负责一次免费全面检查，并写出正式报告，如发现潜在问题，应负责排除。</w:t>
      </w:r>
    </w:p>
    <w:p>
      <w:pPr>
        <w:spacing w:line="360" w:lineRule="auto"/>
        <w:rPr>
          <w:rFonts w:hint="eastAsia"/>
          <w:sz w:val="24"/>
        </w:rPr>
      </w:pPr>
      <w:r>
        <w:rPr>
          <w:rFonts w:hint="eastAsia"/>
          <w:sz w:val="24"/>
        </w:rPr>
        <w:t>1.5卖方应在24小时内对用户的服务要求作出响应，维修服务包括电话指导和现场维修;需要现场维修的，卖方工程师应尽快到达仪器现场;当设备故障严重时,须在五个工作日内到现场解决问题。</w:t>
      </w:r>
    </w:p>
    <w:p>
      <w:pPr>
        <w:spacing w:line="360" w:lineRule="auto"/>
        <w:rPr>
          <w:rFonts w:hint="eastAsia"/>
          <w:sz w:val="24"/>
        </w:rPr>
      </w:pPr>
      <w:r>
        <w:rPr>
          <w:rFonts w:hint="eastAsia"/>
          <w:sz w:val="24"/>
        </w:rPr>
        <w:t>1.6在硬件支持的前提下仪器采集软件终身免费升级。</w:t>
      </w:r>
    </w:p>
    <w:p>
      <w:pPr>
        <w:spacing w:line="360" w:lineRule="auto"/>
        <w:rPr>
          <w:rFonts w:hint="eastAsia"/>
          <w:b/>
          <w:sz w:val="24"/>
        </w:rPr>
      </w:pPr>
    </w:p>
    <w:p>
      <w:pPr>
        <w:spacing w:line="360" w:lineRule="auto"/>
        <w:rPr>
          <w:rFonts w:hint="eastAsia"/>
          <w:b/>
          <w:sz w:val="24"/>
        </w:rPr>
      </w:pPr>
      <w:r>
        <w:rPr>
          <w:rFonts w:hint="eastAsia"/>
          <w:b/>
          <w:sz w:val="24"/>
        </w:rPr>
        <w:t>（三） 订货数量：</w:t>
      </w:r>
    </w:p>
    <w:p>
      <w:pPr>
        <w:spacing w:line="360" w:lineRule="auto"/>
        <w:ind w:firstLine="240" w:firstLineChars="100"/>
        <w:rPr>
          <w:rFonts w:hint="eastAsia"/>
          <w:sz w:val="24"/>
        </w:rPr>
      </w:pPr>
      <w:r>
        <w:rPr>
          <w:rFonts w:hint="eastAsia"/>
          <w:sz w:val="24"/>
        </w:rPr>
        <w:t xml:space="preserve"> 电感耦合等离子体质谱仪1台</w:t>
      </w:r>
    </w:p>
    <w:p>
      <w:pPr>
        <w:spacing w:line="360" w:lineRule="auto"/>
        <w:rPr>
          <w:rFonts w:hint="eastAsia"/>
          <w:sz w:val="24"/>
        </w:rPr>
      </w:pPr>
    </w:p>
    <w:p>
      <w:pPr>
        <w:spacing w:line="360" w:lineRule="auto"/>
        <w:rPr>
          <w:rFonts w:hint="eastAsia"/>
          <w:b/>
          <w:sz w:val="24"/>
        </w:rPr>
      </w:pPr>
      <w:r>
        <w:rPr>
          <w:rFonts w:hint="eastAsia"/>
          <w:b/>
          <w:sz w:val="24"/>
        </w:rPr>
        <w:t>（四） 目的港：</w:t>
      </w:r>
    </w:p>
    <w:p>
      <w:pPr>
        <w:spacing w:line="360" w:lineRule="auto"/>
        <w:ind w:firstLine="240"/>
        <w:rPr>
          <w:rFonts w:hint="eastAsia"/>
          <w:sz w:val="24"/>
        </w:rPr>
      </w:pPr>
      <w:r>
        <w:rPr>
          <w:rFonts w:hint="eastAsia"/>
          <w:sz w:val="24"/>
        </w:rPr>
        <w:t xml:space="preserve"> CIF福州</w:t>
      </w:r>
    </w:p>
    <w:p>
      <w:pPr>
        <w:spacing w:line="360" w:lineRule="auto"/>
        <w:rPr>
          <w:rFonts w:hint="eastAsia"/>
          <w:sz w:val="24"/>
        </w:rPr>
      </w:pPr>
    </w:p>
    <w:p>
      <w:pPr>
        <w:spacing w:line="360" w:lineRule="auto"/>
        <w:rPr>
          <w:rFonts w:hint="eastAsia"/>
          <w:b/>
          <w:sz w:val="24"/>
        </w:rPr>
      </w:pPr>
      <w:r>
        <w:rPr>
          <w:rFonts w:hint="eastAsia"/>
          <w:b/>
          <w:sz w:val="24"/>
        </w:rPr>
        <w:t>（五）交货日期：</w:t>
      </w:r>
    </w:p>
    <w:p>
      <w:r>
        <w:rPr>
          <w:rFonts w:hint="eastAsia"/>
          <w:sz w:val="24"/>
        </w:rPr>
        <w:t xml:space="preserve">  合同生效并满足所有发货条件后6个月内。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kYzdjODk4ZWI5MDNiZmQ2YmU5MDUyNmUyYTY1OWUifQ=="/>
  </w:docVars>
  <w:rsids>
    <w:rsidRoot w:val="76EC07E1"/>
    <w:rsid w:val="05C5181B"/>
    <w:rsid w:val="76EC07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3152</Words>
  <Characters>3626</Characters>
  <Lines>0</Lines>
  <Paragraphs>0</Paragraphs>
  <TotalTime>0</TotalTime>
  <ScaleCrop>false</ScaleCrop>
  <LinksUpToDate>false</LinksUpToDate>
  <CharactersWithSpaces>3743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2023-07-24T09:07:00Z</dcterms:created>
  <dc:creator>godjiao</dc:creator>
  <cp:lastModifiedBy>Administrator</cp:lastModifiedBy>
  <dcterms:modified xsi:type="dcterms:W3CDTF">2023-07-25T03:03:43Z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FE5DBD99AA514E2482710E7353B60FEC_13</vt:lpwstr>
  </property>
</Properties>
</file>