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627183">
      <w:pPr>
        <w:spacing w:line="360" w:lineRule="auto"/>
        <w:jc w:val="center"/>
        <w:outlineLvl w:val="0"/>
        <w:rPr>
          <w:rFonts w:hint="eastAsia" w:ascii="仿宋" w:hAnsi="仿宋" w:eastAsia="仿宋" w:cs="仿宋"/>
          <w:color w:val="000000" w:themeColor="text1"/>
          <w:sz w:val="32"/>
          <w:szCs w:val="32"/>
          <w14:textFill>
            <w14:solidFill>
              <w14:schemeClr w14:val="tx1"/>
            </w14:solidFill>
          </w14:textFill>
        </w:rPr>
      </w:pPr>
      <w:bookmarkStart w:id="33" w:name="_GoBack"/>
      <w:bookmarkEnd w:id="33"/>
      <w:r>
        <w:rPr>
          <w:rFonts w:hint="eastAsia" w:ascii="仿宋" w:hAnsi="仿宋" w:eastAsia="仿宋" w:cs="仿宋"/>
          <w:b/>
          <w:color w:val="000000" w:themeColor="text1"/>
          <w:sz w:val="36"/>
          <w:szCs w:val="36"/>
          <w14:textFill>
            <w14:solidFill>
              <w14:schemeClr w14:val="tx1"/>
            </w14:solidFill>
          </w14:textFill>
        </w:rPr>
        <w:t>章   投标邀请</w:t>
      </w:r>
    </w:p>
    <w:p w14:paraId="1CA98150">
      <w:pPr>
        <w:spacing w:line="360" w:lineRule="auto"/>
        <w:jc w:val="center"/>
        <w:outlineLvl w:val="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t>投标邀请</w:t>
      </w:r>
    </w:p>
    <w:p w14:paraId="2DD2A1EC">
      <w:pPr>
        <w:pStyle w:val="3"/>
        <w:spacing w:before="0" w:line="360" w:lineRule="auto"/>
        <w:jc w:val="left"/>
        <w:rPr>
          <w:rFonts w:hint="eastAsia" w:ascii="仿宋" w:hAnsi="仿宋" w:eastAsia="仿宋" w:cs="仿宋"/>
          <w:color w:val="000000" w:themeColor="text1"/>
          <w:sz w:val="24"/>
          <w:szCs w:val="24"/>
          <w14:textFill>
            <w14:solidFill>
              <w14:schemeClr w14:val="tx1"/>
            </w14:solidFill>
          </w14:textFill>
        </w:rPr>
      </w:pPr>
      <w:bookmarkStart w:id="0" w:name="_Toc35393621"/>
      <w:bookmarkStart w:id="1" w:name="_Toc35393790"/>
      <w:bookmarkStart w:id="2" w:name="_Toc28359002"/>
      <w:bookmarkStart w:id="3" w:name="_Toc28359079"/>
      <w:bookmarkStart w:id="4" w:name="_Hlk24379207"/>
      <w:r>
        <w:rPr>
          <w:rFonts w:hint="eastAsia" w:ascii="仿宋" w:hAnsi="仿宋" w:eastAsia="仿宋" w:cs="仿宋"/>
          <w:color w:val="000000" w:themeColor="text1"/>
          <w:sz w:val="24"/>
          <w:szCs w:val="24"/>
          <w14:textFill>
            <w14:solidFill>
              <w14:schemeClr w14:val="tx1"/>
            </w14:solidFill>
          </w14:textFill>
        </w:rPr>
        <w:t>一、项目基本情况</w:t>
      </w:r>
      <w:bookmarkEnd w:id="0"/>
      <w:bookmarkEnd w:id="1"/>
      <w:bookmarkEnd w:id="2"/>
      <w:bookmarkEnd w:id="3"/>
    </w:p>
    <w:p w14:paraId="049A95A2">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1.项目编号：ZCJ20250566</w:t>
      </w:r>
    </w:p>
    <w:p w14:paraId="396B127D">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2.项目名称：</w:t>
      </w:r>
      <w:bookmarkEnd w:id="4"/>
      <w:r>
        <w:rPr>
          <w:rFonts w:hint="eastAsia" w:ascii="仿宋" w:hAnsi="仿宋" w:eastAsia="仿宋" w:cs="仿宋"/>
          <w:color w:val="000000" w:themeColor="text1"/>
          <w:sz w:val="24"/>
          <w14:textFill>
            <w14:solidFill>
              <w14:schemeClr w14:val="tx1"/>
            </w14:solidFill>
          </w14:textFill>
        </w:rPr>
        <w:t>中国科学院长春应用化学研究所万能材料试验机采购项目</w:t>
      </w:r>
    </w:p>
    <w:p w14:paraId="5BB10672">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3.项目预算金额：150万元，项目最高限价：150万元</w:t>
      </w:r>
    </w:p>
    <w:p w14:paraId="315136BB">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4.采购需求： </w:t>
      </w:r>
    </w:p>
    <w:tbl>
      <w:tblPr>
        <w:tblStyle w:val="13"/>
        <w:tblW w:w="52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2178"/>
        <w:gridCol w:w="1480"/>
        <w:gridCol w:w="1478"/>
        <w:gridCol w:w="1062"/>
        <w:gridCol w:w="2877"/>
      </w:tblGrid>
      <w:tr w14:paraId="378E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394" w:type="pct"/>
            <w:vAlign w:val="center"/>
          </w:tcPr>
          <w:p w14:paraId="13AD6C51">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序号</w:t>
            </w:r>
          </w:p>
        </w:tc>
        <w:tc>
          <w:tcPr>
            <w:tcW w:w="1105" w:type="pct"/>
            <w:vAlign w:val="center"/>
          </w:tcPr>
          <w:p w14:paraId="7F2124BB">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标的名称</w:t>
            </w:r>
          </w:p>
        </w:tc>
        <w:tc>
          <w:tcPr>
            <w:tcW w:w="751" w:type="pct"/>
            <w:vAlign w:val="center"/>
          </w:tcPr>
          <w:p w14:paraId="358B1AD0">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采购包预算金额</w:t>
            </w:r>
          </w:p>
          <w:p w14:paraId="34906139">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（万元）</w:t>
            </w:r>
          </w:p>
        </w:tc>
        <w:tc>
          <w:tcPr>
            <w:tcW w:w="750" w:type="pct"/>
            <w:vAlign w:val="center"/>
          </w:tcPr>
          <w:p w14:paraId="21EEA25F">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采购包最高限价</w:t>
            </w:r>
          </w:p>
          <w:p w14:paraId="5AD7E81B">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（万元）</w:t>
            </w:r>
          </w:p>
        </w:tc>
        <w:tc>
          <w:tcPr>
            <w:tcW w:w="539" w:type="pct"/>
            <w:vAlign w:val="center"/>
          </w:tcPr>
          <w:p w14:paraId="27F04C98">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数量</w:t>
            </w:r>
          </w:p>
        </w:tc>
        <w:tc>
          <w:tcPr>
            <w:tcW w:w="1460" w:type="pct"/>
            <w:vAlign w:val="center"/>
          </w:tcPr>
          <w:p w14:paraId="48B73591">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简要技术需求或服务要求</w:t>
            </w:r>
          </w:p>
        </w:tc>
      </w:tr>
      <w:tr w14:paraId="4BBA0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394" w:type="pct"/>
            <w:vAlign w:val="center"/>
          </w:tcPr>
          <w:p w14:paraId="7B773395">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01</w:t>
            </w:r>
          </w:p>
        </w:tc>
        <w:tc>
          <w:tcPr>
            <w:tcW w:w="1105" w:type="pct"/>
            <w:vAlign w:val="center"/>
          </w:tcPr>
          <w:p w14:paraId="2702D09E">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万能材料试验机</w:t>
            </w:r>
          </w:p>
        </w:tc>
        <w:tc>
          <w:tcPr>
            <w:tcW w:w="751" w:type="pct"/>
            <w:vAlign w:val="center"/>
          </w:tcPr>
          <w:p w14:paraId="320A100C">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150</w:t>
            </w:r>
          </w:p>
        </w:tc>
        <w:tc>
          <w:tcPr>
            <w:tcW w:w="750" w:type="pct"/>
            <w:vAlign w:val="center"/>
          </w:tcPr>
          <w:p w14:paraId="47165D3F">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150</w:t>
            </w:r>
          </w:p>
        </w:tc>
        <w:tc>
          <w:tcPr>
            <w:tcW w:w="539" w:type="pct"/>
            <w:vAlign w:val="center"/>
          </w:tcPr>
          <w:p w14:paraId="40041F44">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 w:val="22"/>
                <w:szCs w:val="22"/>
                <w14:textFill>
                  <w14:solidFill>
                    <w14:schemeClr w14:val="tx1"/>
                  </w14:solidFill>
                </w14:textFill>
              </w:rPr>
              <w:t>1套</w:t>
            </w:r>
          </w:p>
        </w:tc>
        <w:tc>
          <w:tcPr>
            <w:tcW w:w="1460" w:type="pct"/>
            <w:vAlign w:val="center"/>
          </w:tcPr>
          <w:p w14:paraId="79304453">
            <w:pPr>
              <w:jc w:val="center"/>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*2.8 测试区域：高度≥1350mm，宽度≥440mm</w:t>
            </w:r>
          </w:p>
        </w:tc>
      </w:tr>
    </w:tbl>
    <w:p w14:paraId="3BE12D89">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p>
    <w:p w14:paraId="489CAE3F">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5.合同履行期限：合同签订后至项目完成</w:t>
      </w:r>
    </w:p>
    <w:p w14:paraId="3DD579AF">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6.本项目是否接受联合体投标：□是  ■否。</w:t>
      </w:r>
    </w:p>
    <w:p w14:paraId="41A9FD6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7.本项目是否允许采购进口产品：■是 □否</w:t>
      </w:r>
    </w:p>
    <w:p w14:paraId="316B0F31">
      <w:pPr>
        <w:pStyle w:val="3"/>
        <w:spacing w:before="0" w:line="360" w:lineRule="auto"/>
        <w:jc w:val="left"/>
        <w:rPr>
          <w:rFonts w:hint="eastAsia" w:ascii="仿宋" w:hAnsi="仿宋" w:eastAsia="仿宋" w:cs="仿宋"/>
          <w:color w:val="000000" w:themeColor="text1"/>
          <w:sz w:val="24"/>
          <w:szCs w:val="24"/>
          <w14:textFill>
            <w14:solidFill>
              <w14:schemeClr w14:val="tx1"/>
            </w14:solidFill>
          </w14:textFill>
        </w:rPr>
      </w:pPr>
      <w:bookmarkStart w:id="5" w:name="_Toc35393791"/>
      <w:bookmarkStart w:id="6" w:name="_Toc35393622"/>
      <w:bookmarkStart w:id="7" w:name="_Toc28359080"/>
      <w:bookmarkStart w:id="8" w:name="_Toc28359003"/>
      <w:r>
        <w:rPr>
          <w:rFonts w:hint="eastAsia" w:ascii="仿宋" w:hAnsi="仿宋" w:eastAsia="仿宋" w:cs="仿宋"/>
          <w:color w:val="000000" w:themeColor="text1"/>
          <w:sz w:val="24"/>
          <w:szCs w:val="24"/>
          <w14:textFill>
            <w14:solidFill>
              <w14:schemeClr w14:val="tx1"/>
            </w14:solidFill>
          </w14:textFill>
        </w:rPr>
        <w:t>二、申请人的资格要求（须同时满足）</w:t>
      </w:r>
      <w:bookmarkEnd w:id="5"/>
      <w:bookmarkEnd w:id="6"/>
      <w:bookmarkEnd w:id="7"/>
      <w:bookmarkEnd w:id="8"/>
    </w:p>
    <w:p w14:paraId="73329C2C">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1.满足《中华人民共和国政府采购法》第二十二条规定；</w:t>
      </w:r>
    </w:p>
    <w:p w14:paraId="779E27DC">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bookmarkStart w:id="9" w:name="_Toc28359081"/>
      <w:bookmarkStart w:id="10" w:name="_Toc28359004"/>
      <w:r>
        <w:rPr>
          <w:rFonts w:hint="eastAsia" w:ascii="仿宋" w:hAnsi="仿宋" w:eastAsia="仿宋" w:cs="仿宋"/>
          <w:color w:val="000000" w:themeColor="text1"/>
          <w:sz w:val="24"/>
          <w14:textFill>
            <w14:solidFill>
              <w14:schemeClr w14:val="tx1"/>
            </w14:solidFill>
          </w14:textFill>
        </w:rPr>
        <w:t>2.落实政府采购政策需满足的资格要求：</w:t>
      </w:r>
    </w:p>
    <w:p w14:paraId="096C2813">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2.1 中小企业政策</w:t>
      </w:r>
    </w:p>
    <w:p w14:paraId="154A0BD7">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■本项目不专门面向中小企业预留采购份额。</w:t>
      </w:r>
    </w:p>
    <w:p w14:paraId="54B4EDA7">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□本项目专门面向小微企业采购。即：提供的服务全部由符合政策要求的小微企业承接。</w:t>
      </w:r>
    </w:p>
    <w:p w14:paraId="3C0E028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□本项目预留部分采购项目预算专门面向中小企业采购。对于预留份额，提供的货物由符合政策要求的中小企业制造、服务由符合政策要求的中小企业承接。预留份额通过以下措施进行：_____。</w:t>
      </w:r>
    </w:p>
    <w:p w14:paraId="0082B262">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 其它落实政府采购政策的资格要求（如有）：</w:t>
      </w:r>
      <w:r>
        <w:rPr>
          <w:rFonts w:hint="eastAsia" w:ascii="仿宋" w:hAnsi="仿宋" w:eastAsia="仿宋" w:cs="仿宋"/>
          <w:color w:val="000000" w:themeColor="text1"/>
          <w:sz w:val="24"/>
          <w:u w:val="single"/>
          <w14:textFill>
            <w14:solidFill>
              <w14:schemeClr w14:val="tx1"/>
            </w14:solidFill>
          </w14:textFill>
        </w:rPr>
        <w:t xml:space="preserve">  /  </w:t>
      </w:r>
      <w:r>
        <w:rPr>
          <w:rFonts w:hint="eastAsia" w:ascii="仿宋" w:hAnsi="仿宋" w:eastAsia="仿宋" w:cs="仿宋"/>
          <w:color w:val="000000" w:themeColor="text1"/>
          <w:sz w:val="24"/>
          <w14:textFill>
            <w14:solidFill>
              <w14:schemeClr w14:val="tx1"/>
            </w14:solidFill>
          </w14:textFill>
        </w:rPr>
        <w:t>。</w:t>
      </w:r>
    </w:p>
    <w:p w14:paraId="310210D3">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3.本项目的特定资格要求：</w:t>
      </w:r>
    </w:p>
    <w:p w14:paraId="374C4379">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3.1本项目是否属于政府购买服务：</w:t>
      </w:r>
    </w:p>
    <w:p w14:paraId="03C54F9E">
      <w:pPr>
        <w:tabs>
          <w:tab w:val="left" w:pos="900"/>
          <w:tab w:val="left" w:pos="1134"/>
          <w:tab w:val="left" w:pos="1589"/>
          <w:tab w:val="left" w:pos="5521"/>
        </w:tabs>
        <w:snapToGrid w:val="0"/>
        <w:spacing w:line="360" w:lineRule="auto"/>
        <w:ind w:left="991" w:leftChars="472" w:firstLine="2"/>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■否</w:t>
      </w:r>
    </w:p>
    <w:p w14:paraId="438C0351">
      <w:pPr>
        <w:tabs>
          <w:tab w:val="left" w:pos="900"/>
          <w:tab w:val="left" w:pos="1134"/>
          <w:tab w:val="left" w:pos="1589"/>
          <w:tab w:val="left" w:pos="5521"/>
        </w:tabs>
        <w:snapToGrid w:val="0"/>
        <w:spacing w:line="360" w:lineRule="auto"/>
        <w:ind w:left="991" w:leftChars="472" w:firstLine="2"/>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□是，公益一类事业单位、使用事业编制且由财政拨款保障的群团组织，不得作为承接主体；</w:t>
      </w:r>
    </w:p>
    <w:p w14:paraId="6D6806A0">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3.2其他特定资格要求：</w:t>
      </w:r>
    </w:p>
    <w:p w14:paraId="4AD31DE9">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(1)供应商是指有生产或供应能力，向采购人提供货物的法人、其他组织或自然人。</w:t>
      </w:r>
    </w:p>
    <w:p w14:paraId="202F622B">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(2)具备《中华人民共和国政府采购法》第二十二条规定的条件。</w:t>
      </w:r>
    </w:p>
    <w:p w14:paraId="54D5BC06">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(3)在中华人民共和国境内注册，能够独立承担民事责任，有生产或供应能力的本国供应商，包括法人、其他组织或者自然人。</w:t>
      </w:r>
    </w:p>
    <w:p w14:paraId="269B190F">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(4)在法律上和财务上独立、合法运作并独立于采购人和采购代理机构之外。</w:t>
      </w:r>
    </w:p>
    <w:p w14:paraId="271D16FD">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 供应商的投标货物应当符合国家有关部门规定的相应技术、节能、安全和环保标准；如国家有关部门对供应商的投标货物有强制性规定或要求的，则供应商的投标货物必须符合相应规定或要求。</w:t>
      </w:r>
    </w:p>
    <w:p w14:paraId="2207A6C7">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 如供应商为代理商，投标产品必须具有合法销售或允许销售的证明文件，如签约代理或项目授权；如供应商为制造商，投标产品必须具有合法制造并销售的证明文件，且符合《中华人民共和国政府采购法》及相关法律法规规定的证明文件。</w:t>
      </w:r>
    </w:p>
    <w:p w14:paraId="1A95E2FB">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 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w:t>
      </w:r>
    </w:p>
    <w:p w14:paraId="033183FD">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(8) 供应商必须向采购代理机构购买招标文件并登记备案，未向采购代理机构购买招标文件并登记备案的潜在供应商均无资格参加本次投标。</w:t>
      </w:r>
    </w:p>
    <w:p w14:paraId="1DA13B5B">
      <w:pPr>
        <w:tabs>
          <w:tab w:val="left" w:pos="900"/>
          <w:tab w:val="left" w:pos="1134"/>
          <w:tab w:val="left" w:pos="1589"/>
          <w:tab w:val="left" w:pos="5521"/>
        </w:tabs>
        <w:snapToGrid w:val="0"/>
        <w:spacing w:line="360" w:lineRule="auto"/>
        <w:ind w:firstLine="420" w:firstLineChars="175"/>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(9)单位负责人为同一人或者存在直接控股、管理关系的不同投标人，不得参加同一合同项下的政府采购活动。</w:t>
      </w:r>
    </w:p>
    <w:p w14:paraId="4D6EDF9C">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(10) 投标人所投产品为进口产品需提供制造厂家的授权书、经销商(作为代理)的资格声明（格式自拟）。</w:t>
      </w:r>
    </w:p>
    <w:p w14:paraId="31855471">
      <w:pPr>
        <w:tabs>
          <w:tab w:val="left" w:pos="900"/>
          <w:tab w:val="left" w:pos="1134"/>
          <w:tab w:val="left" w:pos="1589"/>
          <w:tab w:val="left" w:pos="5521"/>
        </w:tabs>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(11)符合投标人须知资料表中规定的其他要求。</w:t>
      </w:r>
    </w:p>
    <w:bookmarkEnd w:id="9"/>
    <w:bookmarkEnd w:id="10"/>
    <w:p w14:paraId="630534B0">
      <w:pPr>
        <w:pStyle w:val="3"/>
        <w:widowControl/>
        <w:spacing w:before="0" w:line="360" w:lineRule="auto"/>
        <w:jc w:val="left"/>
        <w:rPr>
          <w:rFonts w:hint="eastAsia" w:ascii="仿宋" w:hAnsi="仿宋" w:eastAsia="仿宋" w:cs="仿宋"/>
          <w:color w:val="000000" w:themeColor="text1"/>
          <w:sz w:val="24"/>
          <w:szCs w:val="24"/>
          <w14:textFill>
            <w14:solidFill>
              <w14:schemeClr w14:val="tx1"/>
            </w14:solidFill>
          </w14:textFill>
        </w:rPr>
      </w:pPr>
      <w:bookmarkStart w:id="11" w:name="_Toc35393792"/>
      <w:bookmarkStart w:id="12" w:name="_Toc35393623"/>
      <w:r>
        <w:rPr>
          <w:rFonts w:hint="eastAsia" w:ascii="仿宋" w:hAnsi="仿宋" w:eastAsia="仿宋" w:cs="仿宋"/>
          <w:color w:val="000000" w:themeColor="text1"/>
          <w:sz w:val="24"/>
          <w:szCs w:val="24"/>
          <w14:textFill>
            <w14:solidFill>
              <w14:schemeClr w14:val="tx1"/>
            </w14:solidFill>
          </w14:textFill>
        </w:rPr>
        <w:t>三、获取招标文件</w:t>
      </w:r>
      <w:bookmarkEnd w:id="11"/>
      <w:bookmarkEnd w:id="12"/>
    </w:p>
    <w:p w14:paraId="59C32245">
      <w:pPr>
        <w:adjustRightInd w:val="0"/>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1.时间：2025年6月3日至2025年6月11日，每天上午09:00至11:30，下午13:00至17:00（北京时间，法定节假日除外）。</w:t>
      </w:r>
    </w:p>
    <w:p w14:paraId="2E06A535">
      <w:pPr>
        <w:adjustRightInd w:val="0"/>
        <w:snapToGrid w:val="0"/>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2.地点：：beijingzcj@163.com</w:t>
      </w:r>
    </w:p>
    <w:p w14:paraId="4FFCAA8F">
      <w:pPr>
        <w:widowControl/>
        <w:adjustRightInd w:val="0"/>
        <w:snapToGrid w:val="0"/>
        <w:spacing w:line="360" w:lineRule="auto"/>
        <w:ind w:firstLine="480" w:firstLineChars="200"/>
        <w:jc w:val="left"/>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3.方式：潜在投标人按照附表（后附）填写公司等相关信息后，连同标书款电汇底单发送邮件至beijingzcj@163.com。购买时间以邮件发送成功时间为准，非发售时间内所发送邮件无效。收到邮件后招标公司将招标文件以电子版形式发送。招标文件售后不退。</w:t>
      </w:r>
    </w:p>
    <w:p w14:paraId="2B2814A8">
      <w:pPr>
        <w:widowControl/>
        <w:adjustRightInd w:val="0"/>
        <w:snapToGrid w:val="0"/>
        <w:spacing w:line="360" w:lineRule="auto"/>
        <w:ind w:firstLine="480" w:firstLineChars="200"/>
        <w:jc w:val="left"/>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账户名称：北京中储建国际工程管理有限公司</w:t>
      </w:r>
    </w:p>
    <w:p w14:paraId="3BAD294E">
      <w:pPr>
        <w:widowControl/>
        <w:adjustRightInd w:val="0"/>
        <w:snapToGrid w:val="0"/>
        <w:spacing w:line="360" w:lineRule="auto"/>
        <w:ind w:firstLine="480" w:firstLineChars="200"/>
        <w:jc w:val="left"/>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开户银行：中国工商银行股份有限公司北京自贸试验区永丰基地支行</w:t>
      </w:r>
    </w:p>
    <w:p w14:paraId="7D16589E">
      <w:pPr>
        <w:widowControl/>
        <w:adjustRightInd w:val="0"/>
        <w:snapToGrid w:val="0"/>
        <w:spacing w:line="360" w:lineRule="auto"/>
        <w:ind w:firstLine="480" w:firstLineChars="200"/>
        <w:jc w:val="left"/>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银行行号：102100015180</w:t>
      </w:r>
    </w:p>
    <w:p w14:paraId="5D52A9F2">
      <w:pPr>
        <w:widowControl/>
        <w:adjustRightInd w:val="0"/>
        <w:snapToGrid w:val="0"/>
        <w:spacing w:line="360" w:lineRule="auto"/>
        <w:ind w:firstLine="480" w:firstLineChars="200"/>
        <w:jc w:val="left"/>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银行账号：0200151809100198842</w:t>
      </w:r>
    </w:p>
    <w:p w14:paraId="474E8F31">
      <w:pPr>
        <w:widowControl/>
        <w:adjustRightInd w:val="0"/>
        <w:snapToGrid w:val="0"/>
        <w:spacing w:line="360" w:lineRule="auto"/>
        <w:ind w:firstLine="480" w:firstLineChars="200"/>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4.售价：600元。</w:t>
      </w:r>
    </w:p>
    <w:p w14:paraId="2BD82252">
      <w:pPr>
        <w:pStyle w:val="3"/>
        <w:widowControl/>
        <w:spacing w:before="0" w:line="360" w:lineRule="auto"/>
        <w:jc w:val="left"/>
        <w:rPr>
          <w:rFonts w:hint="eastAsia" w:ascii="仿宋" w:hAnsi="仿宋" w:eastAsia="仿宋" w:cs="仿宋"/>
          <w:color w:val="000000" w:themeColor="text1"/>
          <w:sz w:val="24"/>
          <w:szCs w:val="24"/>
          <w14:textFill>
            <w14:solidFill>
              <w14:schemeClr w14:val="tx1"/>
            </w14:solidFill>
          </w14:textFill>
        </w:rPr>
      </w:pPr>
      <w:bookmarkStart w:id="13" w:name="_Toc28359005"/>
      <w:bookmarkStart w:id="14" w:name="_Toc28359082"/>
      <w:bookmarkStart w:id="15" w:name="_Toc35393793"/>
      <w:bookmarkStart w:id="16" w:name="_Toc35393624"/>
      <w:r>
        <w:rPr>
          <w:rFonts w:hint="eastAsia" w:ascii="仿宋" w:hAnsi="仿宋" w:eastAsia="仿宋" w:cs="仿宋"/>
          <w:color w:val="000000" w:themeColor="text1"/>
          <w:sz w:val="24"/>
          <w:szCs w:val="24"/>
          <w14:textFill>
            <w14:solidFill>
              <w14:schemeClr w14:val="tx1"/>
            </w14:solidFill>
          </w14:textFill>
        </w:rPr>
        <w:t>四、提交投标文件</w:t>
      </w:r>
      <w:bookmarkEnd w:id="13"/>
      <w:bookmarkEnd w:id="14"/>
      <w:r>
        <w:rPr>
          <w:rFonts w:hint="eastAsia" w:ascii="仿宋" w:hAnsi="仿宋" w:eastAsia="仿宋" w:cs="仿宋"/>
          <w:color w:val="000000" w:themeColor="text1"/>
          <w:sz w:val="24"/>
          <w:szCs w:val="24"/>
          <w14:textFill>
            <w14:solidFill>
              <w14:schemeClr w14:val="tx1"/>
            </w14:solidFill>
          </w14:textFill>
        </w:rPr>
        <w:t>截止时间、开标时间和地点</w:t>
      </w:r>
      <w:bookmarkEnd w:id="15"/>
      <w:bookmarkEnd w:id="16"/>
    </w:p>
    <w:p w14:paraId="1DA95D43">
      <w:pPr>
        <w:spacing w:line="360" w:lineRule="auto"/>
        <w:ind w:firstLine="480" w:firstLineChars="200"/>
        <w:rPr>
          <w:rFonts w:hint="eastAsia" w:ascii="仿宋" w:hAnsi="仿宋" w:eastAsia="仿宋" w:cs="仿宋"/>
          <w:bCs/>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投标截止时间、开标时间：2025年6月24日14点00分</w:t>
      </w:r>
      <w:r>
        <w:rPr>
          <w:rFonts w:hint="eastAsia" w:ascii="仿宋" w:hAnsi="仿宋" w:eastAsia="仿宋" w:cs="仿宋"/>
          <w:bCs/>
          <w:color w:val="000000" w:themeColor="text1"/>
          <w:sz w:val="24"/>
          <w14:textFill>
            <w14:solidFill>
              <w14:schemeClr w14:val="tx1"/>
            </w14:solidFill>
          </w14:textFill>
        </w:rPr>
        <w:t>（北京时间）</w:t>
      </w:r>
      <w:r>
        <w:rPr>
          <w:rFonts w:hint="eastAsia" w:ascii="仿宋" w:hAnsi="仿宋" w:eastAsia="仿宋" w:cs="仿宋"/>
          <w:iCs/>
          <w:color w:val="000000" w:themeColor="text1"/>
          <w:sz w:val="24"/>
          <w14:textFill>
            <w14:solidFill>
              <w14:schemeClr w14:val="tx1"/>
            </w14:solidFill>
          </w14:textFill>
        </w:rPr>
        <w:t>。</w:t>
      </w:r>
    </w:p>
    <w:p w14:paraId="056B9308">
      <w:pPr>
        <w:spacing w:line="360" w:lineRule="auto"/>
        <w:ind w:firstLine="480" w:firstLineChars="200"/>
        <w:rPr>
          <w:rFonts w:hint="eastAsia" w:ascii="仿宋" w:hAnsi="仿宋" w:eastAsia="仿宋" w:cs="仿宋"/>
          <w:color w:val="000000" w:themeColor="text1"/>
          <w:sz w:val="24"/>
          <w:lang w:val="zh-TW"/>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地点：吉林省长春市朝阳区人民大街5625号综合楼302会议室</w:t>
      </w:r>
    </w:p>
    <w:p w14:paraId="0AF45C85">
      <w:pPr>
        <w:pStyle w:val="3"/>
        <w:spacing w:before="0" w:line="360" w:lineRule="auto"/>
        <w:jc w:val="left"/>
        <w:rPr>
          <w:rFonts w:hint="eastAsia" w:ascii="仿宋" w:hAnsi="仿宋" w:eastAsia="仿宋" w:cs="仿宋"/>
          <w:color w:val="000000" w:themeColor="text1"/>
          <w:sz w:val="24"/>
          <w:szCs w:val="24"/>
          <w14:textFill>
            <w14:solidFill>
              <w14:schemeClr w14:val="tx1"/>
            </w14:solidFill>
          </w14:textFill>
        </w:rPr>
      </w:pPr>
      <w:bookmarkStart w:id="17" w:name="_Toc35393625"/>
      <w:bookmarkStart w:id="18" w:name="_Toc28359084"/>
      <w:bookmarkStart w:id="19" w:name="_Toc35393794"/>
      <w:bookmarkStart w:id="20" w:name="_Toc28359007"/>
      <w:r>
        <w:rPr>
          <w:rFonts w:hint="eastAsia" w:ascii="仿宋" w:hAnsi="仿宋" w:eastAsia="仿宋" w:cs="仿宋"/>
          <w:color w:val="000000" w:themeColor="text1"/>
          <w:sz w:val="24"/>
          <w:szCs w:val="24"/>
          <w14:textFill>
            <w14:solidFill>
              <w14:schemeClr w14:val="tx1"/>
            </w14:solidFill>
          </w14:textFill>
        </w:rPr>
        <w:t>五、公告期限</w:t>
      </w:r>
      <w:bookmarkEnd w:id="17"/>
      <w:bookmarkEnd w:id="18"/>
      <w:bookmarkEnd w:id="19"/>
      <w:bookmarkEnd w:id="20"/>
    </w:p>
    <w:p w14:paraId="5B8E2026">
      <w:pPr>
        <w:spacing w:line="360" w:lineRule="auto"/>
        <w:ind w:firstLine="480" w:firstLineChars="200"/>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自本公告发布之日起5个工作日。</w:t>
      </w:r>
    </w:p>
    <w:p w14:paraId="767436BB">
      <w:pPr>
        <w:pStyle w:val="3"/>
        <w:spacing w:before="0" w:line="360" w:lineRule="auto"/>
        <w:jc w:val="left"/>
        <w:rPr>
          <w:rFonts w:hint="eastAsia" w:ascii="仿宋" w:hAnsi="仿宋" w:eastAsia="仿宋" w:cs="仿宋"/>
          <w:color w:val="000000" w:themeColor="text1"/>
          <w:sz w:val="24"/>
          <w:szCs w:val="24"/>
          <w14:textFill>
            <w14:solidFill>
              <w14:schemeClr w14:val="tx1"/>
            </w14:solidFill>
          </w14:textFill>
        </w:rPr>
      </w:pPr>
      <w:bookmarkStart w:id="21" w:name="_Toc35393626"/>
      <w:bookmarkStart w:id="22" w:name="_Toc35393795"/>
      <w:r>
        <w:rPr>
          <w:rFonts w:hint="eastAsia" w:ascii="仿宋" w:hAnsi="仿宋" w:eastAsia="仿宋" w:cs="仿宋"/>
          <w:color w:val="000000" w:themeColor="text1"/>
          <w:sz w:val="24"/>
          <w:szCs w:val="24"/>
          <w14:textFill>
            <w14:solidFill>
              <w14:schemeClr w14:val="tx1"/>
            </w14:solidFill>
          </w14:textFill>
        </w:rPr>
        <w:t>六、其他补充事宜</w:t>
      </w:r>
      <w:bookmarkEnd w:id="21"/>
      <w:bookmarkEnd w:id="22"/>
    </w:p>
    <w:p w14:paraId="63649779">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本项目需要落实的政府采购政策：《政府采购促进中小企业发展管理办法》-财库〔2020〕46号；《财政部司法部关于政府采购支持监狱企业发展有关问题的通知》-财库〔2014〕68号；《关于促进残疾人就业政府采购政策的通知》-财库〔2017〕141号；《国务院办公厅关于建立政府强制采购节能产品制度的通知》-国办发〔2007〕51号；《关于调整优化节能产品、环境标志产品政府采购执行机制的通知》-财库〔2019〕9号；《关于进一步加大政府采购支持中小企业力度的通知》（财库〔2022〕19号）；《关于进一步提高政府采购透明度和采购效率相关事项的通知》（财办库〔2023〕243号）。</w:t>
      </w:r>
    </w:p>
    <w:p w14:paraId="2513DA65">
      <w:pPr>
        <w:widowControl/>
        <w:adjustRightInd w:val="0"/>
        <w:snapToGrid w:val="0"/>
        <w:spacing w:line="360" w:lineRule="auto"/>
        <w:ind w:firstLine="480" w:firstLineChars="200"/>
        <w:jc w:val="left"/>
        <w:rPr>
          <w:rFonts w:hint="eastAsia" w:ascii="仿宋" w:hAnsi="仿宋" w:eastAsia="仿宋" w:cs="仿宋"/>
          <w:color w:val="000000" w:themeColor="text1"/>
          <w:sz w:val="24"/>
          <w:lang w:eastAsia="zh-TW"/>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eastAsia="zh-TW"/>
          <w14:textFill>
            <w14:solidFill>
              <w14:schemeClr w14:val="tx1"/>
            </w14:solidFill>
          </w14:textFill>
        </w:rPr>
        <w:t>招标公告在中国政府采购网上发布。</w:t>
      </w:r>
    </w:p>
    <w:p w14:paraId="05AE1B94">
      <w:pPr>
        <w:widowControl/>
        <w:adjustRightInd w:val="0"/>
        <w:snapToGrid w:val="0"/>
        <w:spacing w:line="360" w:lineRule="auto"/>
        <w:ind w:firstLine="480" w:firstLineChars="200"/>
        <w:jc w:val="left"/>
        <w:rPr>
          <w:rFonts w:hint="eastAsia" w:ascii="仿宋" w:hAnsi="仿宋" w:eastAsia="仿宋" w:cs="仿宋"/>
          <w:color w:val="000000" w:themeColor="text1"/>
          <w:sz w:val="24"/>
          <w:lang w:eastAsia="zh-TW"/>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r>
        <w:rPr>
          <w:rFonts w:hint="eastAsia" w:ascii="仿宋" w:hAnsi="仿宋" w:eastAsia="仿宋" w:cs="仿宋"/>
          <w:color w:val="000000" w:themeColor="text1"/>
          <w:sz w:val="24"/>
          <w:lang w:eastAsia="zh-TW"/>
          <w14:textFill>
            <w14:solidFill>
              <w14:schemeClr w14:val="tx1"/>
            </w14:solidFill>
          </w14:textFill>
        </w:rPr>
        <w:t>项目审批情况：本项目已获得主管部门审批，资金已落实。</w:t>
      </w:r>
    </w:p>
    <w:p w14:paraId="0364A9CD">
      <w:pPr>
        <w:widowControl/>
        <w:adjustRightInd w:val="0"/>
        <w:snapToGrid w:val="0"/>
        <w:spacing w:line="360" w:lineRule="auto"/>
        <w:ind w:firstLine="480" w:firstLineChars="200"/>
        <w:jc w:val="left"/>
        <w:rPr>
          <w:rFonts w:hint="eastAsia" w:ascii="仿宋" w:hAnsi="仿宋" w:eastAsia="仿宋" w:cs="仿宋"/>
          <w:color w:val="000000" w:themeColor="text1"/>
          <w:sz w:val="24"/>
          <w:lang w:eastAsia="zh-TW"/>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r>
        <w:rPr>
          <w:rFonts w:hint="eastAsia" w:ascii="仿宋" w:hAnsi="仿宋" w:eastAsia="仿宋" w:cs="仿宋"/>
          <w:color w:val="000000" w:themeColor="text1"/>
          <w:sz w:val="24"/>
          <w:lang w:eastAsia="zh-TW"/>
          <w14:textFill>
            <w14:solidFill>
              <w14:schemeClr w14:val="tx1"/>
            </w14:solidFill>
          </w14:textFill>
        </w:rPr>
        <w:t>评标办法和评标标准：商务部分；技术部分；价格部分（详细的评分因素和标准见评分方法和标准）。</w:t>
      </w:r>
    </w:p>
    <w:p w14:paraId="47D2D751">
      <w:pPr>
        <w:pStyle w:val="3"/>
        <w:spacing w:before="0" w:line="360" w:lineRule="auto"/>
        <w:jc w:val="left"/>
        <w:rPr>
          <w:rFonts w:hint="eastAsia" w:ascii="仿宋" w:hAnsi="仿宋" w:eastAsia="仿宋" w:cs="仿宋"/>
          <w:color w:val="000000" w:themeColor="text1"/>
          <w:sz w:val="24"/>
          <w:szCs w:val="24"/>
          <w14:textFill>
            <w14:solidFill>
              <w14:schemeClr w14:val="tx1"/>
            </w14:solidFill>
          </w14:textFill>
        </w:rPr>
      </w:pPr>
      <w:bookmarkStart w:id="23" w:name="_Toc35393796"/>
      <w:bookmarkStart w:id="24" w:name="_Toc35393627"/>
      <w:bookmarkStart w:id="25" w:name="_Toc28359008"/>
      <w:bookmarkStart w:id="26" w:name="_Toc28359085"/>
      <w:r>
        <w:rPr>
          <w:rFonts w:hint="eastAsia" w:ascii="仿宋" w:hAnsi="仿宋" w:eastAsia="仿宋" w:cs="仿宋"/>
          <w:color w:val="000000" w:themeColor="text1"/>
          <w:sz w:val="24"/>
          <w:szCs w:val="24"/>
          <w14:textFill>
            <w14:solidFill>
              <w14:schemeClr w14:val="tx1"/>
            </w14:solidFill>
          </w14:textFill>
        </w:rPr>
        <w:t>七、对本次招标提出询问，请按以下方式联系。</w:t>
      </w:r>
      <w:bookmarkEnd w:id="23"/>
      <w:bookmarkEnd w:id="24"/>
      <w:bookmarkEnd w:id="25"/>
      <w:bookmarkEnd w:id="26"/>
    </w:p>
    <w:p w14:paraId="7E9B20F4">
      <w:pPr>
        <w:widowControl/>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w:t>
      </w:r>
      <w:r>
        <w:rPr>
          <w:rFonts w:hint="eastAsia" w:ascii="仿宋" w:hAnsi="仿宋" w:eastAsia="仿宋" w:cs="仿宋"/>
          <w:b/>
          <w:color w:val="000000" w:themeColor="text1"/>
          <w:sz w:val="24"/>
          <w14:textFill>
            <w14:solidFill>
              <w14:schemeClr w14:val="tx1"/>
            </w14:solidFill>
          </w14:textFill>
        </w:rPr>
        <w:t>1.采购人信息</w:t>
      </w:r>
    </w:p>
    <w:p w14:paraId="204C2B60">
      <w:pPr>
        <w:spacing w:line="360" w:lineRule="auto"/>
        <w:ind w:left="1079" w:leftChars="371" w:hanging="300" w:hangingChars="125"/>
        <w:jc w:val="left"/>
        <w:rPr>
          <w:rFonts w:hint="eastAsia" w:ascii="仿宋" w:hAnsi="仿宋" w:eastAsia="仿宋" w:cs="仿宋"/>
          <w:color w:val="000000" w:themeColor="text1"/>
          <w:sz w:val="24"/>
          <w14:textFill>
            <w14:solidFill>
              <w14:schemeClr w14:val="tx1"/>
            </w14:solidFill>
          </w14:textFill>
        </w:rPr>
      </w:pPr>
      <w:bookmarkStart w:id="27" w:name="_Toc28359009"/>
      <w:bookmarkStart w:id="28" w:name="_Toc28359086"/>
      <w:r>
        <w:rPr>
          <w:rFonts w:hint="eastAsia" w:ascii="仿宋" w:hAnsi="仿宋" w:eastAsia="仿宋" w:cs="仿宋"/>
          <w:color w:val="000000" w:themeColor="text1"/>
          <w:sz w:val="24"/>
          <w14:textFill>
            <w14:solidFill>
              <w14:schemeClr w14:val="tx1"/>
            </w14:solidFill>
          </w14:textFill>
        </w:rPr>
        <w:t>名    称：中国科学院长春应用化学研究所</w:t>
      </w:r>
    </w:p>
    <w:p w14:paraId="2528C9BC">
      <w:pPr>
        <w:spacing w:line="360" w:lineRule="auto"/>
        <w:ind w:left="1079" w:leftChars="371" w:hanging="300" w:hangingChars="125"/>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    址：吉林省长春市朝阳区人民大街5625号</w:t>
      </w:r>
    </w:p>
    <w:p w14:paraId="28CFEC31">
      <w:pPr>
        <w:spacing w:line="360" w:lineRule="auto"/>
        <w:ind w:left="1079" w:leftChars="371" w:hanging="300" w:hangingChars="125"/>
        <w:jc w:val="left"/>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联系方式：赫老师0431-85262186 </w:t>
      </w:r>
    </w:p>
    <w:p w14:paraId="4BA4E4CC">
      <w:pPr>
        <w:spacing w:line="360" w:lineRule="auto"/>
        <w:ind w:left="1080" w:leftChars="371" w:hanging="301" w:hangingChars="125"/>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2.采购代理机构信息</w:t>
      </w:r>
      <w:bookmarkEnd w:id="27"/>
      <w:bookmarkEnd w:id="28"/>
    </w:p>
    <w:p w14:paraId="0FEA4D84">
      <w:pPr>
        <w:spacing w:line="360" w:lineRule="auto"/>
        <w:ind w:left="1079" w:leftChars="371" w:hanging="300" w:hangingChars="125"/>
        <w:jc w:val="left"/>
        <w:rPr>
          <w:rFonts w:hint="eastAsia" w:ascii="仿宋" w:hAnsi="仿宋" w:eastAsia="仿宋" w:cs="仿宋"/>
          <w:color w:val="000000" w:themeColor="text1"/>
          <w:sz w:val="24"/>
          <w14:textFill>
            <w14:solidFill>
              <w14:schemeClr w14:val="tx1"/>
            </w14:solidFill>
          </w14:textFill>
        </w:rPr>
      </w:pPr>
      <w:bookmarkStart w:id="29" w:name="_Toc28359087"/>
      <w:bookmarkStart w:id="30" w:name="_Toc28359010"/>
      <w:r>
        <w:rPr>
          <w:rFonts w:hint="eastAsia" w:ascii="仿宋" w:hAnsi="仿宋" w:eastAsia="仿宋" w:cs="仿宋"/>
          <w:color w:val="000000" w:themeColor="text1"/>
          <w:sz w:val="24"/>
          <w14:textFill>
            <w14:solidFill>
              <w14:schemeClr w14:val="tx1"/>
            </w14:solidFill>
          </w14:textFill>
        </w:rPr>
        <w:t>名    称：北京中储建国际工程管理有限公司</w:t>
      </w:r>
    </w:p>
    <w:p w14:paraId="2AAC678B">
      <w:pPr>
        <w:spacing w:line="360" w:lineRule="auto"/>
        <w:ind w:left="1079" w:leftChars="371" w:hanging="300" w:hangingChars="125"/>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    址：北京市海淀区丰秀中路3号院13号楼3层304室</w:t>
      </w:r>
    </w:p>
    <w:p w14:paraId="330D07E1">
      <w:pPr>
        <w:spacing w:line="360" w:lineRule="auto"/>
        <w:ind w:left="1079" w:leftChars="371" w:hanging="300" w:hangingChars="125"/>
        <w:jc w:val="left"/>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联系方式：刘澍13810484956</w:t>
      </w:r>
    </w:p>
    <w:p w14:paraId="15F4080D">
      <w:pPr>
        <w:spacing w:line="360" w:lineRule="auto"/>
        <w:ind w:firstLine="723" w:firstLineChars="300"/>
        <w:rPr>
          <w:rFonts w:hint="eastAsia" w:ascii="仿宋" w:hAnsi="仿宋" w:eastAsia="仿宋" w:cs="仿宋"/>
          <w:b/>
          <w:color w:val="000000" w:themeColor="text1"/>
          <w:sz w:val="24"/>
          <w:u w:val="single"/>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3.项目联系方式</w:t>
      </w:r>
      <w:bookmarkEnd w:id="29"/>
      <w:bookmarkEnd w:id="30"/>
    </w:p>
    <w:p w14:paraId="4DE58EDF">
      <w:pPr>
        <w:pStyle w:val="8"/>
        <w:spacing w:line="360" w:lineRule="auto"/>
        <w:ind w:firstLine="720" w:firstLineChars="30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项目联系人：刘澍</w:t>
      </w:r>
    </w:p>
    <w:p w14:paraId="7AA6EB08">
      <w:pPr>
        <w:spacing w:line="360" w:lineRule="auto"/>
        <w:ind w:left="1079" w:leftChars="371" w:hanging="300" w:hangingChars="125"/>
        <w:jc w:val="left"/>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电      话：13810484956</w:t>
      </w:r>
    </w:p>
    <w:p w14:paraId="709392EE">
      <w:pPr>
        <w:pStyle w:val="8"/>
        <w:spacing w:line="360" w:lineRule="auto"/>
        <w:ind w:firstLine="720" w:firstLineChars="300"/>
        <w:rPr>
          <w:rFonts w:ascii="仿宋" w:hAnsi="仿宋" w:eastAsia="仿宋" w:cs="仿宋"/>
          <w:color w:val="000000" w:themeColor="text1"/>
          <w:sz w:val="24"/>
          <w:szCs w:val="24"/>
          <w14:textFill>
            <w14:solidFill>
              <w14:schemeClr w14:val="tx1"/>
            </w14:solidFill>
          </w14:textFill>
        </w:rPr>
      </w:pPr>
    </w:p>
    <w:tbl>
      <w:tblPr>
        <w:tblStyle w:val="13"/>
        <w:tblW w:w="9229" w:type="dxa"/>
        <w:jc w:val="center"/>
        <w:tblLayout w:type="fixed"/>
        <w:tblCellMar>
          <w:top w:w="0" w:type="dxa"/>
          <w:left w:w="108" w:type="dxa"/>
          <w:bottom w:w="0" w:type="dxa"/>
          <w:right w:w="108" w:type="dxa"/>
        </w:tblCellMar>
      </w:tblPr>
      <w:tblGrid>
        <w:gridCol w:w="2992"/>
        <w:gridCol w:w="6237"/>
      </w:tblGrid>
      <w:tr w14:paraId="78813D78">
        <w:trPr>
          <w:trHeight w:val="420" w:hRule="atLeast"/>
          <w:jc w:val="center"/>
        </w:trPr>
        <w:tc>
          <w:tcPr>
            <w:tcW w:w="9229" w:type="dxa"/>
            <w:gridSpan w:val="2"/>
            <w:tcBorders>
              <w:top w:val="nil"/>
              <w:left w:val="nil"/>
              <w:bottom w:val="nil"/>
              <w:right w:val="nil"/>
            </w:tcBorders>
            <w:vAlign w:val="center"/>
          </w:tcPr>
          <w:p w14:paraId="6878AC92">
            <w:pPr>
              <w:widowControl/>
              <w:jc w:val="center"/>
              <w:rPr>
                <w:rFonts w:hint="eastAsia" w:ascii="仿宋" w:hAnsi="仿宋" w:eastAsia="仿宋" w:cs="仿宋"/>
                <w:b/>
                <w:bCs/>
                <w:color w:val="000000" w:themeColor="text1"/>
                <w:kern w:val="0"/>
                <w:szCs w:val="21"/>
                <w14:textFill>
                  <w14:solidFill>
                    <w14:schemeClr w14:val="tx1"/>
                  </w14:solidFill>
                </w14:textFill>
              </w:rPr>
            </w:pPr>
            <w:r>
              <w:rPr>
                <w:rFonts w:hint="eastAsia" w:ascii="仿宋" w:hAnsi="仿宋" w:eastAsia="仿宋" w:cs="仿宋"/>
                <w:b/>
                <w:bCs/>
                <w:color w:val="000000" w:themeColor="text1"/>
                <w:kern w:val="0"/>
                <w:szCs w:val="21"/>
                <w14:textFill>
                  <w14:solidFill>
                    <w14:schemeClr w14:val="tx1"/>
                  </w14:solidFill>
                </w14:textFill>
              </w:rPr>
              <w:t>购买标书记录</w:t>
            </w:r>
          </w:p>
        </w:tc>
      </w:tr>
      <w:tr w14:paraId="0D476795">
        <w:tblPrEx>
          <w:tblCellMar>
            <w:top w:w="0" w:type="dxa"/>
            <w:left w:w="108" w:type="dxa"/>
            <w:bottom w:w="0" w:type="dxa"/>
            <w:right w:w="108" w:type="dxa"/>
          </w:tblCellMar>
        </w:tblPrEx>
        <w:trPr>
          <w:trHeight w:val="582" w:hRule="atLeast"/>
          <w:jc w:val="center"/>
        </w:trPr>
        <w:tc>
          <w:tcPr>
            <w:tcW w:w="2992" w:type="dxa"/>
            <w:tcBorders>
              <w:top w:val="double" w:color="auto" w:sz="6" w:space="0"/>
              <w:left w:val="double" w:color="auto" w:sz="6" w:space="0"/>
              <w:bottom w:val="single" w:color="auto" w:sz="4" w:space="0"/>
              <w:right w:val="single" w:color="auto" w:sz="4" w:space="0"/>
            </w:tcBorders>
            <w:vAlign w:val="center"/>
          </w:tcPr>
          <w:p w14:paraId="11201C08">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项目名称</w:t>
            </w:r>
          </w:p>
        </w:tc>
        <w:tc>
          <w:tcPr>
            <w:tcW w:w="6237" w:type="dxa"/>
            <w:tcBorders>
              <w:top w:val="double" w:color="auto" w:sz="6" w:space="0"/>
              <w:left w:val="nil"/>
              <w:bottom w:val="single" w:color="auto" w:sz="4" w:space="0"/>
              <w:right w:val="double" w:color="auto" w:sz="6" w:space="0"/>
            </w:tcBorders>
            <w:vAlign w:val="center"/>
          </w:tcPr>
          <w:p w14:paraId="17E02711">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　</w:t>
            </w:r>
          </w:p>
        </w:tc>
      </w:tr>
      <w:tr w14:paraId="1850F08D">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075D7FA5">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项目编号及包号</w:t>
            </w:r>
          </w:p>
        </w:tc>
        <w:tc>
          <w:tcPr>
            <w:tcW w:w="6237" w:type="dxa"/>
            <w:tcBorders>
              <w:top w:val="nil"/>
              <w:left w:val="nil"/>
              <w:bottom w:val="single" w:color="auto" w:sz="4" w:space="0"/>
              <w:right w:val="double" w:color="auto" w:sz="6" w:space="0"/>
            </w:tcBorders>
            <w:vAlign w:val="center"/>
          </w:tcPr>
          <w:p w14:paraId="28F69F7B">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　</w:t>
            </w:r>
          </w:p>
        </w:tc>
      </w:tr>
      <w:tr w14:paraId="44E45C4C">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742913E8">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制造商/品牌</w:t>
            </w:r>
          </w:p>
        </w:tc>
        <w:tc>
          <w:tcPr>
            <w:tcW w:w="6237" w:type="dxa"/>
            <w:tcBorders>
              <w:top w:val="nil"/>
              <w:left w:val="nil"/>
              <w:bottom w:val="single" w:color="auto" w:sz="4" w:space="0"/>
              <w:right w:val="double" w:color="auto" w:sz="6" w:space="0"/>
            </w:tcBorders>
            <w:vAlign w:val="center"/>
          </w:tcPr>
          <w:p w14:paraId="66ED9E72">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　</w:t>
            </w:r>
          </w:p>
        </w:tc>
      </w:tr>
      <w:tr w14:paraId="17D620EF">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07B5A422">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供应商名称</w:t>
            </w:r>
          </w:p>
        </w:tc>
        <w:tc>
          <w:tcPr>
            <w:tcW w:w="6237" w:type="dxa"/>
            <w:tcBorders>
              <w:top w:val="nil"/>
              <w:left w:val="nil"/>
              <w:bottom w:val="nil"/>
              <w:right w:val="double" w:color="auto" w:sz="6" w:space="0"/>
            </w:tcBorders>
            <w:vAlign w:val="center"/>
          </w:tcPr>
          <w:p w14:paraId="5E665BA1">
            <w:pPr>
              <w:widowControl/>
              <w:jc w:val="left"/>
              <w:rPr>
                <w:rFonts w:hint="eastAsia" w:ascii="仿宋" w:hAnsi="仿宋" w:eastAsia="仿宋" w:cs="仿宋"/>
                <w:color w:val="000000" w:themeColor="text1"/>
                <w:kern w:val="0"/>
                <w:szCs w:val="21"/>
                <w14:textFill>
                  <w14:solidFill>
                    <w14:schemeClr w14:val="tx1"/>
                  </w14:solidFill>
                </w14:textFill>
              </w:rPr>
            </w:pPr>
          </w:p>
        </w:tc>
      </w:tr>
      <w:tr w14:paraId="33C7BA1D">
        <w:tblPrEx>
          <w:tblCellMar>
            <w:top w:w="0" w:type="dxa"/>
            <w:left w:w="108" w:type="dxa"/>
            <w:bottom w:w="0" w:type="dxa"/>
            <w:right w:w="108" w:type="dxa"/>
          </w:tblCellMar>
        </w:tblPrEx>
        <w:trPr>
          <w:trHeight w:val="582" w:hRule="atLeast"/>
          <w:jc w:val="center"/>
        </w:trPr>
        <w:tc>
          <w:tcPr>
            <w:tcW w:w="2992" w:type="dxa"/>
            <w:vMerge w:val="restart"/>
            <w:tcBorders>
              <w:top w:val="nil"/>
              <w:left w:val="double" w:color="auto" w:sz="6" w:space="0"/>
              <w:bottom w:val="single" w:color="auto" w:sz="4" w:space="0"/>
              <w:right w:val="single" w:color="auto" w:sz="4" w:space="0"/>
            </w:tcBorders>
            <w:vAlign w:val="center"/>
          </w:tcPr>
          <w:p w14:paraId="0CBA2474">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联系人、电话、邮箱</w:t>
            </w:r>
          </w:p>
        </w:tc>
        <w:tc>
          <w:tcPr>
            <w:tcW w:w="6237" w:type="dxa"/>
            <w:tcBorders>
              <w:top w:val="single" w:color="auto" w:sz="4" w:space="0"/>
              <w:left w:val="nil"/>
              <w:bottom w:val="nil"/>
              <w:right w:val="double" w:color="auto" w:sz="6" w:space="0"/>
            </w:tcBorders>
            <w:vAlign w:val="center"/>
          </w:tcPr>
          <w:p w14:paraId="5C152F62">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联系人：</w:t>
            </w:r>
          </w:p>
        </w:tc>
      </w:tr>
      <w:tr w14:paraId="227AA21B">
        <w:tblPrEx>
          <w:tblCellMar>
            <w:top w:w="0" w:type="dxa"/>
            <w:left w:w="108" w:type="dxa"/>
            <w:bottom w:w="0" w:type="dxa"/>
            <w:right w:w="108" w:type="dxa"/>
          </w:tblCellMar>
        </w:tblPrEx>
        <w:trPr>
          <w:trHeight w:val="582" w:hRule="atLeast"/>
          <w:jc w:val="center"/>
        </w:trPr>
        <w:tc>
          <w:tcPr>
            <w:tcW w:w="2992" w:type="dxa"/>
            <w:vMerge w:val="continue"/>
            <w:tcBorders>
              <w:top w:val="nil"/>
              <w:left w:val="double" w:color="auto" w:sz="6" w:space="0"/>
              <w:bottom w:val="single" w:color="auto" w:sz="4" w:space="0"/>
              <w:right w:val="single" w:color="auto" w:sz="4" w:space="0"/>
            </w:tcBorders>
            <w:vAlign w:val="center"/>
          </w:tcPr>
          <w:p w14:paraId="103BB983">
            <w:pPr>
              <w:widowControl/>
              <w:jc w:val="left"/>
              <w:rPr>
                <w:rFonts w:hint="eastAsia" w:ascii="仿宋" w:hAnsi="仿宋" w:eastAsia="仿宋" w:cs="仿宋"/>
                <w:color w:val="000000" w:themeColor="text1"/>
                <w:kern w:val="0"/>
                <w:szCs w:val="21"/>
                <w14:textFill>
                  <w14:solidFill>
                    <w14:schemeClr w14:val="tx1"/>
                  </w14:solidFill>
                </w14:textFill>
              </w:rPr>
            </w:pPr>
          </w:p>
        </w:tc>
        <w:tc>
          <w:tcPr>
            <w:tcW w:w="6237" w:type="dxa"/>
            <w:tcBorders>
              <w:top w:val="nil"/>
              <w:left w:val="nil"/>
              <w:bottom w:val="nil"/>
              <w:right w:val="double" w:color="auto" w:sz="6" w:space="0"/>
            </w:tcBorders>
            <w:vAlign w:val="center"/>
          </w:tcPr>
          <w:p w14:paraId="5E489B4C">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电话：</w:t>
            </w:r>
          </w:p>
        </w:tc>
      </w:tr>
      <w:tr w14:paraId="203B5C73">
        <w:tblPrEx>
          <w:tblCellMar>
            <w:top w:w="0" w:type="dxa"/>
            <w:left w:w="108" w:type="dxa"/>
            <w:bottom w:w="0" w:type="dxa"/>
            <w:right w:w="108" w:type="dxa"/>
          </w:tblCellMar>
        </w:tblPrEx>
        <w:trPr>
          <w:trHeight w:val="582" w:hRule="atLeast"/>
          <w:jc w:val="center"/>
        </w:trPr>
        <w:tc>
          <w:tcPr>
            <w:tcW w:w="2992" w:type="dxa"/>
            <w:vMerge w:val="continue"/>
            <w:tcBorders>
              <w:top w:val="nil"/>
              <w:left w:val="double" w:color="auto" w:sz="6" w:space="0"/>
              <w:bottom w:val="single" w:color="auto" w:sz="4" w:space="0"/>
              <w:right w:val="single" w:color="auto" w:sz="4" w:space="0"/>
            </w:tcBorders>
            <w:vAlign w:val="center"/>
          </w:tcPr>
          <w:p w14:paraId="55A9A413">
            <w:pPr>
              <w:widowControl/>
              <w:jc w:val="left"/>
              <w:rPr>
                <w:rFonts w:hint="eastAsia" w:ascii="仿宋" w:hAnsi="仿宋" w:eastAsia="仿宋" w:cs="仿宋"/>
                <w:color w:val="000000" w:themeColor="text1"/>
                <w:kern w:val="0"/>
                <w:szCs w:val="21"/>
                <w14:textFill>
                  <w14:solidFill>
                    <w14:schemeClr w14:val="tx1"/>
                  </w14:solidFill>
                </w14:textFill>
              </w:rPr>
            </w:pPr>
          </w:p>
        </w:tc>
        <w:tc>
          <w:tcPr>
            <w:tcW w:w="6237" w:type="dxa"/>
            <w:tcBorders>
              <w:top w:val="nil"/>
              <w:left w:val="nil"/>
              <w:bottom w:val="single" w:color="auto" w:sz="4" w:space="0"/>
              <w:right w:val="double" w:color="auto" w:sz="6" w:space="0"/>
            </w:tcBorders>
            <w:vAlign w:val="center"/>
          </w:tcPr>
          <w:p w14:paraId="68084491">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邮箱：</w:t>
            </w:r>
          </w:p>
        </w:tc>
      </w:tr>
      <w:tr w14:paraId="2A141C1E">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0565F3A">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标书类型</w:t>
            </w:r>
          </w:p>
        </w:tc>
        <w:tc>
          <w:tcPr>
            <w:tcW w:w="6237" w:type="dxa"/>
            <w:tcBorders>
              <w:top w:val="nil"/>
              <w:left w:val="nil"/>
              <w:bottom w:val="single" w:color="auto" w:sz="4" w:space="0"/>
              <w:right w:val="double" w:color="auto" w:sz="6" w:space="0"/>
            </w:tcBorders>
            <w:vAlign w:val="center"/>
          </w:tcPr>
          <w:p w14:paraId="2C8FF76F">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纸质（）电子（）</w:t>
            </w:r>
          </w:p>
        </w:tc>
      </w:tr>
      <w:tr w14:paraId="3CAC0639">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6087669D">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发票类型</w:t>
            </w:r>
          </w:p>
        </w:tc>
        <w:tc>
          <w:tcPr>
            <w:tcW w:w="6237" w:type="dxa"/>
            <w:tcBorders>
              <w:top w:val="nil"/>
              <w:left w:val="nil"/>
              <w:bottom w:val="single" w:color="auto" w:sz="4" w:space="0"/>
              <w:right w:val="double" w:color="auto" w:sz="6" w:space="0"/>
            </w:tcBorders>
            <w:vAlign w:val="center"/>
          </w:tcPr>
          <w:p w14:paraId="45788C52">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专票（）普票（）</w:t>
            </w:r>
          </w:p>
        </w:tc>
      </w:tr>
      <w:tr w14:paraId="452D9397">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E7789C8">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详细开票信息</w:t>
            </w:r>
          </w:p>
        </w:tc>
        <w:tc>
          <w:tcPr>
            <w:tcW w:w="6237" w:type="dxa"/>
            <w:tcBorders>
              <w:top w:val="nil"/>
              <w:left w:val="nil"/>
              <w:bottom w:val="single" w:color="auto" w:sz="4" w:space="0"/>
              <w:right w:val="double" w:color="auto" w:sz="6" w:space="0"/>
            </w:tcBorders>
            <w:vAlign w:val="center"/>
          </w:tcPr>
          <w:p w14:paraId="3AED85AA">
            <w:pPr>
              <w:widowControl/>
              <w:jc w:val="left"/>
              <w:rPr>
                <w:rFonts w:hint="eastAsia" w:ascii="仿宋" w:hAnsi="仿宋" w:eastAsia="仿宋" w:cs="仿宋"/>
                <w:color w:val="000000" w:themeColor="text1"/>
                <w:kern w:val="0"/>
                <w:szCs w:val="21"/>
                <w14:textFill>
                  <w14:solidFill>
                    <w14:schemeClr w14:val="tx1"/>
                  </w14:solidFill>
                </w14:textFill>
              </w:rPr>
            </w:pPr>
          </w:p>
        </w:tc>
      </w:tr>
      <w:tr w14:paraId="4218DC90">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0083D09D">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纸质标书邮寄地址</w:t>
            </w:r>
          </w:p>
        </w:tc>
        <w:tc>
          <w:tcPr>
            <w:tcW w:w="6237" w:type="dxa"/>
            <w:tcBorders>
              <w:top w:val="nil"/>
              <w:left w:val="nil"/>
              <w:bottom w:val="single" w:color="auto" w:sz="4" w:space="0"/>
              <w:right w:val="double" w:color="auto" w:sz="6" w:space="0"/>
            </w:tcBorders>
            <w:vAlign w:val="center"/>
          </w:tcPr>
          <w:p w14:paraId="5BE6D8D2">
            <w:pPr>
              <w:widowControl/>
              <w:jc w:val="left"/>
              <w:rPr>
                <w:rFonts w:hint="eastAsia" w:ascii="仿宋" w:hAnsi="仿宋" w:eastAsia="仿宋" w:cs="仿宋"/>
                <w:color w:val="000000" w:themeColor="text1"/>
                <w:kern w:val="0"/>
                <w:szCs w:val="21"/>
                <w14:textFill>
                  <w14:solidFill>
                    <w14:schemeClr w14:val="tx1"/>
                  </w14:solidFill>
                </w14:textFill>
              </w:rPr>
            </w:pPr>
          </w:p>
        </w:tc>
      </w:tr>
      <w:tr w14:paraId="37305166">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4ED2514F">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购买人姓名</w:t>
            </w:r>
          </w:p>
        </w:tc>
        <w:tc>
          <w:tcPr>
            <w:tcW w:w="6237" w:type="dxa"/>
            <w:tcBorders>
              <w:top w:val="nil"/>
              <w:left w:val="nil"/>
              <w:bottom w:val="single" w:color="auto" w:sz="4" w:space="0"/>
              <w:right w:val="double" w:color="auto" w:sz="6" w:space="0"/>
            </w:tcBorders>
            <w:vAlign w:val="center"/>
          </w:tcPr>
          <w:p w14:paraId="75862B19">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　</w:t>
            </w:r>
          </w:p>
        </w:tc>
      </w:tr>
      <w:tr w14:paraId="0CF3A20B">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53AF7E82">
            <w:pPr>
              <w:widowControl/>
              <w:jc w:val="center"/>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购买日期</w:t>
            </w:r>
          </w:p>
        </w:tc>
        <w:tc>
          <w:tcPr>
            <w:tcW w:w="6237" w:type="dxa"/>
            <w:tcBorders>
              <w:top w:val="nil"/>
              <w:left w:val="nil"/>
              <w:bottom w:val="single" w:color="auto" w:sz="4" w:space="0"/>
              <w:right w:val="double" w:color="auto" w:sz="6" w:space="0"/>
            </w:tcBorders>
            <w:vAlign w:val="center"/>
          </w:tcPr>
          <w:p w14:paraId="0E9533DF">
            <w:pPr>
              <w:widowControl/>
              <w:jc w:val="left"/>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　</w:t>
            </w:r>
          </w:p>
        </w:tc>
      </w:tr>
    </w:tbl>
    <w:p w14:paraId="1A89B5CB">
      <w:pPr>
        <w:pStyle w:val="3"/>
        <w:tabs>
          <w:tab w:val="center" w:pos="4592"/>
          <w:tab w:val="left" w:pos="7860"/>
        </w:tabs>
        <w:spacing w:before="0" w:line="360" w:lineRule="auto"/>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br w:type="page"/>
      </w:r>
      <w:r>
        <w:rPr>
          <w:rFonts w:hint="eastAsia" w:ascii="仿宋" w:hAnsi="仿宋" w:eastAsia="仿宋" w:cs="仿宋"/>
          <w:color w:val="000000" w:themeColor="text1"/>
          <w:sz w:val="28"/>
          <w:highlight w:val="none"/>
          <w14:textFill>
            <w14:solidFill>
              <w14:schemeClr w14:val="tx1"/>
            </w14:solidFill>
          </w14:textFill>
        </w:rPr>
        <w:t>投标人须知资料表</w:t>
      </w:r>
    </w:p>
    <w:p w14:paraId="300FE1B9">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本表是对投标人须知的具体补充和修改，如有矛盾，均以本资料表为准。标记“</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”的选项意为适用于本项目，标记“□”的选项意为不适用于本项目。</w:t>
      </w:r>
    </w:p>
    <w:tbl>
      <w:tblPr>
        <w:tblStyle w:val="1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0B4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C5339CA">
            <w:pPr>
              <w:jc w:val="cente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条款号</w:t>
            </w:r>
          </w:p>
        </w:tc>
        <w:tc>
          <w:tcPr>
            <w:tcW w:w="1701" w:type="dxa"/>
            <w:vAlign w:val="center"/>
          </w:tcPr>
          <w:p w14:paraId="4FDCF471">
            <w:pPr>
              <w:jc w:val="cente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条目</w:t>
            </w:r>
          </w:p>
        </w:tc>
        <w:tc>
          <w:tcPr>
            <w:tcW w:w="7540" w:type="dxa"/>
            <w:vAlign w:val="center"/>
          </w:tcPr>
          <w:p w14:paraId="6A9A68D7">
            <w:pPr>
              <w:jc w:val="cente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内容</w:t>
            </w:r>
          </w:p>
        </w:tc>
      </w:tr>
      <w:tr w14:paraId="677F9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988" w:type="dxa"/>
            <w:vAlign w:val="center"/>
          </w:tcPr>
          <w:p w14:paraId="7ABA09CA">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2.2</w:t>
            </w:r>
          </w:p>
        </w:tc>
        <w:tc>
          <w:tcPr>
            <w:tcW w:w="1701" w:type="dxa"/>
            <w:vAlign w:val="center"/>
          </w:tcPr>
          <w:p w14:paraId="4E16911A">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项目属性</w:t>
            </w:r>
          </w:p>
        </w:tc>
        <w:tc>
          <w:tcPr>
            <w:tcW w:w="7540" w:type="dxa"/>
            <w:vAlign w:val="center"/>
          </w:tcPr>
          <w:p w14:paraId="52C98310">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项目属性：</w:t>
            </w:r>
          </w:p>
          <w:p w14:paraId="17B5D6E1">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w:t>
            </w:r>
          </w:p>
          <w:p w14:paraId="360135F4">
            <w:pPr>
              <w:jc w:val="left"/>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货物</w:t>
            </w:r>
          </w:p>
        </w:tc>
      </w:tr>
      <w:tr w14:paraId="66A9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88" w:type="dxa"/>
            <w:vAlign w:val="center"/>
          </w:tcPr>
          <w:p w14:paraId="25F6D579">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2.3</w:t>
            </w:r>
          </w:p>
        </w:tc>
        <w:tc>
          <w:tcPr>
            <w:tcW w:w="1701" w:type="dxa"/>
            <w:vAlign w:val="center"/>
          </w:tcPr>
          <w:p w14:paraId="09684426">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科研仪器设备</w:t>
            </w:r>
          </w:p>
        </w:tc>
        <w:tc>
          <w:tcPr>
            <w:tcW w:w="7540" w:type="dxa"/>
            <w:vAlign w:val="center"/>
          </w:tcPr>
          <w:p w14:paraId="000B1A55">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是否属于科研仪器设备采购项目：</w:t>
            </w:r>
          </w:p>
          <w:p w14:paraId="44FDEF04">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是</w:t>
            </w:r>
          </w:p>
          <w:p w14:paraId="5CC758E0">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□否</w:t>
            </w:r>
          </w:p>
        </w:tc>
      </w:tr>
      <w:tr w14:paraId="556A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66DA1C">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2.4</w:t>
            </w:r>
          </w:p>
        </w:tc>
        <w:tc>
          <w:tcPr>
            <w:tcW w:w="1701" w:type="dxa"/>
            <w:vAlign w:val="center"/>
          </w:tcPr>
          <w:p w14:paraId="60CA2D73">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核心产品</w:t>
            </w:r>
          </w:p>
        </w:tc>
        <w:tc>
          <w:tcPr>
            <w:tcW w:w="7540" w:type="dxa"/>
            <w:vAlign w:val="center"/>
          </w:tcPr>
          <w:p w14:paraId="473E8758">
            <w:pPr>
              <w:pStyle w:val="8"/>
              <w:adjustRightInd w:val="0"/>
              <w:snapToGrid w:val="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w:t>
            </w:r>
            <w:r>
              <w:rPr>
                <w:rFonts w:ascii="仿宋" w:hAnsi="仿宋" w:eastAsia="仿宋" w:cs="仿宋"/>
                <w:color w:val="000000" w:themeColor="text1"/>
                <w:sz w:val="24"/>
                <w:szCs w:val="24"/>
                <w:highlight w:val="none"/>
                <w14:textFill>
                  <w14:solidFill>
                    <w14:schemeClr w14:val="tx1"/>
                  </w14:solidFill>
                </w14:textFill>
              </w:rPr>
              <w:t>关于核心产品本项目不适用。</w:t>
            </w:r>
          </w:p>
          <w:p w14:paraId="44DB0A65">
            <w:pPr>
              <w:pStyle w:val="8"/>
              <w:adjustRightInd w:val="0"/>
              <w:snapToGrid w:val="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t>■</w:t>
            </w:r>
            <w:r>
              <w:rPr>
                <w:rFonts w:ascii="仿宋" w:hAnsi="仿宋" w:eastAsia="仿宋" w:cs="仿宋"/>
                <w:color w:val="000000" w:themeColor="text1"/>
                <w:sz w:val="24"/>
                <w:szCs w:val="24"/>
                <w:highlight w:val="none"/>
                <w14:textFill>
                  <w14:solidFill>
                    <w14:schemeClr w14:val="tx1"/>
                  </w14:solidFill>
                </w14:textFill>
              </w:rPr>
              <w:t>本项目__包为单一产品采购项目。</w:t>
            </w:r>
          </w:p>
          <w:p w14:paraId="222A8CD9">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□本项目__包为非单一产品采购项目，核心产品为：____。</w:t>
            </w:r>
          </w:p>
        </w:tc>
      </w:tr>
      <w:tr w14:paraId="27E7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988" w:type="dxa"/>
            <w:vMerge w:val="restart"/>
            <w:vAlign w:val="center"/>
          </w:tcPr>
          <w:p w14:paraId="66E3CF75">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3.1</w:t>
            </w:r>
          </w:p>
        </w:tc>
        <w:tc>
          <w:tcPr>
            <w:tcW w:w="1701" w:type="dxa"/>
            <w:vAlign w:val="center"/>
          </w:tcPr>
          <w:p w14:paraId="4C9AA467">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现场考察</w:t>
            </w:r>
          </w:p>
        </w:tc>
        <w:tc>
          <w:tcPr>
            <w:tcW w:w="7540" w:type="dxa"/>
            <w:vAlign w:val="center"/>
          </w:tcPr>
          <w:p w14:paraId="63A1E8A5">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不组织</w:t>
            </w:r>
          </w:p>
          <w:p w14:paraId="5566EAFD">
            <w:pPr>
              <w:jc w:val="lef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□组织，考察时间：__年_</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日_</w:t>
            </w:r>
            <w:r>
              <w:rPr>
                <w:rFonts w:hint="eastAsia" w:ascii="仿宋" w:hAnsi="仿宋" w:eastAsia="仿宋" w:cs="仿宋"/>
                <w:bCs/>
                <w:color w:val="000000" w:themeColor="text1"/>
                <w:sz w:val="24"/>
                <w:highlight w:val="none"/>
                <w14:textFill>
                  <w14:solidFill>
                    <w14:schemeClr w14:val="tx1"/>
                  </w14:solidFill>
                </w14:textFill>
              </w:rPr>
              <w:t>点</w:t>
            </w:r>
            <w:r>
              <w:rPr>
                <w:rFonts w:hint="eastAsia" w:ascii="仿宋" w:hAnsi="仿宋" w:eastAsia="仿宋" w:cs="仿宋"/>
                <w:color w:val="000000" w:themeColor="text1"/>
                <w:sz w:val="24"/>
                <w:highlight w:val="none"/>
                <w14:textFill>
                  <w14:solidFill>
                    <w14:schemeClr w14:val="tx1"/>
                  </w14:solidFill>
                </w14:textFill>
              </w:rPr>
              <w:t>_</w:t>
            </w:r>
            <w:r>
              <w:rPr>
                <w:rFonts w:hint="eastAsia" w:ascii="仿宋" w:hAnsi="仿宋" w:eastAsia="仿宋" w:cs="仿宋"/>
                <w:bCs/>
                <w:color w:val="000000" w:themeColor="text1"/>
                <w:sz w:val="24"/>
                <w:highlight w:val="none"/>
                <w14:textFill>
                  <w14:solidFill>
                    <w14:schemeClr w14:val="tx1"/>
                  </w14:solidFill>
                </w14:textFill>
              </w:rPr>
              <w:t>分</w:t>
            </w:r>
          </w:p>
          <w:p w14:paraId="6851DF13">
            <w:pPr>
              <w:pStyle w:val="8"/>
              <w:adjustRightInd w:val="0"/>
              <w:snapToGrid w:val="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考察地点：____________。</w:t>
            </w:r>
          </w:p>
        </w:tc>
      </w:tr>
      <w:tr w14:paraId="789B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988" w:type="dxa"/>
            <w:vMerge w:val="continue"/>
            <w:vAlign w:val="center"/>
          </w:tcPr>
          <w:p w14:paraId="003F5FAC">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p>
        </w:tc>
        <w:tc>
          <w:tcPr>
            <w:tcW w:w="1701" w:type="dxa"/>
            <w:vAlign w:val="center"/>
          </w:tcPr>
          <w:p w14:paraId="1A45FCE3">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开标前答疑会</w:t>
            </w:r>
          </w:p>
        </w:tc>
        <w:tc>
          <w:tcPr>
            <w:tcW w:w="7540" w:type="dxa"/>
            <w:vAlign w:val="center"/>
          </w:tcPr>
          <w:p w14:paraId="0A035B2C">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不召开</w:t>
            </w:r>
          </w:p>
          <w:p w14:paraId="3DCD6C80">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□召开，召开时间：__年_月_日_</w:t>
            </w:r>
            <w:r>
              <w:rPr>
                <w:rFonts w:hint="eastAsia" w:ascii="仿宋" w:hAnsi="仿宋" w:eastAsia="仿宋" w:cs="仿宋"/>
                <w:bCs/>
                <w:color w:val="000000" w:themeColor="text1"/>
                <w:sz w:val="24"/>
                <w:highlight w:val="none"/>
                <w14:textFill>
                  <w14:solidFill>
                    <w14:schemeClr w14:val="tx1"/>
                  </w14:solidFill>
                </w14:textFill>
              </w:rPr>
              <w:t>点</w:t>
            </w:r>
            <w:r>
              <w:rPr>
                <w:rFonts w:hint="eastAsia" w:ascii="仿宋" w:hAnsi="仿宋" w:eastAsia="仿宋" w:cs="仿宋"/>
                <w:color w:val="000000" w:themeColor="text1"/>
                <w:sz w:val="24"/>
                <w:highlight w:val="none"/>
                <w14:textFill>
                  <w14:solidFill>
                    <w14:schemeClr w14:val="tx1"/>
                  </w14:solidFill>
                </w14:textFill>
              </w:rPr>
              <w:t>_</w:t>
            </w:r>
            <w:r>
              <w:rPr>
                <w:rFonts w:hint="eastAsia" w:ascii="仿宋" w:hAnsi="仿宋" w:eastAsia="仿宋" w:cs="仿宋"/>
                <w:bCs/>
                <w:color w:val="000000" w:themeColor="text1"/>
                <w:sz w:val="24"/>
                <w:highlight w:val="none"/>
                <w14:textFill>
                  <w14:solidFill>
                    <w14:schemeClr w14:val="tx1"/>
                  </w14:solidFill>
                </w14:textFill>
              </w:rPr>
              <w:t>分</w:t>
            </w:r>
          </w:p>
          <w:p w14:paraId="0CC83B68">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召开地点：____________。</w:t>
            </w:r>
          </w:p>
        </w:tc>
      </w:tr>
      <w:tr w14:paraId="3354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jc w:val="center"/>
        </w:trPr>
        <w:tc>
          <w:tcPr>
            <w:tcW w:w="988" w:type="dxa"/>
            <w:vAlign w:val="center"/>
          </w:tcPr>
          <w:p w14:paraId="0B2354B1">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4.1</w:t>
            </w:r>
          </w:p>
        </w:tc>
        <w:tc>
          <w:tcPr>
            <w:tcW w:w="1701" w:type="dxa"/>
            <w:vAlign w:val="center"/>
          </w:tcPr>
          <w:p w14:paraId="6574C7AA">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样品</w:t>
            </w:r>
          </w:p>
        </w:tc>
        <w:tc>
          <w:tcPr>
            <w:tcW w:w="7540" w:type="dxa"/>
            <w:vAlign w:val="center"/>
          </w:tcPr>
          <w:p w14:paraId="4C1CBBE5">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投标样品递交：</w:t>
            </w:r>
          </w:p>
          <w:p w14:paraId="056112B1">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不需要</w:t>
            </w:r>
          </w:p>
          <w:p w14:paraId="7816C340">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□需要，具体要求如下：</w:t>
            </w:r>
          </w:p>
          <w:p w14:paraId="1C4D5BDF">
            <w:pPr>
              <w:jc w:val="left"/>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（1）样品制作的标准和要求：_________；</w:t>
            </w:r>
          </w:p>
          <w:p w14:paraId="5ECA49F5">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（2）是否需要随样品提交相关检测报告：</w:t>
            </w:r>
          </w:p>
          <w:p w14:paraId="118434F1">
            <w:pPr>
              <w:ind w:firstLine="600" w:firstLineChars="25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□不需要</w:t>
            </w:r>
          </w:p>
          <w:p w14:paraId="17EFBB79">
            <w:pPr>
              <w:ind w:firstLine="600" w:firstLineChars="25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□需要</w:t>
            </w:r>
          </w:p>
          <w:p w14:paraId="62F7D417">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（3）样品递交要求：_________；</w:t>
            </w:r>
          </w:p>
          <w:p w14:paraId="58906CF7">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（4）未中标人样品退还：_________；</w:t>
            </w:r>
          </w:p>
          <w:p w14:paraId="37B12E2D">
            <w:pPr>
              <w:jc w:val="left"/>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（5）中标人样品保管、封存及退还：_________；</w:t>
            </w:r>
          </w:p>
          <w:p w14:paraId="23454426">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（6）其他要求（如有）：_________。</w:t>
            </w:r>
          </w:p>
        </w:tc>
      </w:tr>
      <w:tr w14:paraId="5B95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988" w:type="dxa"/>
            <w:vAlign w:val="center"/>
          </w:tcPr>
          <w:p w14:paraId="3EECF336">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5.2.5</w:t>
            </w:r>
          </w:p>
        </w:tc>
        <w:tc>
          <w:tcPr>
            <w:tcW w:w="1701" w:type="dxa"/>
            <w:vAlign w:val="center"/>
          </w:tcPr>
          <w:p w14:paraId="233B475E">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标的所属行业</w:t>
            </w:r>
          </w:p>
        </w:tc>
        <w:tc>
          <w:tcPr>
            <w:tcW w:w="7540" w:type="dxa"/>
            <w:vAlign w:val="center"/>
          </w:tcPr>
          <w:p w14:paraId="342DB871">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本项目采购标的对应的中小企业划分标准所属行业：</w:t>
            </w:r>
          </w:p>
          <w:tbl>
            <w:tblPr>
              <w:tblStyle w:val="13"/>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926"/>
              <w:gridCol w:w="3113"/>
            </w:tblGrid>
            <w:tr w14:paraId="54A9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590991FA">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序号</w:t>
                  </w:r>
                </w:p>
              </w:tc>
              <w:tc>
                <w:tcPr>
                  <w:tcW w:w="2150" w:type="pct"/>
                  <w:tcBorders>
                    <w:top w:val="single" w:color="auto" w:sz="4" w:space="0"/>
                    <w:left w:val="single" w:color="auto" w:sz="4" w:space="0"/>
                    <w:bottom w:val="single" w:color="auto" w:sz="4" w:space="0"/>
                    <w:right w:val="single" w:color="auto" w:sz="4" w:space="0"/>
                  </w:tcBorders>
                  <w:vAlign w:val="center"/>
                </w:tcPr>
                <w:p w14:paraId="5F32163C">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标的名称</w:t>
                  </w:r>
                </w:p>
              </w:tc>
              <w:tc>
                <w:tcPr>
                  <w:tcW w:w="2288" w:type="pct"/>
                  <w:tcBorders>
                    <w:top w:val="single" w:color="auto" w:sz="4" w:space="0"/>
                    <w:left w:val="single" w:color="auto" w:sz="4" w:space="0"/>
                    <w:bottom w:val="single" w:color="auto" w:sz="4" w:space="0"/>
                    <w:right w:val="single" w:color="auto" w:sz="4" w:space="0"/>
                  </w:tcBorders>
                  <w:vAlign w:val="center"/>
                </w:tcPr>
                <w:p w14:paraId="1F8BE3A6">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中小企业划分标准所属行业</w:t>
                  </w:r>
                </w:p>
              </w:tc>
            </w:tr>
            <w:tr w14:paraId="3D34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7864FA68">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01</w:t>
                  </w:r>
                </w:p>
              </w:tc>
              <w:tc>
                <w:tcPr>
                  <w:tcW w:w="2150" w:type="pct"/>
                  <w:tcBorders>
                    <w:top w:val="single" w:color="auto" w:sz="4" w:space="0"/>
                    <w:left w:val="single" w:color="auto" w:sz="4" w:space="0"/>
                    <w:bottom w:val="single" w:color="auto" w:sz="4" w:space="0"/>
                    <w:right w:val="single" w:color="auto" w:sz="4" w:space="0"/>
                  </w:tcBorders>
                  <w:vAlign w:val="center"/>
                </w:tcPr>
                <w:p w14:paraId="54E755B3">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万能材料试验机</w:t>
                  </w:r>
                </w:p>
              </w:tc>
              <w:tc>
                <w:tcPr>
                  <w:tcW w:w="2288" w:type="pct"/>
                  <w:tcBorders>
                    <w:top w:val="single" w:color="auto" w:sz="4" w:space="0"/>
                    <w:left w:val="single" w:color="auto" w:sz="4" w:space="0"/>
                    <w:bottom w:val="single" w:color="auto" w:sz="4" w:space="0"/>
                    <w:right w:val="single" w:color="auto" w:sz="4" w:space="0"/>
                  </w:tcBorders>
                  <w:vAlign w:val="center"/>
                </w:tcPr>
                <w:p w14:paraId="49CF9FD9">
                  <w:pPr>
                    <w:jc w:val="center"/>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制造业</w:t>
                  </w:r>
                </w:p>
              </w:tc>
            </w:tr>
          </w:tbl>
          <w:p w14:paraId="162D1BF1">
            <w:pPr>
              <w:jc w:val="left"/>
              <w:rPr>
                <w:rFonts w:hint="eastAsia" w:ascii="仿宋" w:hAnsi="仿宋" w:eastAsia="仿宋" w:cs="仿宋"/>
                <w:color w:val="000000" w:themeColor="text1"/>
                <w:sz w:val="24"/>
                <w:highlight w:val="none"/>
                <w14:textFill>
                  <w14:solidFill>
                    <w14:schemeClr w14:val="tx1"/>
                  </w14:solidFill>
                </w14:textFill>
              </w:rPr>
            </w:pPr>
          </w:p>
        </w:tc>
      </w:tr>
      <w:tr w14:paraId="7FCC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988" w:type="dxa"/>
            <w:vAlign w:val="center"/>
          </w:tcPr>
          <w:p w14:paraId="16655B80">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11.2</w:t>
            </w:r>
          </w:p>
        </w:tc>
        <w:tc>
          <w:tcPr>
            <w:tcW w:w="1701" w:type="dxa"/>
            <w:vAlign w:val="center"/>
          </w:tcPr>
          <w:p w14:paraId="49740D13">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投标报价</w:t>
            </w:r>
          </w:p>
        </w:tc>
        <w:tc>
          <w:tcPr>
            <w:tcW w:w="7540" w:type="dxa"/>
            <w:vAlign w:val="center"/>
          </w:tcPr>
          <w:p w14:paraId="04266800">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投标报价的特殊规定：</w:t>
            </w:r>
          </w:p>
          <w:p w14:paraId="50707029">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无</w:t>
            </w:r>
          </w:p>
          <w:p w14:paraId="048BBC86">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□有，具体情形：_____。</w:t>
            </w:r>
          </w:p>
        </w:tc>
      </w:tr>
      <w:tr w14:paraId="6C621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88" w:type="dxa"/>
            <w:vAlign w:val="center"/>
          </w:tcPr>
          <w:p w14:paraId="5461A65D">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12.1</w:t>
            </w:r>
          </w:p>
        </w:tc>
        <w:tc>
          <w:tcPr>
            <w:tcW w:w="1701" w:type="dxa"/>
            <w:vMerge w:val="restart"/>
            <w:vAlign w:val="center"/>
          </w:tcPr>
          <w:p w14:paraId="41382AA8">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投标保证金（本项目不收取投标保证金）</w:t>
            </w:r>
          </w:p>
        </w:tc>
        <w:tc>
          <w:tcPr>
            <w:tcW w:w="7540" w:type="dxa"/>
            <w:vAlign w:val="center"/>
          </w:tcPr>
          <w:p w14:paraId="22C945F3">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投标保证金金额：预算金额的1.8%</w:t>
            </w:r>
            <w:r>
              <w:rPr>
                <w:rFonts w:ascii="仿宋" w:hAnsi="仿宋" w:eastAsia="仿宋" w:cs="仿宋"/>
                <w:color w:val="000000" w:themeColor="text1"/>
                <w:sz w:val="24"/>
                <w:highlight w:val="none"/>
                <w14:textFill>
                  <w14:solidFill>
                    <w14:schemeClr w14:val="tx1"/>
                  </w14:solidFill>
                </w14:textFill>
              </w:rPr>
              <w:t>（若采用电汇方式递交投标保证金的，需将电汇底单附到投标文件中且注明项目名称及用途）</w:t>
            </w:r>
          </w:p>
          <w:p w14:paraId="1E8D49BB">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投标保证金收受人信息：</w:t>
            </w:r>
          </w:p>
          <w:p w14:paraId="2D52453B">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账户名称：北京中储建国际工程管理有限公司</w:t>
            </w:r>
          </w:p>
          <w:p w14:paraId="4836A80C">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开户银行：中国工商银行股份有限公司北京自贸试验区永丰基地支行</w:t>
            </w:r>
          </w:p>
          <w:p w14:paraId="73D9B65D">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银行行号102100015180</w:t>
            </w:r>
          </w:p>
          <w:p w14:paraId="0235FE1B">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银行账号：0200151809100198842</w:t>
            </w:r>
          </w:p>
        </w:tc>
      </w:tr>
      <w:tr w14:paraId="05CD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988" w:type="dxa"/>
            <w:vAlign w:val="center"/>
          </w:tcPr>
          <w:p w14:paraId="090F8093">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12.7.2</w:t>
            </w:r>
          </w:p>
        </w:tc>
        <w:tc>
          <w:tcPr>
            <w:tcW w:w="1701" w:type="dxa"/>
            <w:vMerge w:val="continue"/>
            <w:vAlign w:val="center"/>
          </w:tcPr>
          <w:p w14:paraId="32C43F86">
            <w:pPr>
              <w:jc w:val="center"/>
              <w:rPr>
                <w:rFonts w:hint="eastAsia" w:ascii="仿宋" w:hAnsi="仿宋" w:eastAsia="仿宋" w:cs="仿宋"/>
                <w:color w:val="000000" w:themeColor="text1"/>
                <w:sz w:val="24"/>
                <w:highlight w:val="none"/>
                <w14:textFill>
                  <w14:solidFill>
                    <w14:schemeClr w14:val="tx1"/>
                  </w14:solidFill>
                </w14:textFill>
              </w:rPr>
            </w:pPr>
          </w:p>
        </w:tc>
        <w:tc>
          <w:tcPr>
            <w:tcW w:w="7540" w:type="dxa"/>
            <w:vAlign w:val="center"/>
          </w:tcPr>
          <w:p w14:paraId="2DC5D365">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投标保证金可以不予退还的其他情形：</w:t>
            </w:r>
          </w:p>
          <w:p w14:paraId="194B89C2">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■无</w:t>
            </w:r>
          </w:p>
          <w:p w14:paraId="01F09692">
            <w:pPr>
              <w:pStyle w:val="8"/>
              <w:adjustRightInd w:val="0"/>
              <w:snapToGrid w:val="0"/>
              <w:jc w:val="left"/>
              <w:rPr>
                <w:rFonts w:ascii="仿宋" w:hAnsi="仿宋" w:eastAsia="仿宋" w:cs="仿宋"/>
                <w:color w:val="000000" w:themeColor="text1"/>
                <w:sz w:val="24"/>
                <w:szCs w:val="24"/>
                <w:highlight w:val="none"/>
                <w:u w:val="singl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□有，具体情形：_____。</w:t>
            </w:r>
          </w:p>
        </w:tc>
      </w:tr>
      <w:tr w14:paraId="3B82D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88" w:type="dxa"/>
            <w:vAlign w:val="center"/>
          </w:tcPr>
          <w:p w14:paraId="26F5E782">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13.1</w:t>
            </w:r>
          </w:p>
        </w:tc>
        <w:tc>
          <w:tcPr>
            <w:tcW w:w="1701" w:type="dxa"/>
            <w:vAlign w:val="center"/>
          </w:tcPr>
          <w:p w14:paraId="42BF38CA">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投标有效期</w:t>
            </w:r>
          </w:p>
        </w:tc>
        <w:tc>
          <w:tcPr>
            <w:tcW w:w="7540" w:type="dxa"/>
            <w:vAlign w:val="center"/>
          </w:tcPr>
          <w:p w14:paraId="3CF26E6B">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自提交投标文件的截止之日起算90日历天。</w:t>
            </w:r>
          </w:p>
        </w:tc>
      </w:tr>
      <w:tr w14:paraId="7952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88" w:type="dxa"/>
            <w:vAlign w:val="center"/>
          </w:tcPr>
          <w:p w14:paraId="256D338B">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t>*14.1</w:t>
            </w:r>
          </w:p>
        </w:tc>
        <w:tc>
          <w:tcPr>
            <w:tcW w:w="1701" w:type="dxa"/>
            <w:vAlign w:val="center"/>
          </w:tcPr>
          <w:p w14:paraId="695F12F1">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投标文件规格要求</w:t>
            </w:r>
          </w:p>
        </w:tc>
        <w:tc>
          <w:tcPr>
            <w:tcW w:w="7540" w:type="dxa"/>
            <w:vAlign w:val="center"/>
          </w:tcPr>
          <w:p w14:paraId="7F669145">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投标文件：</w:t>
            </w:r>
          </w:p>
          <w:p w14:paraId="1CE00F96">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（1）纸质正本份数：1份</w:t>
            </w:r>
          </w:p>
          <w:p w14:paraId="5AC2A95C">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（2）纸质副本份数：4份</w:t>
            </w:r>
          </w:p>
          <w:p w14:paraId="14202FFA">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（3）电子文档：2份（U盘），</w:t>
            </w:r>
            <w:r>
              <w:rPr>
                <w:rFonts w:hint="eastAsia" w:ascii="仿宋" w:hAnsi="仿宋" w:eastAsia="仿宋" w:cs="仿宋"/>
                <w:sz w:val="24"/>
                <w:highlight w:val="none"/>
              </w:rPr>
              <w:t>电子文件单独密封</w:t>
            </w:r>
            <w:r>
              <w:rPr>
                <w:rFonts w:hint="eastAsia" w:ascii="仿宋" w:hAnsi="仿宋" w:eastAsia="仿宋" w:cs="仿宋"/>
                <w:color w:val="000000" w:themeColor="text1"/>
                <w:sz w:val="24"/>
                <w:highlight w:val="none"/>
                <w14:textFill>
                  <w14:solidFill>
                    <w14:schemeClr w14:val="tx1"/>
                  </w14:solidFill>
                </w14:textFill>
              </w:rPr>
              <w:t>，随投标文件同时递交。电子文档应为PDF及word格式文件各一，PDF应是投标文件正本（加盖公章）所有内容的清晰扫描件。电子文档PDF内容和投标文件正本应保持完全一致，不能有缺漏。</w:t>
            </w:r>
          </w:p>
          <w:p w14:paraId="78E80D47">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（4）《投标文件》的正本及《开标一览表》需打印或者用不褪色墨水书写，并由供应商的法定代表人授权的代表在投标文件上按要求签字（人名章、签字章等同签字）并加盖单位公章。</w:t>
            </w:r>
          </w:p>
        </w:tc>
      </w:tr>
      <w:tr w14:paraId="1491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87373A">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22.1</w:t>
            </w:r>
          </w:p>
        </w:tc>
        <w:tc>
          <w:tcPr>
            <w:tcW w:w="1701" w:type="dxa"/>
            <w:vAlign w:val="center"/>
          </w:tcPr>
          <w:p w14:paraId="495E9A70">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确定中标人</w:t>
            </w:r>
          </w:p>
        </w:tc>
        <w:tc>
          <w:tcPr>
            <w:tcW w:w="7540" w:type="dxa"/>
            <w:vAlign w:val="center"/>
          </w:tcPr>
          <w:p w14:paraId="4D57A9E1">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中标候选人并列的，采购人是否委托评标委员会确定中标人：</w:t>
            </w:r>
          </w:p>
          <w:p w14:paraId="371D0BDC">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b/>
                <w:color w:val="000000" w:themeColor="text1"/>
                <w:sz w:val="18"/>
                <w:szCs w:val="13"/>
                <w:highlight w:val="none"/>
                <w14:textFill>
                  <w14:solidFill>
                    <w14:schemeClr w14:val="tx1"/>
                  </w14:solidFill>
                </w14:textFill>
              </w:rPr>
              <w:t>■</w:t>
            </w:r>
            <w:r>
              <w:rPr>
                <w:rFonts w:ascii="仿宋" w:hAnsi="仿宋" w:eastAsia="仿宋" w:cs="仿宋"/>
                <w:color w:val="000000" w:themeColor="text1"/>
                <w:sz w:val="24"/>
                <w:highlight w:val="none"/>
                <w14:textFill>
                  <w14:solidFill>
                    <w14:schemeClr w14:val="tx1"/>
                  </w14:solidFill>
                </w14:textFill>
              </w:rPr>
              <w:t>否</w:t>
            </w:r>
          </w:p>
          <w:p w14:paraId="705CB8B5">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□是</w:t>
            </w:r>
          </w:p>
          <w:p w14:paraId="3026E407">
            <w:pPr>
              <w:pStyle w:val="8"/>
              <w:adjustRightInd w:val="0"/>
              <w:snapToGrid w:val="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中标候选人并列的，按照以下方式确定中标人：</w:t>
            </w:r>
            <w:r>
              <w:rPr>
                <w:rFonts w:ascii="仿宋" w:hAnsi="仿宋" w:eastAsia="仿宋" w:cs="仿宋"/>
                <w:color w:val="000000" w:themeColor="text1"/>
                <w:highlight w:val="none"/>
                <w14:textFill>
                  <w14:solidFill>
                    <w14:schemeClr w14:val="tx1"/>
                  </w14:solidFill>
                </w14:textFill>
              </w:rPr>
              <w:t xml:space="preserve"> </w:t>
            </w:r>
          </w:p>
          <w:p w14:paraId="5F06A626">
            <w:pPr>
              <w:pStyle w:val="8"/>
              <w:adjustRightInd w:val="0"/>
              <w:snapToGrid w:val="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b/>
                <w:color w:val="000000" w:themeColor="text1"/>
                <w:sz w:val="20"/>
                <w:szCs w:val="15"/>
                <w:highlight w:val="none"/>
                <w14:textFill>
                  <w14:solidFill>
                    <w14:schemeClr w14:val="tx1"/>
                  </w14:solidFill>
                </w14:textFill>
              </w:rPr>
              <w:t>■</w:t>
            </w:r>
            <w:r>
              <w:rPr>
                <w:rFonts w:ascii="仿宋" w:hAnsi="仿宋" w:eastAsia="仿宋" w:cs="仿宋"/>
                <w:bCs/>
                <w:color w:val="000000" w:themeColor="text1"/>
                <w:sz w:val="24"/>
                <w:highlight w:val="none"/>
                <w14:textFill>
                  <w14:solidFill>
                    <w14:schemeClr w14:val="tx1"/>
                  </w14:solidFill>
                </w14:textFill>
              </w:rPr>
              <w:t>得分相同的，投标报价低者为中标人；</w:t>
            </w:r>
            <w:r>
              <w:rPr>
                <w:rFonts w:ascii="仿宋" w:hAnsi="仿宋" w:eastAsia="仿宋" w:cs="仿宋"/>
                <w:color w:val="000000" w:themeColor="text1"/>
                <w:sz w:val="24"/>
                <w:highlight w:val="none"/>
                <w14:textFill>
                  <w14:solidFill>
                    <w14:schemeClr w14:val="tx1"/>
                  </w14:solidFill>
                </w14:textFill>
              </w:rPr>
              <w:t>得分且投标报价均相同的，以技术部分得分高者为中标人；其他情形的，由评标委员会评定。</w:t>
            </w:r>
          </w:p>
          <w:p w14:paraId="1D20F632">
            <w:pPr>
              <w:jc w:val="left"/>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□随机抽取</w:t>
            </w:r>
          </w:p>
        </w:tc>
      </w:tr>
      <w:tr w14:paraId="07F23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88" w:type="dxa"/>
            <w:vAlign w:val="center"/>
          </w:tcPr>
          <w:p w14:paraId="2F34D8C5">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26.1.1</w:t>
            </w:r>
          </w:p>
        </w:tc>
        <w:tc>
          <w:tcPr>
            <w:tcW w:w="1701" w:type="dxa"/>
            <w:vAlign w:val="center"/>
          </w:tcPr>
          <w:p w14:paraId="196CC114">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询问</w:t>
            </w:r>
          </w:p>
        </w:tc>
        <w:tc>
          <w:tcPr>
            <w:tcW w:w="7540" w:type="dxa"/>
            <w:vAlign w:val="center"/>
          </w:tcPr>
          <w:p w14:paraId="7C37E8FD">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询问送达形式：纸质材料递交</w:t>
            </w:r>
          </w:p>
        </w:tc>
      </w:tr>
      <w:tr w14:paraId="7A1BA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jc w:val="center"/>
        </w:trPr>
        <w:tc>
          <w:tcPr>
            <w:tcW w:w="988" w:type="dxa"/>
            <w:vAlign w:val="center"/>
          </w:tcPr>
          <w:p w14:paraId="71795447">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26.3</w:t>
            </w:r>
          </w:p>
        </w:tc>
        <w:tc>
          <w:tcPr>
            <w:tcW w:w="1701" w:type="dxa"/>
            <w:vAlign w:val="center"/>
          </w:tcPr>
          <w:p w14:paraId="56A32E83">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联系方式</w:t>
            </w:r>
          </w:p>
        </w:tc>
        <w:tc>
          <w:tcPr>
            <w:tcW w:w="7540" w:type="dxa"/>
            <w:vAlign w:val="center"/>
          </w:tcPr>
          <w:p w14:paraId="4D3C4835">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接收询问和质疑的联系方式</w:t>
            </w:r>
          </w:p>
          <w:p w14:paraId="1CAAF352">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联系部门：招标部</w:t>
            </w:r>
          </w:p>
          <w:p w14:paraId="65455100">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联系电话：13051788529</w:t>
            </w:r>
          </w:p>
          <w:p w14:paraId="2F416064">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通讯地址：北京市海淀区丰秀中路3号院13号楼3层304室</w:t>
            </w:r>
          </w:p>
        </w:tc>
      </w:tr>
      <w:tr w14:paraId="516A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295F367">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DA76B18">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3AC445CB">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收费对象：</w:t>
            </w:r>
          </w:p>
          <w:p w14:paraId="16B660EE">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□采购人</w:t>
            </w:r>
          </w:p>
          <w:p w14:paraId="6DB13851">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中标人</w:t>
            </w:r>
          </w:p>
          <w:p w14:paraId="42CA5B8F">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收费标准：参考1980号文件收取。</w:t>
            </w:r>
          </w:p>
          <w:p w14:paraId="68275896">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缴纳时间：中标公告发布后向代理机构支付中标服务费。</w:t>
            </w:r>
          </w:p>
          <w:p w14:paraId="487E51F3">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缴纳方式：电汇或现金</w:t>
            </w:r>
          </w:p>
          <w:p w14:paraId="311AC0DA">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服务费采用电汇支付的，请电汇至：</w:t>
            </w:r>
          </w:p>
          <w:p w14:paraId="6A654269">
            <w:pPr>
              <w:pStyle w:val="8"/>
              <w:adjustRightInd w:val="0"/>
              <w:snapToGrid w:val="0"/>
              <w:spacing w:line="360" w:lineRule="auto"/>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账户名称：北京中储建国际工程管理有限公司</w:t>
            </w:r>
          </w:p>
          <w:p w14:paraId="49B1A078">
            <w:pPr>
              <w:pStyle w:val="8"/>
              <w:adjustRightInd w:val="0"/>
              <w:snapToGrid w:val="0"/>
              <w:spacing w:line="360" w:lineRule="auto"/>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开户银行：中国工商银行股份有限公司北京自贸试验区永丰基地支行</w:t>
            </w:r>
          </w:p>
          <w:p w14:paraId="3E65EBC4">
            <w:pPr>
              <w:pStyle w:val="8"/>
              <w:adjustRightInd w:val="0"/>
              <w:snapToGrid w:val="0"/>
              <w:spacing w:line="360" w:lineRule="auto"/>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银行行号102100015180</w:t>
            </w:r>
          </w:p>
          <w:p w14:paraId="6712A5AD">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银行账号：0200151809100198842</w:t>
            </w:r>
          </w:p>
        </w:tc>
      </w:tr>
      <w:tr w14:paraId="3106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AF2549D">
            <w:pPr>
              <w:pStyle w:val="8"/>
              <w:adjustRightInd w:val="0"/>
              <w:snapToGrid w:val="0"/>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*其他要求</w:t>
            </w:r>
          </w:p>
        </w:tc>
        <w:tc>
          <w:tcPr>
            <w:tcW w:w="1701" w:type="dxa"/>
            <w:tcBorders>
              <w:top w:val="single" w:color="auto" w:sz="4" w:space="0"/>
              <w:left w:val="single" w:color="auto" w:sz="4" w:space="0"/>
              <w:bottom w:val="single" w:color="auto" w:sz="4" w:space="0"/>
              <w:right w:val="single" w:color="auto" w:sz="4" w:space="0"/>
            </w:tcBorders>
            <w:vAlign w:val="center"/>
          </w:tcPr>
          <w:p w14:paraId="0DA4D0B9">
            <w:pPr>
              <w:jc w:val="center"/>
              <w:rPr>
                <w:rFonts w:hint="eastAsia" w:ascii="仿宋" w:hAnsi="仿宋" w:eastAsia="仿宋" w:cs="仿宋"/>
                <w:color w:val="000000" w:themeColor="text1"/>
                <w:sz w:val="24"/>
                <w:highlight w:val="none"/>
                <w14:textFill>
                  <w14:solidFill>
                    <w14:schemeClr w14:val="tx1"/>
                  </w14:solidFill>
                </w14:textFill>
              </w:rPr>
            </w:pPr>
          </w:p>
        </w:tc>
        <w:tc>
          <w:tcPr>
            <w:tcW w:w="7540" w:type="dxa"/>
            <w:tcBorders>
              <w:top w:val="single" w:color="auto" w:sz="4" w:space="0"/>
              <w:left w:val="single" w:color="auto" w:sz="4" w:space="0"/>
              <w:bottom w:val="single" w:color="auto" w:sz="4" w:space="0"/>
              <w:right w:val="single" w:color="auto" w:sz="4" w:space="0"/>
            </w:tcBorders>
            <w:vAlign w:val="center"/>
          </w:tcPr>
          <w:p w14:paraId="06E7F9D7">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1如允许采购进口产品，进口产品与服务报免税人民币总包价（包括：</w:t>
            </w:r>
            <w:r>
              <w:rPr>
                <w:rFonts w:hint="eastAsia" w:ascii="仿宋" w:hAnsi="仿宋" w:eastAsia="仿宋" w:cs="仿宋"/>
                <w:color w:val="000000" w:themeColor="text1"/>
                <w:sz w:val="24"/>
                <w:highlight w:val="none"/>
                <w:u w:val="single"/>
                <w14:textFill>
                  <w14:solidFill>
                    <w14:schemeClr w14:val="tx1"/>
                  </w14:solidFill>
                </w14:textFill>
              </w:rPr>
              <w:t>CIF</w:t>
            </w:r>
            <w:r>
              <w:rPr>
                <w:rFonts w:hint="eastAsia" w:ascii="仿宋" w:hAnsi="仿宋" w:eastAsia="仿宋" w:cs="仿宋"/>
                <w:color w:val="000000" w:themeColor="text1"/>
                <w:sz w:val="24"/>
                <w:highlight w:val="none"/>
                <w14:textFill>
                  <w14:solidFill>
                    <w14:schemeClr w14:val="tx1"/>
                  </w14:solidFill>
                </w14:textFill>
              </w:rPr>
              <w:t>指定到货港/机场的免税人民币价格加上外贸代理费加上进口环节的全部费用，包括但不限于报关费、卫检费、动、植物检验检疫费、商检费、仓储费、运保费、装卸费等其他费用。比例一般不超过货款金额的1%，实际发生费用实报实销。外贸代理费标准为：大于100万的项目的外贸费用0.8%，小于100万的1% 。外贸代理公司由采购人指定。如涉及正常科创免税之外，中国政府加征的特殊关税惩</w:t>
            </w:r>
            <w:r>
              <w:rPr>
                <w:rFonts w:hint="eastAsia" w:ascii="仿宋" w:hAnsi="仿宋" w:eastAsia="仿宋" w:cs="仿宋"/>
                <w:color w:val="000000" w:themeColor="text1"/>
                <w:sz w:val="24"/>
                <w:highlight w:val="none"/>
                <w:lang w:val="en-US" w:eastAsia="zh-CN"/>
                <w14:textFill>
                  <w14:solidFill>
                    <w14:schemeClr w14:val="tx1"/>
                  </w14:solidFill>
                </w14:textFill>
              </w:rPr>
              <w:t>罚</w:t>
            </w:r>
            <w:r>
              <w:rPr>
                <w:rFonts w:hint="eastAsia" w:ascii="仿宋" w:hAnsi="仿宋" w:eastAsia="仿宋" w:cs="仿宋"/>
                <w:color w:val="000000" w:themeColor="text1"/>
                <w:sz w:val="24"/>
                <w:highlight w:val="none"/>
                <w14:textFill>
                  <w14:solidFill>
                    <w14:schemeClr w14:val="tx1"/>
                  </w14:solidFill>
                </w14:textFill>
              </w:rPr>
              <w:t>，应承诺由中标商自行承担（提供承诺书，格式自拟）,如果产品或涉及部件不在免税品目中,由此产生关税由采购方支付）。</w:t>
            </w:r>
          </w:p>
          <w:p w14:paraId="0C685C2A">
            <w:pPr>
              <w:spacing w:line="360" w:lineRule="auto"/>
              <w:ind w:left="12" w:hanging="12" w:hangingChars="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2国产产品与服务报项目现场交货人民币价。报价中需包括制造、装配和发运货物所使用的材料、部件及货物本身已支付或将支付的产品税、销售税和其它税费。</w:t>
            </w:r>
          </w:p>
          <w:p w14:paraId="1AA46D6F">
            <w:pPr>
              <w:spacing w:line="360" w:lineRule="auto"/>
              <w:ind w:left="374" w:hanging="374" w:hangingChars="156"/>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3上述价格的构成须按在分项报价表中格式要求详细列出。</w:t>
            </w:r>
          </w:p>
        </w:tc>
      </w:tr>
    </w:tbl>
    <w:p w14:paraId="73E40A8B">
      <w:pPr>
        <w:tabs>
          <w:tab w:val="left" w:pos="5580"/>
        </w:tabs>
        <w:adjustRightInd w:val="0"/>
        <w:spacing w:line="360" w:lineRule="auto"/>
        <w:jc w:val="distribute"/>
        <w:rPr>
          <w:rFonts w:hint="eastAsia" w:ascii="仿宋" w:hAnsi="仿宋" w:eastAsia="仿宋" w:cs="仿宋"/>
          <w:color w:val="000000" w:themeColor="text1"/>
          <w:sz w:val="24"/>
          <w:highlight w:val="none"/>
          <w14:textFill>
            <w14:solidFill>
              <w14:schemeClr w14:val="tx1"/>
            </w14:solidFill>
          </w14:textFill>
        </w:rPr>
        <w:sectPr>
          <w:footerReference r:id="rId4" w:type="first"/>
          <w:footerReference r:id="rId3" w:type="default"/>
          <w:pgSz w:w="11907" w:h="16840"/>
          <w:pgMar w:top="1418" w:right="1336" w:bottom="1418" w:left="1331" w:header="851" w:footer="851" w:gutter="0"/>
          <w:cols w:space="720" w:num="1"/>
          <w:titlePg/>
          <w:docGrid w:linePitch="462" w:charSpace="0"/>
        </w:sectPr>
      </w:pPr>
    </w:p>
    <w:p w14:paraId="3BE80FD0">
      <w:pPr>
        <w:rPr>
          <w:rFonts w:hint="eastAsia" w:ascii="仿宋" w:hAnsi="仿宋" w:eastAsia="仿宋" w:cs="仿宋"/>
          <w:b/>
          <w:color w:val="000000" w:themeColor="text1"/>
          <w:sz w:val="36"/>
          <w:szCs w:val="36"/>
          <w14:textFill>
            <w14:solidFill>
              <w14:schemeClr w14:val="tx1"/>
            </w14:solidFill>
          </w14:textFill>
        </w:rPr>
      </w:pPr>
    </w:p>
    <w:p w14:paraId="0DC38E6A">
      <w:pPr>
        <w:pStyle w:val="2"/>
        <w:rPr>
          <w:rFonts w:ascii="Times New Roman" w:eastAsia="仿宋"/>
          <w:color w:val="000000" w:themeColor="text1"/>
          <w:sz w:val="24"/>
          <w:szCs w:val="24"/>
          <w14:textFill>
            <w14:solidFill>
              <w14:schemeClr w14:val="tx1"/>
            </w14:solidFill>
          </w14:textFill>
        </w:rPr>
      </w:pPr>
      <w:bookmarkStart w:id="31" w:name="_Toc21921"/>
      <w:r>
        <w:rPr>
          <w:rFonts w:hint="eastAsia" w:ascii="仿宋" w:hAnsi="仿宋" w:eastAsia="仿宋" w:cs="仿宋"/>
          <w:color w:val="000000" w:themeColor="text1"/>
          <w14:textFill>
            <w14:solidFill>
              <w14:schemeClr w14:val="tx1"/>
            </w14:solidFill>
          </w14:textFill>
        </w:rPr>
        <w:t xml:space="preserve">第五章   </w:t>
      </w:r>
      <w:bookmarkStart w:id="32" w:name="_Hlk157171492"/>
      <w:r>
        <w:rPr>
          <w:rFonts w:hint="eastAsia" w:ascii="仿宋" w:hAnsi="仿宋" w:eastAsia="仿宋" w:cs="仿宋"/>
          <w:color w:val="000000" w:themeColor="text1"/>
          <w14:textFill>
            <w14:solidFill>
              <w14:schemeClr w14:val="tx1"/>
            </w14:solidFill>
          </w14:textFill>
        </w:rPr>
        <w:t>采购需求</w:t>
      </w:r>
      <w:bookmarkEnd w:id="31"/>
      <w:bookmarkEnd w:id="32"/>
    </w:p>
    <w:p w14:paraId="223B2431">
      <w:pPr>
        <w:spacing w:line="276" w:lineRule="auto"/>
        <w:rPr>
          <w:rFonts w:hint="eastAsia" w:hAnsi="仿宋" w:eastAsia="仿宋"/>
          <w:color w:val="000000" w:themeColor="text1"/>
          <w:sz w:val="24"/>
          <w14:textFill>
            <w14:solidFill>
              <w14:schemeClr w14:val="tx1"/>
            </w14:solidFill>
          </w14:textFill>
        </w:rPr>
      </w:pPr>
      <w:r>
        <w:rPr>
          <w:rFonts w:hint="eastAsia" w:hAnsi="仿宋" w:eastAsia="仿宋"/>
          <w:color w:val="000000" w:themeColor="text1"/>
          <w:sz w:val="24"/>
          <w14:textFill>
            <w14:solidFill>
              <w14:schemeClr w14:val="tx1"/>
            </w14:solidFill>
          </w14:textFill>
        </w:rPr>
        <w:t>*一、综述：</w:t>
      </w:r>
    </w:p>
    <w:p w14:paraId="51E841AB">
      <w:pPr>
        <w:spacing w:line="276" w:lineRule="auto"/>
        <w:rPr>
          <w:rFonts w:hint="eastAsia" w:hAnsi="仿宋" w:eastAsia="仿宋"/>
          <w:color w:val="000000" w:themeColor="text1"/>
          <w:sz w:val="24"/>
          <w14:textFill>
            <w14:solidFill>
              <w14:schemeClr w14:val="tx1"/>
            </w14:solidFill>
          </w14:textFill>
        </w:rPr>
      </w:pPr>
      <w:r>
        <w:rPr>
          <w:rFonts w:hint="eastAsia" w:hAnsi="仿宋" w:eastAsia="仿宋"/>
          <w:color w:val="000000" w:themeColor="text1"/>
          <w:sz w:val="24"/>
          <w14:textFill>
            <w14:solidFill>
              <w14:schemeClr w14:val="tx1"/>
            </w14:solidFill>
          </w14:textFill>
        </w:rPr>
        <w:t xml:space="preserve">名称：万能材料试验机 </w:t>
      </w:r>
    </w:p>
    <w:p w14:paraId="562C1D1A">
      <w:pPr>
        <w:spacing w:line="276" w:lineRule="auto"/>
        <w:rPr>
          <w:rFonts w:hint="eastAsia" w:hAnsi="仿宋" w:eastAsia="仿宋"/>
          <w:color w:val="000000" w:themeColor="text1"/>
          <w:sz w:val="24"/>
          <w14:textFill>
            <w14:solidFill>
              <w14:schemeClr w14:val="tx1"/>
            </w14:solidFill>
          </w14:textFill>
        </w:rPr>
      </w:pPr>
      <w:r>
        <w:rPr>
          <w:rFonts w:hint="eastAsia" w:hAnsi="仿宋" w:eastAsia="仿宋"/>
          <w:color w:val="000000" w:themeColor="text1"/>
          <w:sz w:val="24"/>
          <w14:textFill>
            <w14:solidFill>
              <w14:schemeClr w14:val="tx1"/>
            </w14:solidFill>
          </w14:textFill>
        </w:rPr>
        <w:t>数量：1套</w:t>
      </w:r>
    </w:p>
    <w:p w14:paraId="7565626E">
      <w:pPr>
        <w:spacing w:line="276" w:lineRule="auto"/>
        <w:rPr>
          <w:rFonts w:hint="eastAsia" w:hAnsi="仿宋" w:eastAsia="仿宋"/>
          <w:color w:val="000000" w:themeColor="text1"/>
          <w:sz w:val="24"/>
          <w14:textFill>
            <w14:solidFill>
              <w14:schemeClr w14:val="tx1"/>
            </w14:solidFill>
          </w14:textFill>
        </w:rPr>
      </w:pPr>
      <w:r>
        <w:rPr>
          <w:rFonts w:hAnsi="仿宋" w:eastAsia="仿宋"/>
          <w:color w:val="000000" w:themeColor="text1"/>
          <w:sz w:val="24"/>
          <w14:textFill>
            <w14:solidFill>
              <w14:schemeClr w14:val="tx1"/>
            </w14:solidFill>
          </w14:textFill>
        </w:rPr>
        <w:t>交货期：</w:t>
      </w:r>
      <w:r>
        <w:rPr>
          <w:rFonts w:hint="eastAsia" w:hAnsi="仿宋" w:eastAsia="仿宋"/>
          <w:color w:val="000000" w:themeColor="text1"/>
          <w:sz w:val="24"/>
          <w14:textFill>
            <w14:solidFill>
              <w14:schemeClr w14:val="tx1"/>
            </w14:solidFill>
          </w14:textFill>
        </w:rPr>
        <w:t>国产设备按采购人要求；进口设备</w:t>
      </w:r>
      <w:r>
        <w:rPr>
          <w:rFonts w:hAnsi="仿宋" w:eastAsia="仿宋"/>
          <w:color w:val="000000" w:themeColor="text1"/>
          <w:sz w:val="24"/>
          <w14:textFill>
            <w14:solidFill>
              <w14:schemeClr w14:val="tx1"/>
            </w14:solidFill>
          </w14:textFill>
        </w:rPr>
        <w:t>出口许可批复后</w:t>
      </w:r>
      <w:r>
        <w:rPr>
          <w:rFonts w:hint="eastAsia" w:eastAsia="仿宋"/>
          <w:color w:val="000000" w:themeColor="text1"/>
          <w:sz w:val="24"/>
          <w14:textFill>
            <w14:solidFill>
              <w14:schemeClr w14:val="tx1"/>
            </w14:solidFill>
          </w14:textFill>
        </w:rPr>
        <w:t>8</w:t>
      </w:r>
      <w:r>
        <w:rPr>
          <w:rFonts w:hAnsi="仿宋" w:eastAsia="仿宋"/>
          <w:color w:val="000000" w:themeColor="text1"/>
          <w:sz w:val="24"/>
          <w14:textFill>
            <w14:solidFill>
              <w14:schemeClr w14:val="tx1"/>
            </w14:solidFill>
          </w14:textFill>
        </w:rPr>
        <w:t>个月内</w:t>
      </w:r>
    </w:p>
    <w:p w14:paraId="4D7E1D0E">
      <w:pPr>
        <w:spacing w:line="276" w:lineRule="auto"/>
        <w:rPr>
          <w:rFonts w:hint="eastAsia" w:hAnsi="仿宋" w:eastAsia="仿宋"/>
          <w:color w:val="000000" w:themeColor="text1"/>
          <w:sz w:val="24"/>
          <w14:textFill>
            <w14:solidFill>
              <w14:schemeClr w14:val="tx1"/>
            </w14:solidFill>
          </w14:textFill>
        </w:rPr>
      </w:pPr>
      <w:r>
        <w:rPr>
          <w:rFonts w:hint="eastAsia" w:hAnsi="仿宋" w:eastAsia="仿宋"/>
          <w:color w:val="000000" w:themeColor="text1"/>
          <w:sz w:val="24"/>
          <w14:textFill>
            <w14:solidFill>
              <w14:schemeClr w14:val="tx1"/>
            </w14:solidFill>
          </w14:textFill>
        </w:rPr>
        <w:t>允许采购进口设备</w:t>
      </w:r>
    </w:p>
    <w:p w14:paraId="7A2D8F1A">
      <w:pPr>
        <w:spacing w:line="276" w:lineRule="auto"/>
        <w:rPr>
          <w:rFonts w:hint="eastAsia" w:hAnsi="仿宋" w:eastAsia="仿宋"/>
          <w:color w:val="000000" w:themeColor="text1"/>
          <w:sz w:val="24"/>
          <w14:textFill>
            <w14:solidFill>
              <w14:schemeClr w14:val="tx1"/>
            </w14:solidFill>
          </w14:textFill>
        </w:rPr>
      </w:pPr>
    </w:p>
    <w:p w14:paraId="40D7E3AA">
      <w:pPr>
        <w:spacing w:line="276" w:lineRule="auto"/>
        <w:rPr>
          <w:rFonts w:hint="eastAsia" w:hAnsi="仿宋" w:eastAsia="仿宋"/>
          <w:color w:val="000000" w:themeColor="text1"/>
          <w:sz w:val="24"/>
          <w14:textFill>
            <w14:solidFill>
              <w14:schemeClr w14:val="tx1"/>
            </w14:solidFill>
          </w14:textFill>
        </w:rPr>
      </w:pPr>
    </w:p>
    <w:p w14:paraId="3545B71E">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二、功能用途：</w:t>
      </w:r>
    </w:p>
    <w:p w14:paraId="4E8EC2E1">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主要用于橡胶、塑料、薄膜、水凝胶、复材、金属的拉伸、压缩、弯曲、剥离、撕裂、剪切等测试需求</w:t>
      </w:r>
    </w:p>
    <w:p w14:paraId="55D7086E">
      <w:pPr>
        <w:pStyle w:val="4"/>
        <w:spacing w:line="288" w:lineRule="auto"/>
        <w:ind w:firstLine="0"/>
        <w:rPr>
          <w:rFonts w:hint="eastAsia" w:ascii="仿宋" w:hAnsi="仿宋" w:eastAsia="仿宋" w:cs="仿宋"/>
          <w:color w:val="000000" w:themeColor="text1"/>
          <w14:textFill>
            <w14:solidFill>
              <w14:schemeClr w14:val="tx1"/>
            </w14:solidFill>
          </w14:textFill>
        </w:rPr>
      </w:pPr>
    </w:p>
    <w:p w14:paraId="356B43D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三、技术要求：</w:t>
      </w:r>
    </w:p>
    <w:p w14:paraId="6F1788AB">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1.工作条件：</w:t>
      </w:r>
    </w:p>
    <w:p w14:paraId="74E2ECF9">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 电源电压： AC  230V±10%  50Hz；</w:t>
      </w:r>
    </w:p>
    <w:p w14:paraId="40A9F92E">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 工作温度：10～35℃；</w:t>
      </w:r>
    </w:p>
    <w:p w14:paraId="53C922C4">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 相对湿度：20%～90％；</w:t>
      </w:r>
    </w:p>
    <w:p w14:paraId="664796DD">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1.4 仪器运行的持久性：可长时间连续工作。</w:t>
      </w:r>
    </w:p>
    <w:p w14:paraId="63737812">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 试验机主机：</w:t>
      </w:r>
    </w:p>
    <w:p w14:paraId="5FD237E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2.1主机规格：≥50kN</w:t>
      </w:r>
    </w:p>
    <w:p w14:paraId="1EB8AD29">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#2.2 双立柱结构，符合人体工程学原理，无需单独配套试验机工作台。</w:t>
      </w:r>
    </w:p>
    <w:p w14:paraId="2DD7AF80">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#2.3 横梁移动速度满足0.001～500mm/min</w:t>
      </w:r>
    </w:p>
    <w:p w14:paraId="46747E6B">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#2.4 速度控制精度：设定速度的±0.05％；</w:t>
      </w:r>
    </w:p>
    <w:p w14:paraId="7E229C32">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*2.5 横梁驱动系统位移分辨率优于：0.4nm；</w:t>
      </w:r>
    </w:p>
    <w:p w14:paraId="10CF1564">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*2.6 横梁位移重复定位精度优于±2um</w:t>
      </w:r>
    </w:p>
    <w:p w14:paraId="73744E1B">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#2.7 机架刚度不低于160kN/mm</w:t>
      </w:r>
    </w:p>
    <w:p w14:paraId="4FE5452A">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*2.8 测试区域：高度≥1350mm，宽度≥440mm；</w:t>
      </w:r>
    </w:p>
    <w:p w14:paraId="299B30B4">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#2.9 配有液晶显示屏手动控制器。既可做遥控控制，也可做操作面板使用；可预先设定功能，开始/停止/接近开始位置/打开关闭夹具等；带有数字显示屏可显示测量通道，主机及测试状态等信息；</w:t>
      </w:r>
    </w:p>
    <w:p w14:paraId="41A83811">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2.10主机配套附件：最大载荷5KN。</w:t>
      </w:r>
    </w:p>
    <w:p w14:paraId="6D7BB35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 高精度力传感器：</w:t>
      </w:r>
    </w:p>
    <w:p w14:paraId="3D9D437D">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3.1传感器1：最大载荷50kN，1级精度从200 N开始，0.5级精度从1000 N开始，满足 ISO 7500-1标准</w:t>
      </w:r>
    </w:p>
    <w:p w14:paraId="5532F58A">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3.2 传感器2：最大载荷5KN，1级精度从20 N开始，0.5级精度从100 N开始，满足 ISO 7500-1标准</w:t>
      </w:r>
    </w:p>
    <w:p w14:paraId="1F0294E3">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#3.3 传感器3：最大载荷500N，0.5级精度从0.5 N开始，满足 ISO 7500-1标准</w:t>
      </w:r>
    </w:p>
    <w:p w14:paraId="41169591">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 试样夹具：</w:t>
      </w:r>
    </w:p>
    <w:p w14:paraId="1A74B1F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4.1 2.5KN气动平推夹具，数量：1套；</w:t>
      </w:r>
    </w:p>
    <w:p w14:paraId="09DD40B5">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#4.1.1单面夹持，夹面张开距离可逐级调节，可适用于非对称性试样的夹持</w:t>
      </w:r>
    </w:p>
    <w:p w14:paraId="080814A8">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4.1.2 带试样对中；</w:t>
      </w:r>
    </w:p>
    <w:p w14:paraId="390D2DA6">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4.1.3配套夹面3套。</w:t>
      </w:r>
    </w:p>
    <w:p w14:paraId="499D111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4.2 50KN手动夹具，数量：1套</w:t>
      </w:r>
    </w:p>
    <w:p w14:paraId="29A6A79B">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4.3 塑料三点弯曲工装，数量：1套</w:t>
      </w:r>
    </w:p>
    <w:p w14:paraId="7978BAE0">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4.4 圆形压盘工装 ，数量：1套</w:t>
      </w:r>
    </w:p>
    <w:p w14:paraId="27A60DDA">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 引伸计：</w:t>
      </w:r>
    </w:p>
    <w:p w14:paraId="286E1C05">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5.1手动引伸计 1套；</w:t>
      </w:r>
    </w:p>
    <w:p w14:paraId="2335ABA8">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#5.1.1从20um开始，0.5级精度，满足EN ISO 9513标准</w:t>
      </w:r>
    </w:p>
    <w:p w14:paraId="5D071C94">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5.1.2初始标距满足20 mm / 25 mm / 30 mm/50 mm / 75 mm</w:t>
      </w:r>
    </w:p>
    <w:p w14:paraId="74E03DB8">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#5.1.3分辨率优于0.03µm</w:t>
      </w:r>
    </w:p>
    <w:p w14:paraId="59ACA185">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5.1.4拉伸测量范围 0 … 12 mm</w:t>
      </w:r>
    </w:p>
    <w:p w14:paraId="170D5ADC">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*5.2非接触式长量程光学引伸计1套；</w:t>
      </w:r>
    </w:p>
    <w:p w14:paraId="50E180D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*5.2.1标距范围满足10～890mm，标距范围随意可调</w:t>
      </w:r>
    </w:p>
    <w:p w14:paraId="7619C9F1">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#5.2.2分辨率优于：2µm </w:t>
      </w:r>
    </w:p>
    <w:p w14:paraId="56652812">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*5.2.3变形量满足1000mm-Lo（标距）</w:t>
      </w:r>
    </w:p>
    <w:p w14:paraId="01BF2EC2">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#5.2.4配套试样的反射标记带及打标机</w:t>
      </w:r>
    </w:p>
    <w:p w14:paraId="1E717164">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#5.2.5高粘性的反射标记点需在拉伸过程中不会随试样的变形而变形</w:t>
      </w:r>
    </w:p>
    <w:p w14:paraId="0117C38E">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 测试操作软件</w:t>
      </w:r>
    </w:p>
    <w:p w14:paraId="07B5C7E0">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6.1 简体中文版操作；</w:t>
      </w:r>
    </w:p>
    <w:p w14:paraId="63C19312">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6.2 测试软件应能具备橡胶、塑料、薄膜、水凝胶、复材、金属的拉伸、压缩、弯曲、剥离、撕裂、剪切等测试功能。提供相关测试标准所要求的算法，及相关函数库和测试全过程的应力、应变程式，供用户随意调取及计算。自动测量运算相关的力学性能参数；</w:t>
      </w:r>
    </w:p>
    <w:p w14:paraId="143415D0">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6.3 测试软件使用以图形为界面的视窗操作系统，可按用户要求进行设计、升级和更新的开放式软件。该测试软件能根据力-位移的变化自动实时的显示和绘制载荷-应变、载荷-位移、应力-应变或应力-位移测试曲线并能相互转化，测试的曲线能根据用户的要求具有放大和缩小功能和自动显示数值功能（曲线遍历功能.特征点(如屈服点)可通过设定条件参数自动判别和人为指定），并能进行最终的试验数据计算、分析、统计、拟和、储存和打印、检索和再分析等功能；</w:t>
      </w:r>
    </w:p>
    <w:p w14:paraId="2D357686">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6.4 测试软件应具有设定显示屏幕和控制操作面板功能，具有设定极限保护和比例控制参数功能，具有安全控制保护功能，具有应力和应变传感器的自动识别、自动标定和自动平衡功能，具有试验过程中的断裂值、峰值和设置点值标示和结果显示和在实时曲线上自动标记测试结果相应的特征线和特征点功能，具有试验系统诊断和诊断结果显示功能，能实时显示各种试验图形功能，能实时显示拉力/应力、位移/应变、试验时间功能，具有试样保护功能和自动控制夹具作动等功能；</w:t>
      </w:r>
    </w:p>
    <w:p w14:paraId="7710C1BA">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6.5 测试界面应能根据用户的需求，所测数据可输出到Excel，Word和Access等文件中。自由的设计各种试样序列、测试曲线、测试结果、统计结果等的窗体布局，选择不同的显示内容。并能提供报告编辑模板，让用户能根据具体的需要，编制不同的式样的报告模板。试验报告可选择MS word, PDF, HTML格式.在屏幕上试验结果的数据和图形可直接粘贴到MS word 和 MS Excel文档上. 原始试验数据可直接存入MS Excel；</w:t>
      </w:r>
    </w:p>
    <w:p w14:paraId="58E4EE9C">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 空气静音泵1台。</w:t>
      </w:r>
    </w:p>
    <w:p w14:paraId="61A2C231">
      <w:pPr>
        <w:pStyle w:val="4"/>
        <w:spacing w:line="288" w:lineRule="auto"/>
        <w:ind w:firstLine="0"/>
        <w:rPr>
          <w:rFonts w:hint="eastAsia" w:ascii="仿宋" w:hAnsi="仿宋" w:eastAsia="仿宋" w:cs="仿宋"/>
          <w:color w:val="000000" w:themeColor="text1"/>
          <w14:textFill>
            <w14:solidFill>
              <w14:schemeClr w14:val="tx1"/>
            </w14:solidFill>
          </w14:textFill>
        </w:rPr>
      </w:pPr>
    </w:p>
    <w:p w14:paraId="3C00C4BE">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四、设备配置要求：</w:t>
      </w:r>
    </w:p>
    <w:tbl>
      <w:tblPr>
        <w:tblStyle w:val="13"/>
        <w:tblpPr w:leftFromText="180" w:rightFromText="180" w:vertAnchor="text" w:tblpXSpec="center" w:tblpY="1"/>
        <w:tblOverlap w:val="never"/>
        <w:tblW w:w="8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410"/>
        <w:gridCol w:w="709"/>
        <w:gridCol w:w="5165"/>
      </w:tblGrid>
      <w:tr w14:paraId="7350F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704" w:type="dxa"/>
            <w:vAlign w:val="center"/>
          </w:tcPr>
          <w:p w14:paraId="048878EE">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序号</w:t>
            </w:r>
          </w:p>
        </w:tc>
        <w:tc>
          <w:tcPr>
            <w:tcW w:w="2410" w:type="dxa"/>
            <w:vAlign w:val="center"/>
          </w:tcPr>
          <w:p w14:paraId="0293F604">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部件号</w:t>
            </w:r>
          </w:p>
        </w:tc>
        <w:tc>
          <w:tcPr>
            <w:tcW w:w="709" w:type="dxa"/>
            <w:vAlign w:val="center"/>
          </w:tcPr>
          <w:p w14:paraId="0151A9BC">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w:t>
            </w:r>
          </w:p>
        </w:tc>
        <w:tc>
          <w:tcPr>
            <w:tcW w:w="5165" w:type="dxa"/>
            <w:vAlign w:val="center"/>
          </w:tcPr>
          <w:p w14:paraId="34E94035">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描述</w:t>
            </w:r>
          </w:p>
        </w:tc>
      </w:tr>
      <w:tr w14:paraId="45EC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14:paraId="0326BDCC">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2410" w:type="dxa"/>
            <w:vAlign w:val="center"/>
          </w:tcPr>
          <w:p w14:paraId="004BF6D5">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主机</w:t>
            </w:r>
          </w:p>
        </w:tc>
        <w:tc>
          <w:tcPr>
            <w:tcW w:w="709" w:type="dxa"/>
            <w:vAlign w:val="center"/>
          </w:tcPr>
          <w:p w14:paraId="7D48F3F0">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72C3359D">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最大承载≥50kN</w:t>
            </w:r>
          </w:p>
        </w:tc>
      </w:tr>
      <w:tr w14:paraId="00E0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14:paraId="28715668">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p>
        </w:tc>
        <w:tc>
          <w:tcPr>
            <w:tcW w:w="2410" w:type="dxa"/>
            <w:vAlign w:val="center"/>
          </w:tcPr>
          <w:p w14:paraId="1F0CAB4D">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主机配套附件</w:t>
            </w:r>
          </w:p>
        </w:tc>
        <w:tc>
          <w:tcPr>
            <w:tcW w:w="709" w:type="dxa"/>
            <w:vAlign w:val="center"/>
          </w:tcPr>
          <w:p w14:paraId="44146271">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5D116F1A">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最大载荷5kN</w:t>
            </w:r>
          </w:p>
        </w:tc>
      </w:tr>
      <w:tr w14:paraId="70C1C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14:paraId="316EF212">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p>
        </w:tc>
        <w:tc>
          <w:tcPr>
            <w:tcW w:w="2410" w:type="dxa"/>
            <w:vAlign w:val="center"/>
          </w:tcPr>
          <w:p w14:paraId="08495B1C">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力传感器</w:t>
            </w:r>
          </w:p>
        </w:tc>
        <w:tc>
          <w:tcPr>
            <w:tcW w:w="709" w:type="dxa"/>
            <w:vAlign w:val="center"/>
          </w:tcPr>
          <w:p w14:paraId="0138F37E">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00E1C7FC">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最大载荷50kN</w:t>
            </w:r>
          </w:p>
        </w:tc>
      </w:tr>
      <w:tr w14:paraId="2CE1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14:paraId="551EE333">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p>
        </w:tc>
        <w:tc>
          <w:tcPr>
            <w:tcW w:w="2410" w:type="dxa"/>
            <w:vAlign w:val="center"/>
          </w:tcPr>
          <w:p w14:paraId="1CFEEF3A">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力传感器</w:t>
            </w:r>
          </w:p>
        </w:tc>
        <w:tc>
          <w:tcPr>
            <w:tcW w:w="709" w:type="dxa"/>
            <w:vAlign w:val="center"/>
          </w:tcPr>
          <w:p w14:paraId="7B2C336C">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69BDAEA4">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最大载荷5kN</w:t>
            </w:r>
          </w:p>
        </w:tc>
      </w:tr>
      <w:tr w14:paraId="62037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14:paraId="6C71560D">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w:t>
            </w:r>
          </w:p>
        </w:tc>
        <w:tc>
          <w:tcPr>
            <w:tcW w:w="2410" w:type="dxa"/>
            <w:vAlign w:val="center"/>
          </w:tcPr>
          <w:p w14:paraId="52FF2097">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力传感器</w:t>
            </w:r>
          </w:p>
        </w:tc>
        <w:tc>
          <w:tcPr>
            <w:tcW w:w="709" w:type="dxa"/>
            <w:vAlign w:val="center"/>
          </w:tcPr>
          <w:p w14:paraId="2092220A">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2130A3AA">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最大载荷500N</w:t>
            </w:r>
          </w:p>
        </w:tc>
      </w:tr>
      <w:tr w14:paraId="33297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39CF84F3">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w:t>
            </w:r>
          </w:p>
        </w:tc>
        <w:tc>
          <w:tcPr>
            <w:tcW w:w="2410" w:type="dxa"/>
            <w:vAlign w:val="center"/>
          </w:tcPr>
          <w:p w14:paraId="692C2A2D">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气动平推夹具</w:t>
            </w:r>
          </w:p>
        </w:tc>
        <w:tc>
          <w:tcPr>
            <w:tcW w:w="709" w:type="dxa"/>
            <w:vAlign w:val="center"/>
          </w:tcPr>
          <w:p w14:paraId="5E5B00A0">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6433D2C3">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配套夹面共3套</w:t>
            </w:r>
          </w:p>
        </w:tc>
      </w:tr>
      <w:tr w14:paraId="5322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59E5B68E">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w:t>
            </w:r>
          </w:p>
        </w:tc>
        <w:tc>
          <w:tcPr>
            <w:tcW w:w="2410" w:type="dxa"/>
            <w:vAlign w:val="center"/>
          </w:tcPr>
          <w:p w14:paraId="5C99542E">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手动夹具</w:t>
            </w:r>
          </w:p>
        </w:tc>
        <w:tc>
          <w:tcPr>
            <w:tcW w:w="709" w:type="dxa"/>
            <w:vAlign w:val="center"/>
          </w:tcPr>
          <w:p w14:paraId="013F4673">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737E662B">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50KN，主要用于金属、复材的拉伸</w:t>
            </w:r>
          </w:p>
        </w:tc>
      </w:tr>
      <w:tr w14:paraId="17BB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 w:hRule="atLeast"/>
        </w:trPr>
        <w:tc>
          <w:tcPr>
            <w:tcW w:w="704" w:type="dxa"/>
            <w:vAlign w:val="center"/>
          </w:tcPr>
          <w:p w14:paraId="6A1F0682">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8</w:t>
            </w:r>
          </w:p>
        </w:tc>
        <w:tc>
          <w:tcPr>
            <w:tcW w:w="2410" w:type="dxa"/>
            <w:vAlign w:val="center"/>
          </w:tcPr>
          <w:p w14:paraId="4349A9F4">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压缩夹具</w:t>
            </w:r>
          </w:p>
        </w:tc>
        <w:tc>
          <w:tcPr>
            <w:tcW w:w="709" w:type="dxa"/>
            <w:vAlign w:val="center"/>
          </w:tcPr>
          <w:p w14:paraId="7C09D1B9">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1FBFAF7A">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用于测定材料的压缩性能</w:t>
            </w:r>
          </w:p>
        </w:tc>
      </w:tr>
      <w:tr w14:paraId="4A1B6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15C8C717">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9</w:t>
            </w:r>
          </w:p>
        </w:tc>
        <w:tc>
          <w:tcPr>
            <w:tcW w:w="2410" w:type="dxa"/>
            <w:vAlign w:val="center"/>
          </w:tcPr>
          <w:p w14:paraId="528A6C2F">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三点弯曲夹具</w:t>
            </w:r>
          </w:p>
        </w:tc>
        <w:tc>
          <w:tcPr>
            <w:tcW w:w="709" w:type="dxa"/>
            <w:vAlign w:val="center"/>
          </w:tcPr>
          <w:p w14:paraId="23653512">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7CB1BFE3">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弯曲性能的测定</w:t>
            </w:r>
          </w:p>
        </w:tc>
      </w:tr>
      <w:tr w14:paraId="521E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18EBF6DE">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10</w:t>
            </w:r>
          </w:p>
        </w:tc>
        <w:tc>
          <w:tcPr>
            <w:tcW w:w="2410" w:type="dxa"/>
            <w:vAlign w:val="center"/>
          </w:tcPr>
          <w:p w14:paraId="2F6A61BD">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手动引伸计</w:t>
            </w:r>
          </w:p>
        </w:tc>
        <w:tc>
          <w:tcPr>
            <w:tcW w:w="709" w:type="dxa"/>
            <w:vAlign w:val="center"/>
          </w:tcPr>
          <w:p w14:paraId="1F346741">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3869E90D">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标距20 mm / 25 mm / 30 mm/50 mm / 75 mm</w:t>
            </w:r>
          </w:p>
        </w:tc>
      </w:tr>
      <w:tr w14:paraId="783B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762DE504">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w:t>
            </w:r>
          </w:p>
        </w:tc>
        <w:tc>
          <w:tcPr>
            <w:tcW w:w="2410" w:type="dxa"/>
            <w:vAlign w:val="center"/>
          </w:tcPr>
          <w:p w14:paraId="59B7B320">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非接触式光学引伸计</w:t>
            </w:r>
          </w:p>
        </w:tc>
        <w:tc>
          <w:tcPr>
            <w:tcW w:w="709" w:type="dxa"/>
            <w:vAlign w:val="center"/>
          </w:tcPr>
          <w:p w14:paraId="775FC962">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30BDB0FC">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测量橡胶、塑料等材料的伸长率。</w:t>
            </w:r>
          </w:p>
        </w:tc>
      </w:tr>
      <w:tr w14:paraId="29BD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1CEE8032">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w:t>
            </w:r>
          </w:p>
        </w:tc>
        <w:tc>
          <w:tcPr>
            <w:tcW w:w="2410" w:type="dxa"/>
            <w:vAlign w:val="center"/>
          </w:tcPr>
          <w:p w14:paraId="04B8B970">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打标机</w:t>
            </w:r>
          </w:p>
        </w:tc>
        <w:tc>
          <w:tcPr>
            <w:tcW w:w="709" w:type="dxa"/>
            <w:vAlign w:val="center"/>
          </w:tcPr>
          <w:p w14:paraId="3DAEA4CD">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6FF51F44">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非接触式引伸计辅机，用于在拉伸样品上粘贴非接触引伸计可识别的反射标记</w:t>
            </w:r>
          </w:p>
        </w:tc>
      </w:tr>
      <w:tr w14:paraId="3FD63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626DCFF6">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w:t>
            </w:r>
          </w:p>
        </w:tc>
        <w:tc>
          <w:tcPr>
            <w:tcW w:w="2410" w:type="dxa"/>
            <w:vAlign w:val="center"/>
          </w:tcPr>
          <w:p w14:paraId="29D0081B">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反射标记带</w:t>
            </w:r>
          </w:p>
        </w:tc>
        <w:tc>
          <w:tcPr>
            <w:tcW w:w="709" w:type="dxa"/>
            <w:vAlign w:val="center"/>
          </w:tcPr>
          <w:p w14:paraId="2CD3B154">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50469BDC">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打标机耗材，用于拉伸样品表面标记</w:t>
            </w:r>
          </w:p>
        </w:tc>
      </w:tr>
      <w:tr w14:paraId="77A0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181D8333">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w:t>
            </w:r>
          </w:p>
        </w:tc>
        <w:tc>
          <w:tcPr>
            <w:tcW w:w="2410" w:type="dxa"/>
            <w:vAlign w:val="center"/>
          </w:tcPr>
          <w:p w14:paraId="3F3EFBBE">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静音泵</w:t>
            </w:r>
          </w:p>
        </w:tc>
        <w:tc>
          <w:tcPr>
            <w:tcW w:w="709" w:type="dxa"/>
            <w:vAlign w:val="center"/>
          </w:tcPr>
          <w:p w14:paraId="6E4C750C">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06334313">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为气动平推夹具提供夹持力</w:t>
            </w:r>
          </w:p>
        </w:tc>
      </w:tr>
      <w:tr w14:paraId="6F96D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704" w:type="dxa"/>
            <w:vAlign w:val="center"/>
          </w:tcPr>
          <w:p w14:paraId="7450BA1C">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15</w:t>
            </w:r>
          </w:p>
        </w:tc>
        <w:tc>
          <w:tcPr>
            <w:tcW w:w="2410" w:type="dxa"/>
            <w:vAlign w:val="center"/>
          </w:tcPr>
          <w:p w14:paraId="5800CD11">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测试操作软件</w:t>
            </w:r>
          </w:p>
        </w:tc>
        <w:tc>
          <w:tcPr>
            <w:tcW w:w="709" w:type="dxa"/>
            <w:vAlign w:val="center"/>
          </w:tcPr>
          <w:p w14:paraId="31C7D99F">
            <w:pPr>
              <w:spacing w:line="288"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5165" w:type="dxa"/>
            <w:vAlign w:val="center"/>
          </w:tcPr>
          <w:p w14:paraId="5AF4776F">
            <w:pPr>
              <w:spacing w:line="288"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具备拉伸、压缩、弯曲、剥离、撕裂、剪切等测试功能，并提供相关测试要求的算法。</w:t>
            </w:r>
          </w:p>
        </w:tc>
      </w:tr>
    </w:tbl>
    <w:p w14:paraId="08252815">
      <w:pPr>
        <w:pStyle w:val="4"/>
        <w:spacing w:line="288" w:lineRule="auto"/>
        <w:ind w:firstLine="0"/>
        <w:rPr>
          <w:rFonts w:hint="eastAsia" w:ascii="仿宋" w:hAnsi="仿宋" w:eastAsia="仿宋" w:cs="仿宋"/>
          <w:color w:val="000000" w:themeColor="text1"/>
          <w14:textFill>
            <w14:solidFill>
              <w14:schemeClr w14:val="tx1"/>
            </w14:solidFill>
          </w14:textFill>
        </w:rPr>
      </w:pPr>
    </w:p>
    <w:p w14:paraId="147F6A66">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五、随机文件资料</w:t>
      </w:r>
    </w:p>
    <w:p w14:paraId="77218A71">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 随机文件资料（电子版）：至少1套</w:t>
      </w:r>
    </w:p>
    <w:p w14:paraId="5CC90484">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 设备操作使用说明书（英文）：至少1套</w:t>
      </w:r>
    </w:p>
    <w:p w14:paraId="26BF1259">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 软件使用指南（英文）：至少1套</w:t>
      </w:r>
    </w:p>
    <w:p w14:paraId="0B2FA45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 其它应附随机资料</w:t>
      </w:r>
    </w:p>
    <w:p w14:paraId="3DC1814A">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卖方应在供货同时向买方提供所有有关本合同执行的技术文件。如果项目必需但合同又未作规定的要卖方才能提供的技术文件，卖方也应及时向买方提供。上述技术文件应包含保证买方能够正确进行安装、操作、检查、维修、维护、测试、调试、验收和运作的需要的所有内容。同时买方完全按照技术文件的指导进行的任何安装、操作、检查维修、维护、测试、调试、验收所引起的系统和/或设备或其部件的损坏由卖方承担责任；</w:t>
      </w:r>
    </w:p>
    <w:p w14:paraId="4389D73D">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所有卖方提供的技术文件的全部费用已包含在合同货物价格中。</w:t>
      </w:r>
    </w:p>
    <w:p w14:paraId="1A131375">
      <w:pPr>
        <w:pStyle w:val="4"/>
        <w:spacing w:line="288" w:lineRule="auto"/>
        <w:ind w:firstLine="0"/>
        <w:rPr>
          <w:rFonts w:hint="eastAsia" w:ascii="仿宋" w:hAnsi="仿宋" w:eastAsia="仿宋" w:cs="仿宋"/>
          <w:color w:val="000000" w:themeColor="text1"/>
          <w14:textFill>
            <w14:solidFill>
              <w14:schemeClr w14:val="tx1"/>
            </w14:solidFill>
          </w14:textFill>
        </w:rPr>
      </w:pPr>
    </w:p>
    <w:p w14:paraId="68DE303D">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w:t>
      </w:r>
      <w:r>
        <w:rPr>
          <w:rFonts w:hint="eastAsia" w:ascii="仿宋" w:hAnsi="仿宋" w:eastAsia="仿宋" w:cs="仿宋"/>
          <w:color w:val="000000" w:themeColor="text1"/>
          <w14:textFill>
            <w14:solidFill>
              <w14:schemeClr w14:val="tx1"/>
            </w14:solidFill>
          </w14:textFill>
        </w:rPr>
        <w:t>六、技术商务要求</w:t>
      </w:r>
    </w:p>
    <w:p w14:paraId="2EED91F7">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 卖方应在仪器到达用户所在地后，在接到用户通知后2周内进行安装调试，直至通过验收。</w:t>
      </w:r>
    </w:p>
    <w:p w14:paraId="6B058998">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 技术培训：卖方应对买方提供现场技术培训，在卖方设备安装调试完成后，卖方应对用户技术人员进行调试、操作、仪器维护、故障排除等方面的现场培训，时间为3个工作日。</w:t>
      </w:r>
    </w:p>
    <w:p w14:paraId="4E7C7664">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 售后服务：中国区建立有售后服务机构，并配备专业维修工程师，能提供及时有效的售后服务。</w:t>
      </w:r>
    </w:p>
    <w:p w14:paraId="17D6C301">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 保修期：卖方提供至少1年的整机免费保修, 保修期自仪器验收签字之日起计算。</w:t>
      </w:r>
    </w:p>
    <w:p w14:paraId="2503CDB0">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 维修响应时间：卖方应在24小时内对用户的服务要求给以响应</w:t>
      </w:r>
      <w:r>
        <w:rPr>
          <w:rFonts w:hint="eastAsia" w:ascii="Times New Roman" w:hAnsi="仿宋" w:eastAsia="仿宋"/>
          <w:color w:val="000000" w:themeColor="text1"/>
          <w14:textFill>
            <w14:solidFill>
              <w14:schemeClr w14:val="tx1"/>
            </w14:solidFill>
          </w14:textFill>
        </w:rPr>
        <w:t>（电话、邮件、视频等均可）</w:t>
      </w:r>
      <w:r>
        <w:rPr>
          <w:rFonts w:hint="eastAsia" w:ascii="仿宋" w:hAnsi="仿宋" w:eastAsia="仿宋" w:cs="仿宋"/>
          <w:color w:val="000000" w:themeColor="text1"/>
          <w14:textFill>
            <w14:solidFill>
              <w14:schemeClr w14:val="tx1"/>
            </w14:solidFill>
          </w14:textFill>
        </w:rPr>
        <w:t>；需要在现场解决问题的，应在2工作日内到达仪器现场。</w:t>
      </w:r>
    </w:p>
    <w:p w14:paraId="1DF6A7FD">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 付款方式：设备到货验收合格后支付全款。</w:t>
      </w:r>
    </w:p>
    <w:p w14:paraId="1A976097">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 由于禁运或出口许可审批困难导致合同不能履行，要求合同自动解除并退回已支付的货款，如果由于投标人自身原因导致被禁运，就要其承担相应法律责任并赔偿由此导致的损失。</w:t>
      </w:r>
    </w:p>
    <w:p w14:paraId="3C6145DD">
      <w:pPr>
        <w:pStyle w:val="4"/>
        <w:spacing w:line="288" w:lineRule="auto"/>
        <w:ind w:firstLine="0"/>
        <w:rPr>
          <w:rFonts w:hint="eastAsia" w:ascii="仿宋" w:hAnsi="仿宋" w:eastAsia="仿宋" w:cs="仿宋"/>
          <w:color w:val="000000" w:themeColor="text1"/>
          <w14:textFill>
            <w14:solidFill>
              <w14:schemeClr w14:val="tx1"/>
            </w14:solidFill>
          </w14:textFill>
        </w:rPr>
      </w:pPr>
    </w:p>
    <w:p w14:paraId="7AC21449">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七、设备包装要求及运输方式</w:t>
      </w:r>
    </w:p>
    <w:p w14:paraId="02912F08">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 设备包装应符合海运、陆运、空运的标准，适合长途运输、防潮，防震，防绣；保证设备完好无损；适于海、陆、空运输和整体吊装。</w:t>
      </w:r>
    </w:p>
    <w:p w14:paraId="16C5F8C9">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 由于包装不当所造成的货物锈蚀、损坏和损失均由卖方负责。</w:t>
      </w:r>
    </w:p>
    <w:p w14:paraId="43E5F74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 每份包装箱内应附一份详细装箱清单和质量检验合格证明或厂商提供的出厂检测报告。</w:t>
      </w:r>
    </w:p>
    <w:p w14:paraId="684D7CB2">
      <w:pPr>
        <w:pStyle w:val="4"/>
        <w:spacing w:line="288" w:lineRule="auto"/>
        <w:ind w:firstLine="0"/>
        <w:rPr>
          <w:rFonts w:hint="eastAsia" w:ascii="仿宋" w:hAnsi="仿宋" w:eastAsia="仿宋" w:cs="仿宋"/>
          <w:color w:val="000000" w:themeColor="text1"/>
          <w14:textFill>
            <w14:solidFill>
              <w14:schemeClr w14:val="tx1"/>
            </w14:solidFill>
          </w14:textFill>
        </w:rPr>
      </w:pPr>
    </w:p>
    <w:p w14:paraId="7FB5A12F">
      <w:pPr>
        <w:pStyle w:val="4"/>
        <w:spacing w:line="288" w:lineRule="auto"/>
        <w:ind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注：对 “*”号条款为关键技术条款，“#”号条款为重要技术条款。“*”号条款须逐项提供能够体现招标要求的、公开发布的、公共网络可查的技术资料支持文件（包括并不仅限于产品说明、国家认可检测机构提供的检测报告、宣传彩页等），“*”号条款的偏离将致导投标被否决。</w:t>
      </w:r>
    </w:p>
    <w:p w14:paraId="00CAF309"/>
    <w:sectPr>
      <w:headerReference r:id="rId7" w:type="first"/>
      <w:footerReference r:id="rId10" w:type="first"/>
      <w:headerReference r:id="rId5" w:type="default"/>
      <w:footerReference r:id="rId8" w:type="default"/>
      <w:headerReference r:id="rId6" w:type="even"/>
      <w:footerReference r:id="rId9" w:type="even"/>
      <w:pgSz w:w="11906" w:h="16838"/>
      <w:pgMar w:top="1247" w:right="1247" w:bottom="1247" w:left="1247" w:header="851" w:footer="585"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C2479">
    <w:pPr>
      <w:pStyle w:val="9"/>
    </w:pPr>
    <w:r>
      <mc:AlternateContent>
        <mc:Choice Requires="wps">
          <w:drawing>
            <wp:anchor distT="0" distB="0" distL="114300" distR="114300" simplePos="0" relativeHeight="251659264" behindDoc="0" locked="0" layoutInCell="1" allowOverlap="1">
              <wp:simplePos x="0" y="0"/>
              <wp:positionH relativeFrom="margin">
                <wp:posOffset>2839720</wp:posOffset>
              </wp:positionH>
              <wp:positionV relativeFrom="paragraph">
                <wp:posOffset>-635</wp:posOffset>
              </wp:positionV>
              <wp:extent cx="443865" cy="208280"/>
              <wp:effectExtent l="0" t="0" r="0" b="0"/>
              <wp:wrapNone/>
              <wp:docPr id="6" name="Text Box 1029"/>
              <wp:cNvGraphicFramePr/>
              <a:graphic xmlns:a="http://schemas.openxmlformats.org/drawingml/2006/main">
                <a:graphicData uri="http://schemas.microsoft.com/office/word/2010/wordprocessingShape">
                  <wps:wsp>
                    <wps:cNvSpPr txBox="1">
                      <a:spLocks noChangeArrowheads="1"/>
                    </wps:cNvSpPr>
                    <wps:spPr bwMode="auto">
                      <a:xfrm>
                        <a:off x="0" y="0"/>
                        <a:ext cx="443620" cy="208230"/>
                      </a:xfrm>
                      <a:prstGeom prst="rect">
                        <a:avLst/>
                      </a:prstGeom>
                      <a:noFill/>
                      <a:ln>
                        <a:noFill/>
                      </a:ln>
                    </wps:spPr>
                    <wps:txbx>
                      <w:txbxContent>
                        <w:p w14:paraId="2DE5D17A">
                          <w:pPr>
                            <w:pStyle w:val="9"/>
                          </w:pPr>
                          <w:r>
                            <w:fldChar w:fldCharType="begin"/>
                          </w:r>
                          <w:r>
                            <w:instrText xml:space="preserve"> PAGE  \* MERGEFORMAT </w:instrText>
                          </w:r>
                          <w:r>
                            <w:fldChar w:fldCharType="separate"/>
                          </w:r>
                          <w:r>
                            <w:t>10</w:t>
                          </w:r>
                          <w:r>
                            <w:fldChar w:fldCharType="end"/>
                          </w:r>
                        </w:p>
                      </w:txbxContent>
                    </wps:txbx>
                    <wps:bodyPr rot="0" vert="horz" wrap="square" lIns="0" tIns="0" rIns="0" bIns="0" anchor="t" anchorCtr="0" upright="1">
                      <a:noAutofit/>
                    </wps:bodyPr>
                  </wps:wsp>
                </a:graphicData>
              </a:graphic>
            </wp:anchor>
          </w:drawing>
        </mc:Choice>
        <mc:Fallback>
          <w:pict>
            <v:shape id="Text Box 1029" o:spid="_x0000_s1026" o:spt="202" type="#_x0000_t202" style="position:absolute;left:0pt;margin-left:223.6pt;margin-top:-0.05pt;height:16.4pt;width:34.95pt;mso-position-horizontal-relative:margin;z-index:251659264;mso-width-relative:page;mso-height-relative:page;" filled="f" stroked="f" coordsize="21600,21600" o:gfxdata="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ki1zfYAAAACAEAAA8AAAAAAAAAAQAgAAAAIgAAAGRycy9kb3du&#10;cmV2LnhtbFBLAQIUABQAAAAIAIdO4kA4TmKb/wEAAAYEAAAOAAAAAAAAAAEAIAAAACcBAABkcnMv&#10;ZTJvRG9jLnhtbFBLBQYAAAAABgAGAFkBAACYBQAAAAA=&#10;">
              <v:fill on="f" focussize="0,0"/>
              <v:stroke on="f"/>
              <v:imagedata o:title=""/>
              <o:lock v:ext="edit" aspectratio="f"/>
              <v:textbox inset="0mm,0mm,0mm,0mm">
                <w:txbxContent>
                  <w:p w14:paraId="2DE5D17A">
                    <w:pPr>
                      <w:pStyle w:val="9"/>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70EB6">
    <w:pPr>
      <w:pStyle w:val="9"/>
      <w:rPr>
        <w:rStyle w:val="16"/>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5"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wps:spPr>
                    <wps:txbx>
                      <w:txbxContent>
                        <w:p w14:paraId="437DD32E">
                          <w:pPr>
                            <w:pStyle w:val="9"/>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58scAtEAAAACAQAADwAAAAAAAAABACAAAAAiAAAAZHJzL2Rvd25yZXYueG1sUEsB&#10;AhQAFAAAAAgAh07iQOuPYE38AQAAAwQAAA4AAAAAAAAAAQAgAAAAIAEAAGRycy9lMm9Eb2MueG1s&#10;UEsFBgAAAAAGAAYAWQEAAI4FAAAAAA==&#10;">
              <v:fill on="f" focussize="0,0"/>
              <v:stroke on="f"/>
              <v:imagedata o:title=""/>
              <o:lock v:ext="edit" aspectratio="f"/>
              <v:textbox inset="0mm,0mm,0mm,0mm" style="mso-fit-shape-to-text:t;">
                <w:txbxContent>
                  <w:p w14:paraId="437DD32E">
                    <w:pPr>
                      <w:pStyle w:val="9"/>
                    </w:pPr>
                    <w:r>
                      <w:fldChar w:fldCharType="begin"/>
                    </w:r>
                    <w:r>
                      <w:instrText xml:space="preserve"> PAGE  \* MERGEFORMAT </w:instrText>
                    </w:r>
                    <w:r>
                      <w:fldChar w:fldCharType="separate"/>
                    </w:r>
                    <w:r>
                      <w:t>2</w:t>
                    </w:r>
                    <w:r>
                      <w:fldChar w:fldCharType="end"/>
                    </w:r>
                  </w:p>
                </w:txbxContent>
              </v:textbox>
            </v:shape>
          </w:pict>
        </mc:Fallback>
      </mc:AlternateContent>
    </w:r>
  </w:p>
  <w:p w14:paraId="551C0A46">
    <w:pPr>
      <w:pStyle w:val="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DFAC8">
    <w:pPr>
      <w:pStyle w:val="9"/>
      <w:ind w:firstLine="360"/>
      <w:jc w:val="center"/>
    </w:pPr>
    <w:r>
      <w:fldChar w:fldCharType="begin"/>
    </w:r>
    <w:r>
      <w:instrText xml:space="preserve"> PAGE   \* MERGEFORMAT </w:instrText>
    </w:r>
    <w:r>
      <w:fldChar w:fldCharType="separate"/>
    </w:r>
    <w:r>
      <w:rPr>
        <w:lang w:val="zh-CN"/>
      </w:rPr>
      <w:t>1</w:t>
    </w:r>
    <w:r>
      <w:rPr>
        <w:lang w:val="zh-CN"/>
      </w:rPr>
      <w:fldChar w:fldCharType="end"/>
    </w:r>
  </w:p>
  <w:p w14:paraId="31156DDF">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BC3D8">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5177C">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A711">
    <w:pPr>
      <w:pStyle w:val="10"/>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0DCE6">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3EBE6">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11E7544B"/>
    <w:rsid w:val="0AA957DD"/>
    <w:rsid w:val="0AFA1F55"/>
    <w:rsid w:val="0B4E7E6B"/>
    <w:rsid w:val="0C7F7AD2"/>
    <w:rsid w:val="0D98311E"/>
    <w:rsid w:val="11E7544B"/>
    <w:rsid w:val="13821251"/>
    <w:rsid w:val="141C0605"/>
    <w:rsid w:val="145E6E6F"/>
    <w:rsid w:val="1DA55027"/>
    <w:rsid w:val="22D95F75"/>
    <w:rsid w:val="23A6786A"/>
    <w:rsid w:val="254044DE"/>
    <w:rsid w:val="264D464E"/>
    <w:rsid w:val="2C2346F8"/>
    <w:rsid w:val="2E2655CE"/>
    <w:rsid w:val="312113F1"/>
    <w:rsid w:val="3862667F"/>
    <w:rsid w:val="390601E4"/>
    <w:rsid w:val="39936183"/>
    <w:rsid w:val="4083468B"/>
    <w:rsid w:val="475B15AB"/>
    <w:rsid w:val="48E43182"/>
    <w:rsid w:val="4D0C2882"/>
    <w:rsid w:val="4E553308"/>
    <w:rsid w:val="56CB143B"/>
    <w:rsid w:val="5B3953D0"/>
    <w:rsid w:val="5D171520"/>
    <w:rsid w:val="5F9D3A48"/>
    <w:rsid w:val="61DD1832"/>
    <w:rsid w:val="63BA086D"/>
    <w:rsid w:val="648D475A"/>
    <w:rsid w:val="64FB738F"/>
    <w:rsid w:val="65261A9E"/>
    <w:rsid w:val="6E3631E6"/>
    <w:rsid w:val="6E8C763E"/>
    <w:rsid w:val="72E66F89"/>
    <w:rsid w:val="736305DA"/>
    <w:rsid w:val="75E53E84"/>
    <w:rsid w:val="7DE40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autoRedefine/>
    <w:qFormat/>
    <w:uiPriority w:val="0"/>
    <w:pPr>
      <w:keepNext/>
      <w:keepLines/>
      <w:spacing w:before="240"/>
      <w:outlineLvl w:val="0"/>
    </w:pPr>
    <w:rPr>
      <w:rFonts w:ascii="Cambria" w:hAnsi="Cambria" w:eastAsia="华文仿宋" w:cs="Times New Roman"/>
      <w:b/>
      <w:color w:val="000000" w:themeColor="text1"/>
      <w:sz w:val="28"/>
      <w:szCs w:val="32"/>
      <w14:textFill>
        <w14:solidFill>
          <w14:schemeClr w14:val="tx1"/>
        </w14:solidFill>
      </w14:textFill>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Body Text"/>
    <w:basedOn w:val="1"/>
    <w:next w:val="1"/>
    <w:autoRedefine/>
    <w:qFormat/>
    <w:uiPriority w:val="0"/>
    <w:pPr>
      <w:spacing w:after="120"/>
    </w:pPr>
    <w:rPr>
      <w:rFonts w:ascii="Times New Roman" w:hAnsi="Times New Roman" w:eastAsia="宋体" w:cs="Times New Roman"/>
      <w:szCs w:val="24"/>
    </w:rPr>
  </w:style>
  <w:style w:type="paragraph" w:styleId="6">
    <w:name w:val="Body Text Indent"/>
    <w:basedOn w:val="1"/>
    <w:autoRedefine/>
    <w:qFormat/>
    <w:uiPriority w:val="0"/>
    <w:pPr>
      <w:spacing w:after="120"/>
      <w:ind w:left="420" w:leftChars="200"/>
    </w:pPr>
    <w:rPr>
      <w:rFonts w:ascii="Times New Roman" w:hAnsi="Times New Roman" w:eastAsia="宋体" w:cs="Times New Roman"/>
      <w:szCs w:val="24"/>
    </w:rPr>
  </w:style>
  <w:style w:type="paragraph" w:styleId="7">
    <w:name w:val="List 2"/>
    <w:basedOn w:val="1"/>
    <w:qFormat/>
    <w:uiPriority w:val="0"/>
    <w:pPr>
      <w:ind w:left="100" w:leftChars="200" w:hanging="200" w:hangingChars="200"/>
    </w:pPr>
  </w:style>
  <w:style w:type="paragraph" w:styleId="8">
    <w:name w:val="Plain Text"/>
    <w:basedOn w:val="1"/>
    <w:qFormat/>
    <w:uiPriority w:val="0"/>
    <w:rPr>
      <w:rFonts w:ascii="宋体" w:hAnsi="Courier New" w:eastAsia="宋体" w:cs="Times New Roman"/>
      <w:kern w:val="0"/>
      <w:sz w:val="20"/>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unhideWhenUsed/>
    <w:qFormat/>
    <w:uiPriority w:val="0"/>
    <w:pPr>
      <w:pBdr>
        <w:bottom w:val="single" w:color="auto" w:sz="6" w:space="1"/>
      </w:pBdr>
      <w:tabs>
        <w:tab w:val="center" w:pos="4153"/>
        <w:tab w:val="right" w:pos="8306"/>
      </w:tabs>
      <w:adjustRightInd/>
      <w:spacing w:line="240" w:lineRule="auto"/>
      <w:ind w:firstLine="0" w:firstLineChars="0"/>
      <w:jc w:val="center"/>
    </w:pPr>
    <w:rPr>
      <w:rFonts w:asciiTheme="minorHAnsi" w:hAnsiTheme="minorHAnsi" w:eastAsiaTheme="minorEastAsia" w:cstheme="minorBidi"/>
      <w:sz w:val="18"/>
      <w:szCs w:val="18"/>
    </w:rPr>
  </w:style>
  <w:style w:type="paragraph" w:styleId="11">
    <w:name w:val="Body Text First Indent"/>
    <w:basedOn w:val="5"/>
    <w:unhideWhenUsed/>
    <w:qFormat/>
    <w:uiPriority w:val="99"/>
    <w:pPr>
      <w:tabs>
        <w:tab w:val="left" w:pos="567"/>
      </w:tabs>
      <w:ind w:firstLine="420" w:firstLineChars="100"/>
    </w:pPr>
  </w:style>
  <w:style w:type="paragraph" w:styleId="12">
    <w:name w:val="Body Text First Indent 2"/>
    <w:basedOn w:val="6"/>
    <w:autoRedefine/>
    <w:qFormat/>
    <w:uiPriority w:val="0"/>
    <w:pPr>
      <w:ind w:left="0" w:leftChars="0" w:firstLine="420"/>
    </w:pPr>
    <w:rPr>
      <w:rFonts w:ascii="仿宋_GB2312" w:eastAsia="仿宋_GB2312" w:cs="仿宋_GB2312"/>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Hyperlink"/>
    <w:autoRedefine/>
    <w:qFormat/>
    <w:uiPriority w:val="0"/>
    <w:rPr>
      <w:color w:val="363636"/>
      <w:u w:val="none"/>
    </w:rPr>
  </w:style>
  <w:style w:type="paragraph" w:customStyle="1" w:styleId="18">
    <w:name w:val="cm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styleId="20">
    <w:name w:val="List Paragraph"/>
    <w:basedOn w:val="1"/>
    <w:autoRedefine/>
    <w:qFormat/>
    <w:uiPriority w:val="99"/>
    <w:pPr>
      <w:ind w:firstLine="420"/>
    </w:pPr>
  </w:style>
  <w:style w:type="paragraph" w:customStyle="1" w:styleId="21">
    <w:name w:val="_Style 19"/>
    <w:basedOn w:val="1"/>
    <w:next w:val="20"/>
    <w:qFormat/>
    <w:uiPriority w:val="34"/>
    <w:pPr>
      <w:ind w:firstLine="420" w:firstLineChars="200"/>
    </w:pPr>
    <w:rPr>
      <w:rFonts w:ascii="Calibri" w:hAnsi="Calibri" w:eastAsia="宋体" w:cs="Times New Roman"/>
    </w:rPr>
  </w:style>
  <w:style w:type="paragraph" w:customStyle="1" w:styleId="22">
    <w:name w:val="列出段落1"/>
    <w:basedOn w:val="1"/>
    <w:autoRedefine/>
    <w:unhideWhenUsed/>
    <w:qFormat/>
    <w:uiPriority w:val="99"/>
    <w:pPr>
      <w:ind w:firstLine="420" w:firstLineChars="200"/>
    </w:pPr>
  </w:style>
  <w:style w:type="paragraph" w:customStyle="1" w:styleId="23">
    <w:name w:val="标题1"/>
    <w:basedOn w:val="1"/>
    <w:qFormat/>
    <w:uiPriority w:val="0"/>
    <w:pPr>
      <w:spacing w:line="300" w:lineRule="auto"/>
      <w:jc w:val="center"/>
      <w:outlineLvl w:val="0"/>
    </w:pPr>
    <w:rPr>
      <w:rFonts w:ascii="Arial" w:hAnsi="Arial" w:eastAsia="黑体"/>
      <w:w w:val="80"/>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6447</Words>
  <Characters>7323</Characters>
  <Lines>0</Lines>
  <Paragraphs>0</Paragraphs>
  <TotalTime>0</TotalTime>
  <ScaleCrop>false</ScaleCrop>
  <LinksUpToDate>false</LinksUpToDate>
  <CharactersWithSpaces>7484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2023-05-08T01:57:00Z</dcterms:created>
  <dc:creator>澍昧平生</dc:creator>
  <cp:lastModifiedBy>清</cp:lastModifiedBy>
  <dcterms:modified xsi:type="dcterms:W3CDTF">2025-06-04T05:46:16Z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B87FDF7E5A5B42ADBC51A838D3E6CBB8_13</vt:lpwstr>
  </property>
  <property fmtid="{D5CDD505-2E9C-101B-9397-08002B2CF9AE}" pid="4" name="KSOTemplateDocerSaveRecord">
    <vt:lpwstr>eyJoZGlkIjoiN2YzNjBkOTgyNWQ1YTMxYzM3MzMwNWFiODNmOWIzYWMiLCJ1c2VySWQiOiI3MzAwODYwNTIifQ==</vt:lpwstr>
  </property>
</Properties>
</file>