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582806">
      <w:pPr>
        <w:keepNext/>
        <w:keepLines/>
        <w:spacing w:before="340" w:after="330" w:line="578" w:lineRule="auto"/>
        <w:jc w:val="center"/>
        <w:outlineLvl w:val="0"/>
        <w:rPr>
          <w:rFonts w:ascii="仿宋" w:hAnsi="仿宋" w:eastAsia="仿宋" w:cs="Times New Roman"/>
          <w:b/>
          <w:bCs/>
          <w:kern w:val="44"/>
          <w:sz w:val="36"/>
          <w:szCs w:val="36"/>
        </w:rPr>
      </w:pPr>
      <w:bookmarkStart w:id="8" w:name="_GoBack"/>
      <w:bookmarkEnd w:id="8"/>
      <w:r>
        <w:rPr>
          <w:rFonts w:hint="eastAsia" w:ascii="仿宋" w:hAnsi="仿宋" w:eastAsia="仿宋" w:cs="Times New Roman"/>
          <w:b/>
          <w:bCs/>
          <w:kern w:val="44"/>
          <w:sz w:val="36"/>
          <w:szCs w:val="36"/>
        </w:rPr>
        <w:t>招标项目技术、服务、政府采购合同内容条款及其他商务要求</w:t>
      </w:r>
    </w:p>
    <w:p w14:paraId="1199840A">
      <w:pPr>
        <w:keepNext/>
        <w:keepLines/>
        <w:spacing w:before="260" w:after="260" w:line="400" w:lineRule="exact"/>
        <w:ind w:firstLine="482" w:firstLineChars="200"/>
        <w:outlineLvl w:val="1"/>
        <w:rPr>
          <w:rFonts w:ascii="仿宋" w:hAnsi="仿宋" w:eastAsia="仿宋" w:cs="Times New Roman"/>
          <w:b/>
          <w:bCs/>
          <w:sz w:val="24"/>
          <w:szCs w:val="24"/>
        </w:rPr>
      </w:pPr>
      <w:bookmarkStart w:id="0" w:name="_Toc217446094"/>
      <w:r>
        <w:rPr>
          <w:rFonts w:hint="eastAsia" w:ascii="仿宋" w:hAnsi="仿宋" w:eastAsia="仿宋" w:cs="Times New Roman"/>
          <w:b/>
          <w:bCs/>
          <w:sz w:val="24"/>
          <w:szCs w:val="24"/>
        </w:rPr>
        <w:t>前提：本章中标注“*”的条款为本项目的实质性条款，投标人不满足的，将按照无效投标处理。标注“</w:t>
      </w:r>
      <w:r>
        <w:rPr>
          <w:rFonts w:hint="eastAsia" w:ascii="仿宋" w:hAnsi="仿宋" w:eastAsia="仿宋" w:cs="Times New Roman"/>
          <w:bCs/>
          <w:sz w:val="24"/>
          <w:szCs w:val="32"/>
        </w:rPr>
        <w:t>★</w:t>
      </w:r>
      <w:r>
        <w:rPr>
          <w:rFonts w:hint="eastAsia" w:ascii="仿宋" w:hAnsi="仿宋" w:eastAsia="仿宋" w:cs="Times New Roman"/>
          <w:b/>
          <w:bCs/>
          <w:sz w:val="24"/>
          <w:szCs w:val="24"/>
        </w:rPr>
        <w:t>”的条款为重要指标要求，如未满足将根据评分办法规定进行扣分。</w:t>
      </w:r>
    </w:p>
    <w:p w14:paraId="76A53DD6">
      <w:pPr>
        <w:keepNext/>
        <w:keepLines/>
        <w:spacing w:before="260" w:after="260" w:line="400" w:lineRule="exact"/>
        <w:outlineLvl w:val="1"/>
        <w:rPr>
          <w:rFonts w:ascii="仿宋" w:hAnsi="仿宋" w:eastAsia="仿宋" w:cs="Times New Roman"/>
          <w:b/>
          <w:bCs/>
          <w:sz w:val="24"/>
          <w:szCs w:val="24"/>
        </w:rPr>
      </w:pPr>
      <w:r>
        <w:rPr>
          <w:rFonts w:hint="eastAsia" w:ascii="仿宋" w:hAnsi="仿宋" w:eastAsia="仿宋" w:cs="Times New Roman"/>
          <w:b/>
          <w:bCs/>
          <w:sz w:val="24"/>
          <w:szCs w:val="24"/>
        </w:rPr>
        <w:t>一、项目概述</w:t>
      </w:r>
      <w:bookmarkEnd w:id="0"/>
    </w:p>
    <w:p w14:paraId="1DFC0B8A">
      <w:pPr>
        <w:spacing w:after="160" w:line="400" w:lineRule="exact"/>
        <w:ind w:firstLine="480" w:firstLineChars="200"/>
        <w:rPr>
          <w:rFonts w:ascii="仿宋" w:hAnsi="仿宋" w:eastAsia="仿宋" w:cs="Times New Roman"/>
          <w:bCs/>
          <w:sz w:val="24"/>
          <w:szCs w:val="24"/>
        </w:rPr>
      </w:pPr>
      <w:bookmarkStart w:id="1" w:name="_Toc217446095"/>
      <w:r>
        <w:rPr>
          <w:rFonts w:hint="eastAsia" w:ascii="仿宋" w:hAnsi="仿宋" w:eastAsia="仿宋" w:cs="Times New Roman"/>
          <w:bCs/>
          <w:sz w:val="24"/>
          <w:szCs w:val="24"/>
        </w:rPr>
        <w:t>本项目2个包，不允许进口产品。具体内容如下：</w:t>
      </w:r>
    </w:p>
    <w:tbl>
      <w:tblPr>
        <w:tblStyle w:val="4"/>
        <w:tblW w:w="56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1024"/>
        <w:gridCol w:w="1963"/>
        <w:gridCol w:w="809"/>
        <w:gridCol w:w="969"/>
        <w:gridCol w:w="997"/>
        <w:gridCol w:w="1092"/>
        <w:gridCol w:w="975"/>
        <w:gridCol w:w="1168"/>
      </w:tblGrid>
      <w:tr w14:paraId="5BB6D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jc w:val="center"/>
        </w:trPr>
        <w:tc>
          <w:tcPr>
            <w:tcW w:w="347" w:type="pct"/>
            <w:vAlign w:val="center"/>
          </w:tcPr>
          <w:p w14:paraId="6ED6EDF2">
            <w:pPr>
              <w:spacing w:after="160"/>
              <w:jc w:val="center"/>
              <w:rPr>
                <w:rFonts w:ascii="仿宋" w:hAnsi="仿宋" w:eastAsia="仿宋" w:cs="Times New Roman"/>
                <w:sz w:val="24"/>
                <w:szCs w:val="24"/>
              </w:rPr>
            </w:pPr>
            <w:r>
              <w:rPr>
                <w:rFonts w:hint="eastAsia" w:ascii="仿宋" w:hAnsi="仿宋" w:eastAsia="仿宋" w:cs="Times New Roman"/>
                <w:sz w:val="24"/>
                <w:szCs w:val="24"/>
              </w:rPr>
              <w:t>包号</w:t>
            </w:r>
          </w:p>
        </w:tc>
        <w:tc>
          <w:tcPr>
            <w:tcW w:w="529" w:type="pct"/>
            <w:vAlign w:val="center"/>
          </w:tcPr>
          <w:p w14:paraId="0F7EC775">
            <w:pPr>
              <w:spacing w:after="160"/>
              <w:jc w:val="center"/>
              <w:rPr>
                <w:rFonts w:ascii="仿宋" w:hAnsi="仿宋" w:eastAsia="仿宋" w:cs="Times New Roman"/>
                <w:sz w:val="24"/>
                <w:szCs w:val="24"/>
              </w:rPr>
            </w:pPr>
            <w:r>
              <w:rPr>
                <w:rFonts w:hint="eastAsia" w:ascii="仿宋" w:hAnsi="仿宋" w:eastAsia="仿宋" w:cs="Times New Roman"/>
                <w:sz w:val="24"/>
                <w:szCs w:val="24"/>
              </w:rPr>
              <w:t>品目号</w:t>
            </w:r>
          </w:p>
        </w:tc>
        <w:tc>
          <w:tcPr>
            <w:tcW w:w="1015" w:type="pct"/>
            <w:vAlign w:val="center"/>
          </w:tcPr>
          <w:p w14:paraId="25A7BE90">
            <w:pPr>
              <w:spacing w:after="160"/>
              <w:jc w:val="center"/>
              <w:rPr>
                <w:rFonts w:ascii="仿宋" w:hAnsi="仿宋" w:eastAsia="仿宋" w:cs="Times New Roman"/>
                <w:sz w:val="24"/>
                <w:szCs w:val="24"/>
              </w:rPr>
            </w:pPr>
            <w:r>
              <w:rPr>
                <w:rFonts w:hint="eastAsia" w:ascii="仿宋" w:hAnsi="仿宋" w:eastAsia="仿宋" w:cs="Times New Roman"/>
                <w:sz w:val="24"/>
                <w:szCs w:val="24"/>
              </w:rPr>
              <w:t>标的</w:t>
            </w:r>
            <w:r>
              <w:rPr>
                <w:rFonts w:ascii="仿宋" w:hAnsi="仿宋" w:eastAsia="仿宋" w:cs="Times New Roman"/>
                <w:sz w:val="24"/>
                <w:szCs w:val="24"/>
              </w:rPr>
              <w:t>名称</w:t>
            </w:r>
          </w:p>
        </w:tc>
        <w:tc>
          <w:tcPr>
            <w:tcW w:w="419" w:type="pct"/>
            <w:vAlign w:val="center"/>
          </w:tcPr>
          <w:p w14:paraId="3B9302B1">
            <w:pPr>
              <w:spacing w:after="160"/>
              <w:jc w:val="center"/>
              <w:rPr>
                <w:rFonts w:ascii="仿宋" w:hAnsi="仿宋" w:eastAsia="仿宋" w:cs="Times New Roman"/>
                <w:sz w:val="24"/>
                <w:szCs w:val="24"/>
              </w:rPr>
            </w:pPr>
            <w:r>
              <w:rPr>
                <w:rFonts w:hint="eastAsia" w:ascii="仿宋" w:hAnsi="仿宋" w:eastAsia="仿宋" w:cs="Times New Roman"/>
                <w:sz w:val="24"/>
                <w:szCs w:val="24"/>
              </w:rPr>
              <w:t>所属行业</w:t>
            </w:r>
          </w:p>
        </w:tc>
        <w:tc>
          <w:tcPr>
            <w:tcW w:w="500" w:type="pct"/>
            <w:vAlign w:val="center"/>
          </w:tcPr>
          <w:p w14:paraId="311A5526">
            <w:pPr>
              <w:spacing w:after="160"/>
              <w:jc w:val="center"/>
              <w:rPr>
                <w:rFonts w:ascii="仿宋" w:hAnsi="仿宋" w:eastAsia="仿宋" w:cs="Times New Roman"/>
                <w:b/>
                <w:bCs/>
                <w:sz w:val="24"/>
                <w:szCs w:val="24"/>
              </w:rPr>
            </w:pPr>
            <w:r>
              <w:rPr>
                <w:rFonts w:ascii="仿宋" w:hAnsi="仿宋" w:eastAsia="仿宋" w:cs="Times New Roman"/>
                <w:b/>
                <w:bCs/>
                <w:sz w:val="24"/>
                <w:szCs w:val="24"/>
              </w:rPr>
              <w:t>*</w:t>
            </w:r>
            <w:r>
              <w:rPr>
                <w:rFonts w:hint="eastAsia" w:ascii="仿宋" w:hAnsi="仿宋" w:eastAsia="仿宋" w:cs="Times New Roman"/>
                <w:b/>
                <w:bCs/>
                <w:sz w:val="24"/>
                <w:szCs w:val="24"/>
              </w:rPr>
              <w:t>预估数量（套/台）</w:t>
            </w:r>
          </w:p>
        </w:tc>
        <w:tc>
          <w:tcPr>
            <w:tcW w:w="515" w:type="pct"/>
            <w:vAlign w:val="center"/>
          </w:tcPr>
          <w:p w14:paraId="775A62E8">
            <w:pPr>
              <w:spacing w:after="160"/>
              <w:jc w:val="center"/>
              <w:rPr>
                <w:rFonts w:ascii="仿宋" w:hAnsi="仿宋" w:eastAsia="仿宋" w:cs="Times New Roman"/>
                <w:b/>
                <w:bCs/>
                <w:sz w:val="24"/>
                <w:szCs w:val="24"/>
              </w:rPr>
            </w:pPr>
            <w:r>
              <w:rPr>
                <w:rFonts w:hint="eastAsia" w:ascii="仿宋" w:hAnsi="仿宋" w:eastAsia="仿宋" w:cs="Times New Roman"/>
                <w:b/>
                <w:bCs/>
                <w:sz w:val="24"/>
                <w:szCs w:val="24"/>
              </w:rPr>
              <w:t>*单价最高限价</w:t>
            </w:r>
          </w:p>
          <w:p w14:paraId="40CB66D6">
            <w:pPr>
              <w:spacing w:after="160"/>
              <w:jc w:val="center"/>
              <w:rPr>
                <w:rFonts w:ascii="仿宋" w:hAnsi="仿宋" w:eastAsia="仿宋" w:cs="Times New Roman"/>
                <w:b/>
                <w:bCs/>
                <w:sz w:val="24"/>
                <w:szCs w:val="24"/>
              </w:rPr>
            </w:pPr>
            <w:r>
              <w:rPr>
                <w:rFonts w:hint="eastAsia" w:ascii="仿宋" w:hAnsi="仿宋" w:eastAsia="仿宋" w:cs="Times New Roman"/>
                <w:b/>
                <w:bCs/>
                <w:sz w:val="24"/>
                <w:szCs w:val="24"/>
              </w:rPr>
              <w:t>（元）</w:t>
            </w:r>
          </w:p>
        </w:tc>
        <w:tc>
          <w:tcPr>
            <w:tcW w:w="564" w:type="pct"/>
            <w:vAlign w:val="center"/>
          </w:tcPr>
          <w:p w14:paraId="351ABEC1">
            <w:pPr>
              <w:spacing w:after="160"/>
              <w:jc w:val="center"/>
              <w:rPr>
                <w:rFonts w:ascii="仿宋" w:hAnsi="仿宋" w:eastAsia="仿宋" w:cs="Times New Roman"/>
                <w:sz w:val="24"/>
                <w:szCs w:val="24"/>
              </w:rPr>
            </w:pPr>
            <w:r>
              <w:rPr>
                <w:rFonts w:ascii="仿宋" w:hAnsi="仿宋" w:eastAsia="仿宋" w:cs="Times New Roman"/>
                <w:sz w:val="24"/>
                <w:szCs w:val="24"/>
              </w:rPr>
              <w:t>是否属于优先采购节能产品</w:t>
            </w:r>
          </w:p>
        </w:tc>
        <w:tc>
          <w:tcPr>
            <w:tcW w:w="503" w:type="pct"/>
            <w:vAlign w:val="center"/>
          </w:tcPr>
          <w:p w14:paraId="3BE7AD39">
            <w:pPr>
              <w:spacing w:after="160"/>
              <w:jc w:val="center"/>
              <w:rPr>
                <w:rFonts w:ascii="仿宋" w:hAnsi="仿宋" w:eastAsia="仿宋" w:cs="Times New Roman"/>
                <w:sz w:val="24"/>
                <w:szCs w:val="24"/>
              </w:rPr>
            </w:pPr>
            <w:r>
              <w:rPr>
                <w:rFonts w:hint="eastAsia" w:ascii="仿宋" w:hAnsi="仿宋" w:eastAsia="仿宋" w:cs="Times New Roman"/>
                <w:sz w:val="24"/>
                <w:szCs w:val="24"/>
              </w:rPr>
              <w:t>是否属于强制采购节能产品</w:t>
            </w:r>
          </w:p>
        </w:tc>
        <w:tc>
          <w:tcPr>
            <w:tcW w:w="603" w:type="pct"/>
            <w:vAlign w:val="center"/>
          </w:tcPr>
          <w:p w14:paraId="306A1A5C">
            <w:pPr>
              <w:spacing w:after="160"/>
              <w:jc w:val="center"/>
              <w:rPr>
                <w:rFonts w:ascii="仿宋" w:hAnsi="仿宋" w:eastAsia="仿宋" w:cs="Times New Roman"/>
                <w:sz w:val="24"/>
                <w:szCs w:val="24"/>
              </w:rPr>
            </w:pPr>
            <w:r>
              <w:rPr>
                <w:rFonts w:hint="eastAsia" w:ascii="仿宋" w:hAnsi="仿宋" w:eastAsia="仿宋" w:cs="Times New Roman"/>
                <w:sz w:val="24"/>
                <w:szCs w:val="24"/>
              </w:rPr>
              <w:t>是否属于优先采购环境标志产品</w:t>
            </w:r>
          </w:p>
        </w:tc>
      </w:tr>
      <w:tr w14:paraId="270F3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347" w:type="pct"/>
            <w:vMerge w:val="restart"/>
            <w:vAlign w:val="center"/>
          </w:tcPr>
          <w:p w14:paraId="671B5022">
            <w:pPr>
              <w:spacing w:after="160"/>
              <w:jc w:val="center"/>
              <w:rPr>
                <w:rFonts w:ascii="仿宋" w:hAnsi="仿宋" w:eastAsia="仿宋" w:cs="Times New Roman"/>
                <w:sz w:val="22"/>
              </w:rPr>
            </w:pPr>
            <w:r>
              <w:rPr>
                <w:rFonts w:hint="eastAsia" w:ascii="仿宋" w:hAnsi="仿宋" w:eastAsia="仿宋" w:cs="Times New Roman"/>
                <w:sz w:val="22"/>
              </w:rPr>
              <w:t>01</w:t>
            </w:r>
          </w:p>
        </w:tc>
        <w:tc>
          <w:tcPr>
            <w:tcW w:w="529" w:type="pct"/>
            <w:vAlign w:val="center"/>
          </w:tcPr>
          <w:p w14:paraId="75D18626">
            <w:pPr>
              <w:spacing w:after="160"/>
              <w:jc w:val="center"/>
              <w:rPr>
                <w:rFonts w:ascii="仿宋" w:hAnsi="仿宋" w:eastAsia="仿宋" w:cs="Times New Roman"/>
                <w:sz w:val="22"/>
              </w:rPr>
            </w:pPr>
            <w:r>
              <w:rPr>
                <w:rFonts w:hint="eastAsia" w:ascii="仿宋" w:hAnsi="仿宋" w:eastAsia="仿宋" w:cs="Times New Roman"/>
                <w:sz w:val="22"/>
              </w:rPr>
              <w:t>1</w:t>
            </w:r>
            <w:r>
              <w:rPr>
                <w:rFonts w:ascii="仿宋" w:hAnsi="仿宋" w:eastAsia="仿宋" w:cs="Times New Roman"/>
                <w:sz w:val="22"/>
              </w:rPr>
              <w:t>-1</w:t>
            </w:r>
          </w:p>
        </w:tc>
        <w:tc>
          <w:tcPr>
            <w:tcW w:w="1015" w:type="pct"/>
            <w:vAlign w:val="center"/>
          </w:tcPr>
          <w:p w14:paraId="63362585">
            <w:pPr>
              <w:spacing w:after="160"/>
              <w:jc w:val="center"/>
              <w:rPr>
                <w:rFonts w:ascii="仿宋" w:hAnsi="仿宋" w:eastAsia="仿宋" w:cs="Times New Roman"/>
                <w:sz w:val="22"/>
              </w:rPr>
            </w:pPr>
            <w:r>
              <w:rPr>
                <w:rFonts w:hint="eastAsia" w:ascii="仿宋" w:hAnsi="仿宋" w:eastAsia="仿宋" w:cs="Times New Roman"/>
                <w:sz w:val="22"/>
              </w:rPr>
              <w:t>超低温冰箱（配置一）</w:t>
            </w:r>
          </w:p>
        </w:tc>
        <w:tc>
          <w:tcPr>
            <w:tcW w:w="419" w:type="pct"/>
            <w:vMerge w:val="restart"/>
            <w:vAlign w:val="center"/>
          </w:tcPr>
          <w:p w14:paraId="5E189260">
            <w:pPr>
              <w:spacing w:after="160"/>
              <w:jc w:val="center"/>
              <w:rPr>
                <w:rFonts w:ascii="仿宋" w:hAnsi="仿宋" w:eastAsia="仿宋" w:cs="Times New Roman"/>
                <w:sz w:val="22"/>
              </w:rPr>
            </w:pPr>
            <w:r>
              <w:rPr>
                <w:rFonts w:hint="eastAsia" w:ascii="仿宋" w:hAnsi="仿宋" w:eastAsia="仿宋" w:cs="Times New Roman"/>
                <w:sz w:val="22"/>
              </w:rPr>
              <w:t>工业</w:t>
            </w:r>
          </w:p>
        </w:tc>
        <w:tc>
          <w:tcPr>
            <w:tcW w:w="500" w:type="pct"/>
            <w:vAlign w:val="center"/>
          </w:tcPr>
          <w:p w14:paraId="181F5F55">
            <w:pPr>
              <w:spacing w:after="160"/>
              <w:jc w:val="center"/>
              <w:rPr>
                <w:rFonts w:ascii="仿宋" w:hAnsi="仿宋" w:eastAsia="仿宋" w:cs="Times New Roman"/>
                <w:sz w:val="22"/>
              </w:rPr>
            </w:pPr>
            <w:r>
              <w:rPr>
                <w:rFonts w:ascii="仿宋" w:hAnsi="仿宋" w:eastAsia="仿宋" w:cs="Times New Roman"/>
                <w:sz w:val="22"/>
              </w:rPr>
              <w:t>15</w:t>
            </w:r>
          </w:p>
        </w:tc>
        <w:tc>
          <w:tcPr>
            <w:tcW w:w="515" w:type="pct"/>
            <w:vAlign w:val="center"/>
          </w:tcPr>
          <w:p w14:paraId="76148A08">
            <w:pPr>
              <w:spacing w:after="160"/>
              <w:jc w:val="center"/>
              <w:rPr>
                <w:rFonts w:ascii="仿宋" w:hAnsi="仿宋" w:eastAsia="仿宋" w:cs="宋体"/>
                <w:sz w:val="22"/>
              </w:rPr>
            </w:pPr>
            <w:r>
              <w:rPr>
                <w:rFonts w:ascii="仿宋" w:hAnsi="仿宋" w:eastAsia="仿宋" w:cs="宋体"/>
                <w:sz w:val="22"/>
              </w:rPr>
              <w:t>26660</w:t>
            </w:r>
          </w:p>
        </w:tc>
        <w:tc>
          <w:tcPr>
            <w:tcW w:w="564" w:type="pct"/>
            <w:vAlign w:val="center"/>
          </w:tcPr>
          <w:p w14:paraId="0EDB067C">
            <w:pPr>
              <w:spacing w:after="160"/>
              <w:jc w:val="center"/>
              <w:rPr>
                <w:rFonts w:ascii="仿宋" w:hAnsi="仿宋" w:eastAsia="仿宋" w:cs="Times New Roman"/>
                <w:sz w:val="22"/>
              </w:rPr>
            </w:pPr>
            <w:r>
              <w:rPr>
                <w:rFonts w:hint="eastAsia" w:ascii="仿宋" w:hAnsi="仿宋" w:eastAsia="仿宋" w:cs="宋体"/>
                <w:sz w:val="22"/>
              </w:rPr>
              <w:t>否</w:t>
            </w:r>
          </w:p>
        </w:tc>
        <w:tc>
          <w:tcPr>
            <w:tcW w:w="503" w:type="pct"/>
            <w:vAlign w:val="center"/>
          </w:tcPr>
          <w:p w14:paraId="1DE06AC4">
            <w:pPr>
              <w:spacing w:after="160"/>
              <w:jc w:val="center"/>
              <w:rPr>
                <w:rFonts w:ascii="仿宋" w:hAnsi="仿宋" w:eastAsia="仿宋" w:cs="Times New Roman"/>
                <w:sz w:val="22"/>
              </w:rPr>
            </w:pPr>
            <w:r>
              <w:rPr>
                <w:rFonts w:hint="eastAsia" w:ascii="仿宋" w:hAnsi="仿宋" w:eastAsia="仿宋" w:cs="宋体"/>
                <w:sz w:val="22"/>
              </w:rPr>
              <w:t>否</w:t>
            </w:r>
          </w:p>
        </w:tc>
        <w:tc>
          <w:tcPr>
            <w:tcW w:w="603" w:type="pct"/>
            <w:vAlign w:val="center"/>
          </w:tcPr>
          <w:p w14:paraId="2A3435AA">
            <w:pPr>
              <w:spacing w:after="160"/>
              <w:jc w:val="center"/>
              <w:rPr>
                <w:rFonts w:ascii="仿宋" w:hAnsi="仿宋" w:eastAsia="仿宋" w:cs="Times New Roman"/>
                <w:sz w:val="22"/>
              </w:rPr>
            </w:pPr>
            <w:r>
              <w:rPr>
                <w:rFonts w:hint="eastAsia" w:ascii="仿宋" w:hAnsi="仿宋" w:eastAsia="仿宋" w:cs="宋体"/>
                <w:sz w:val="22"/>
              </w:rPr>
              <w:t>否</w:t>
            </w:r>
          </w:p>
        </w:tc>
      </w:tr>
      <w:tr w14:paraId="5F474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347" w:type="pct"/>
            <w:vMerge w:val="continue"/>
            <w:vAlign w:val="center"/>
          </w:tcPr>
          <w:p w14:paraId="31B644B3">
            <w:pPr>
              <w:spacing w:after="160"/>
              <w:jc w:val="center"/>
              <w:rPr>
                <w:rFonts w:ascii="仿宋" w:hAnsi="仿宋" w:eastAsia="仿宋" w:cs="Times New Roman"/>
                <w:sz w:val="22"/>
              </w:rPr>
            </w:pPr>
          </w:p>
        </w:tc>
        <w:tc>
          <w:tcPr>
            <w:tcW w:w="529" w:type="pct"/>
            <w:vAlign w:val="center"/>
          </w:tcPr>
          <w:p w14:paraId="6C1FEB3D">
            <w:pPr>
              <w:spacing w:after="160"/>
              <w:jc w:val="center"/>
              <w:rPr>
                <w:rFonts w:ascii="仿宋" w:hAnsi="仿宋" w:eastAsia="仿宋" w:cs="Times New Roman"/>
                <w:sz w:val="22"/>
              </w:rPr>
            </w:pPr>
            <w:r>
              <w:rPr>
                <w:rFonts w:hint="eastAsia" w:ascii="仿宋" w:hAnsi="仿宋" w:eastAsia="仿宋" w:cs="Times New Roman"/>
                <w:sz w:val="22"/>
              </w:rPr>
              <w:t>1-2</w:t>
            </w:r>
          </w:p>
        </w:tc>
        <w:tc>
          <w:tcPr>
            <w:tcW w:w="1015" w:type="pct"/>
            <w:vAlign w:val="center"/>
          </w:tcPr>
          <w:p w14:paraId="73300893">
            <w:pPr>
              <w:spacing w:after="160"/>
              <w:jc w:val="center"/>
              <w:rPr>
                <w:rFonts w:ascii="仿宋" w:hAnsi="仿宋" w:eastAsia="仿宋" w:cs="Times New Roman"/>
                <w:sz w:val="22"/>
              </w:rPr>
            </w:pPr>
            <w:r>
              <w:rPr>
                <w:rFonts w:hint="eastAsia" w:ascii="仿宋" w:hAnsi="仿宋" w:eastAsia="仿宋" w:cs="Times New Roman"/>
                <w:sz w:val="22"/>
              </w:rPr>
              <w:t>超低温冰箱（配置二）</w:t>
            </w:r>
          </w:p>
        </w:tc>
        <w:tc>
          <w:tcPr>
            <w:tcW w:w="419" w:type="pct"/>
            <w:vMerge w:val="continue"/>
            <w:vAlign w:val="center"/>
          </w:tcPr>
          <w:p w14:paraId="4CF5B784">
            <w:pPr>
              <w:spacing w:after="160"/>
              <w:jc w:val="center"/>
              <w:rPr>
                <w:rFonts w:ascii="仿宋" w:hAnsi="仿宋" w:eastAsia="仿宋" w:cs="Times New Roman"/>
                <w:sz w:val="22"/>
              </w:rPr>
            </w:pPr>
          </w:p>
        </w:tc>
        <w:tc>
          <w:tcPr>
            <w:tcW w:w="500" w:type="pct"/>
            <w:vAlign w:val="center"/>
          </w:tcPr>
          <w:p w14:paraId="547AA918">
            <w:pPr>
              <w:spacing w:after="160"/>
              <w:jc w:val="center"/>
              <w:rPr>
                <w:rFonts w:ascii="仿宋" w:hAnsi="仿宋" w:eastAsia="仿宋" w:cs="Times New Roman"/>
                <w:sz w:val="22"/>
              </w:rPr>
            </w:pPr>
            <w:r>
              <w:rPr>
                <w:rFonts w:ascii="仿宋" w:hAnsi="仿宋" w:eastAsia="仿宋" w:cs="Times New Roman"/>
                <w:sz w:val="22"/>
              </w:rPr>
              <w:t>63</w:t>
            </w:r>
          </w:p>
        </w:tc>
        <w:tc>
          <w:tcPr>
            <w:tcW w:w="515" w:type="pct"/>
            <w:vAlign w:val="center"/>
          </w:tcPr>
          <w:p w14:paraId="5705ED1E">
            <w:pPr>
              <w:spacing w:after="160"/>
              <w:jc w:val="center"/>
              <w:rPr>
                <w:rFonts w:ascii="仿宋" w:hAnsi="仿宋" w:eastAsia="仿宋" w:cs="宋体"/>
                <w:sz w:val="22"/>
              </w:rPr>
            </w:pPr>
            <w:r>
              <w:rPr>
                <w:rFonts w:ascii="仿宋" w:hAnsi="仿宋" w:eastAsia="仿宋" w:cs="宋体"/>
                <w:sz w:val="22"/>
              </w:rPr>
              <w:t>33300</w:t>
            </w:r>
          </w:p>
        </w:tc>
        <w:tc>
          <w:tcPr>
            <w:tcW w:w="564" w:type="pct"/>
            <w:vAlign w:val="center"/>
          </w:tcPr>
          <w:p w14:paraId="3C8452EF">
            <w:pPr>
              <w:spacing w:after="160"/>
              <w:jc w:val="center"/>
              <w:rPr>
                <w:rFonts w:ascii="仿宋" w:hAnsi="仿宋" w:eastAsia="仿宋" w:cs="宋体"/>
                <w:sz w:val="22"/>
              </w:rPr>
            </w:pPr>
            <w:r>
              <w:rPr>
                <w:rFonts w:hint="eastAsia" w:ascii="仿宋" w:hAnsi="仿宋" w:eastAsia="仿宋" w:cs="宋体"/>
                <w:sz w:val="22"/>
              </w:rPr>
              <w:t>否</w:t>
            </w:r>
          </w:p>
        </w:tc>
        <w:tc>
          <w:tcPr>
            <w:tcW w:w="503" w:type="pct"/>
            <w:vAlign w:val="center"/>
          </w:tcPr>
          <w:p w14:paraId="082FE253">
            <w:pPr>
              <w:spacing w:after="160"/>
              <w:jc w:val="center"/>
              <w:rPr>
                <w:rFonts w:ascii="仿宋" w:hAnsi="仿宋" w:eastAsia="仿宋" w:cs="宋体"/>
                <w:sz w:val="22"/>
              </w:rPr>
            </w:pPr>
            <w:r>
              <w:rPr>
                <w:rFonts w:hint="eastAsia" w:ascii="仿宋" w:hAnsi="仿宋" w:eastAsia="仿宋" w:cs="宋体"/>
                <w:sz w:val="22"/>
              </w:rPr>
              <w:t>否</w:t>
            </w:r>
          </w:p>
        </w:tc>
        <w:tc>
          <w:tcPr>
            <w:tcW w:w="603" w:type="pct"/>
            <w:vAlign w:val="center"/>
          </w:tcPr>
          <w:p w14:paraId="188DA290">
            <w:pPr>
              <w:spacing w:after="160"/>
              <w:jc w:val="center"/>
              <w:rPr>
                <w:rFonts w:ascii="仿宋" w:hAnsi="仿宋" w:eastAsia="仿宋" w:cs="宋体"/>
                <w:sz w:val="22"/>
              </w:rPr>
            </w:pPr>
            <w:r>
              <w:rPr>
                <w:rFonts w:hint="eastAsia" w:ascii="仿宋" w:hAnsi="仿宋" w:eastAsia="仿宋" w:cs="宋体"/>
                <w:sz w:val="22"/>
              </w:rPr>
              <w:t>否</w:t>
            </w:r>
          </w:p>
        </w:tc>
      </w:tr>
      <w:tr w14:paraId="796C9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347" w:type="pct"/>
            <w:vMerge w:val="continue"/>
            <w:vAlign w:val="center"/>
          </w:tcPr>
          <w:p w14:paraId="433FC847">
            <w:pPr>
              <w:spacing w:after="160"/>
              <w:jc w:val="center"/>
              <w:rPr>
                <w:rFonts w:ascii="仿宋" w:hAnsi="仿宋" w:eastAsia="仿宋" w:cs="Times New Roman"/>
                <w:sz w:val="22"/>
              </w:rPr>
            </w:pPr>
          </w:p>
        </w:tc>
        <w:tc>
          <w:tcPr>
            <w:tcW w:w="529" w:type="pct"/>
            <w:vAlign w:val="center"/>
          </w:tcPr>
          <w:p w14:paraId="64D27AC8">
            <w:pPr>
              <w:spacing w:after="160"/>
              <w:jc w:val="center"/>
              <w:rPr>
                <w:rFonts w:ascii="仿宋" w:hAnsi="仿宋" w:eastAsia="仿宋" w:cs="Times New Roman"/>
                <w:sz w:val="22"/>
              </w:rPr>
            </w:pPr>
            <w:r>
              <w:rPr>
                <w:rFonts w:hint="eastAsia" w:ascii="仿宋" w:hAnsi="仿宋" w:eastAsia="仿宋" w:cs="Times New Roman"/>
                <w:sz w:val="22"/>
              </w:rPr>
              <w:t>1-3</w:t>
            </w:r>
          </w:p>
        </w:tc>
        <w:tc>
          <w:tcPr>
            <w:tcW w:w="1015" w:type="pct"/>
            <w:vAlign w:val="center"/>
          </w:tcPr>
          <w:p w14:paraId="6B53AB94">
            <w:pPr>
              <w:spacing w:after="160"/>
              <w:jc w:val="center"/>
              <w:rPr>
                <w:rFonts w:ascii="仿宋" w:hAnsi="仿宋" w:eastAsia="仿宋" w:cs="Times New Roman"/>
                <w:sz w:val="22"/>
              </w:rPr>
            </w:pPr>
            <w:r>
              <w:rPr>
                <w:rFonts w:hint="eastAsia" w:ascii="仿宋" w:hAnsi="仿宋" w:eastAsia="仿宋" w:cs="Times New Roman"/>
                <w:sz w:val="22"/>
              </w:rPr>
              <w:t>医用低温保存箱（配置一）</w:t>
            </w:r>
          </w:p>
        </w:tc>
        <w:tc>
          <w:tcPr>
            <w:tcW w:w="419" w:type="pct"/>
            <w:vMerge w:val="continue"/>
            <w:vAlign w:val="center"/>
          </w:tcPr>
          <w:p w14:paraId="0083FA5E">
            <w:pPr>
              <w:spacing w:after="160"/>
              <w:jc w:val="center"/>
              <w:rPr>
                <w:rFonts w:ascii="仿宋" w:hAnsi="仿宋" w:eastAsia="仿宋" w:cs="Times New Roman"/>
                <w:sz w:val="22"/>
              </w:rPr>
            </w:pPr>
          </w:p>
        </w:tc>
        <w:tc>
          <w:tcPr>
            <w:tcW w:w="500" w:type="pct"/>
            <w:vAlign w:val="center"/>
          </w:tcPr>
          <w:p w14:paraId="2ADEAA34">
            <w:pPr>
              <w:spacing w:after="160"/>
              <w:jc w:val="center"/>
              <w:rPr>
                <w:rFonts w:ascii="仿宋" w:hAnsi="仿宋" w:eastAsia="仿宋" w:cs="Times New Roman"/>
                <w:sz w:val="22"/>
              </w:rPr>
            </w:pPr>
            <w:r>
              <w:rPr>
                <w:rFonts w:ascii="仿宋" w:hAnsi="仿宋" w:eastAsia="仿宋" w:cs="Times New Roman"/>
                <w:sz w:val="22"/>
              </w:rPr>
              <w:t>69</w:t>
            </w:r>
          </w:p>
        </w:tc>
        <w:tc>
          <w:tcPr>
            <w:tcW w:w="515" w:type="pct"/>
            <w:vAlign w:val="center"/>
          </w:tcPr>
          <w:p w14:paraId="0971AAD8">
            <w:pPr>
              <w:spacing w:after="160"/>
              <w:jc w:val="center"/>
              <w:rPr>
                <w:rFonts w:ascii="仿宋" w:hAnsi="仿宋" w:eastAsia="仿宋" w:cs="宋体"/>
                <w:sz w:val="22"/>
              </w:rPr>
            </w:pPr>
            <w:r>
              <w:rPr>
                <w:rFonts w:ascii="仿宋" w:hAnsi="仿宋" w:eastAsia="仿宋" w:cs="宋体"/>
                <w:sz w:val="22"/>
              </w:rPr>
              <w:t>4770</w:t>
            </w:r>
          </w:p>
        </w:tc>
        <w:tc>
          <w:tcPr>
            <w:tcW w:w="564" w:type="pct"/>
            <w:vAlign w:val="center"/>
          </w:tcPr>
          <w:p w14:paraId="69F94E4C">
            <w:pPr>
              <w:spacing w:after="160"/>
              <w:jc w:val="center"/>
              <w:rPr>
                <w:rFonts w:ascii="仿宋" w:hAnsi="仿宋" w:eastAsia="仿宋" w:cs="宋体"/>
                <w:sz w:val="22"/>
              </w:rPr>
            </w:pPr>
            <w:r>
              <w:rPr>
                <w:rFonts w:hint="eastAsia" w:ascii="仿宋" w:hAnsi="仿宋" w:eastAsia="仿宋" w:cs="宋体"/>
                <w:sz w:val="22"/>
              </w:rPr>
              <w:t>否</w:t>
            </w:r>
          </w:p>
        </w:tc>
        <w:tc>
          <w:tcPr>
            <w:tcW w:w="503" w:type="pct"/>
            <w:vAlign w:val="center"/>
          </w:tcPr>
          <w:p w14:paraId="5BEFD659">
            <w:pPr>
              <w:spacing w:after="160"/>
              <w:jc w:val="center"/>
              <w:rPr>
                <w:rFonts w:ascii="仿宋" w:hAnsi="仿宋" w:eastAsia="仿宋" w:cs="宋体"/>
                <w:sz w:val="22"/>
              </w:rPr>
            </w:pPr>
            <w:r>
              <w:rPr>
                <w:rFonts w:hint="eastAsia" w:ascii="仿宋" w:hAnsi="仿宋" w:eastAsia="仿宋" w:cs="宋体"/>
                <w:sz w:val="22"/>
              </w:rPr>
              <w:t>否</w:t>
            </w:r>
          </w:p>
        </w:tc>
        <w:tc>
          <w:tcPr>
            <w:tcW w:w="603" w:type="pct"/>
            <w:vAlign w:val="center"/>
          </w:tcPr>
          <w:p w14:paraId="2D5C8221">
            <w:pPr>
              <w:spacing w:after="160"/>
              <w:jc w:val="center"/>
              <w:rPr>
                <w:rFonts w:ascii="仿宋" w:hAnsi="仿宋" w:eastAsia="仿宋" w:cs="宋体"/>
                <w:sz w:val="22"/>
              </w:rPr>
            </w:pPr>
            <w:r>
              <w:rPr>
                <w:rFonts w:hint="eastAsia" w:ascii="仿宋" w:hAnsi="仿宋" w:eastAsia="仿宋" w:cs="宋体"/>
                <w:sz w:val="22"/>
              </w:rPr>
              <w:t>否</w:t>
            </w:r>
          </w:p>
        </w:tc>
      </w:tr>
      <w:tr w14:paraId="1F227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347" w:type="pct"/>
            <w:vMerge w:val="continue"/>
            <w:vAlign w:val="center"/>
          </w:tcPr>
          <w:p w14:paraId="7A5A0240">
            <w:pPr>
              <w:spacing w:after="160"/>
              <w:jc w:val="center"/>
              <w:rPr>
                <w:rFonts w:ascii="仿宋" w:hAnsi="仿宋" w:eastAsia="仿宋" w:cs="Times New Roman"/>
                <w:sz w:val="22"/>
              </w:rPr>
            </w:pPr>
          </w:p>
        </w:tc>
        <w:tc>
          <w:tcPr>
            <w:tcW w:w="529" w:type="pct"/>
            <w:vAlign w:val="center"/>
          </w:tcPr>
          <w:p w14:paraId="5CA572EF">
            <w:pPr>
              <w:spacing w:after="160"/>
              <w:jc w:val="center"/>
              <w:rPr>
                <w:rFonts w:ascii="仿宋" w:hAnsi="仿宋" w:eastAsia="仿宋" w:cs="Times New Roman"/>
                <w:sz w:val="22"/>
              </w:rPr>
            </w:pPr>
            <w:r>
              <w:rPr>
                <w:rFonts w:hint="eastAsia" w:ascii="仿宋" w:hAnsi="仿宋" w:eastAsia="仿宋" w:cs="Times New Roman"/>
                <w:sz w:val="22"/>
              </w:rPr>
              <w:t>1-4</w:t>
            </w:r>
          </w:p>
        </w:tc>
        <w:tc>
          <w:tcPr>
            <w:tcW w:w="1015" w:type="pct"/>
            <w:vAlign w:val="center"/>
          </w:tcPr>
          <w:p w14:paraId="2E409EF7">
            <w:pPr>
              <w:spacing w:after="160"/>
              <w:jc w:val="center"/>
              <w:rPr>
                <w:rFonts w:ascii="仿宋" w:hAnsi="仿宋" w:eastAsia="仿宋" w:cs="Times New Roman"/>
                <w:sz w:val="22"/>
              </w:rPr>
            </w:pPr>
            <w:r>
              <w:rPr>
                <w:rFonts w:hint="eastAsia" w:ascii="仿宋" w:hAnsi="仿宋" w:eastAsia="仿宋" w:cs="Times New Roman"/>
                <w:sz w:val="22"/>
              </w:rPr>
              <w:t>医用低温保存箱（配置二）</w:t>
            </w:r>
          </w:p>
        </w:tc>
        <w:tc>
          <w:tcPr>
            <w:tcW w:w="419" w:type="pct"/>
            <w:vMerge w:val="continue"/>
            <w:vAlign w:val="center"/>
          </w:tcPr>
          <w:p w14:paraId="32896456">
            <w:pPr>
              <w:spacing w:after="160"/>
              <w:jc w:val="center"/>
              <w:rPr>
                <w:rFonts w:ascii="仿宋" w:hAnsi="仿宋" w:eastAsia="仿宋" w:cs="Times New Roman"/>
                <w:sz w:val="22"/>
              </w:rPr>
            </w:pPr>
          </w:p>
        </w:tc>
        <w:tc>
          <w:tcPr>
            <w:tcW w:w="500" w:type="pct"/>
            <w:vAlign w:val="center"/>
          </w:tcPr>
          <w:p w14:paraId="74E7B2AC">
            <w:pPr>
              <w:spacing w:after="160"/>
              <w:jc w:val="center"/>
              <w:rPr>
                <w:rFonts w:ascii="仿宋" w:hAnsi="仿宋" w:eastAsia="仿宋" w:cs="Times New Roman"/>
                <w:sz w:val="22"/>
              </w:rPr>
            </w:pPr>
            <w:r>
              <w:rPr>
                <w:rFonts w:ascii="仿宋" w:hAnsi="仿宋" w:eastAsia="仿宋" w:cs="Times New Roman"/>
                <w:sz w:val="22"/>
              </w:rPr>
              <w:t>6</w:t>
            </w:r>
          </w:p>
        </w:tc>
        <w:tc>
          <w:tcPr>
            <w:tcW w:w="515" w:type="pct"/>
            <w:vAlign w:val="center"/>
          </w:tcPr>
          <w:p w14:paraId="7A32C901">
            <w:pPr>
              <w:spacing w:after="160"/>
              <w:jc w:val="center"/>
              <w:rPr>
                <w:rFonts w:ascii="仿宋" w:hAnsi="仿宋" w:eastAsia="仿宋" w:cs="宋体"/>
                <w:sz w:val="22"/>
              </w:rPr>
            </w:pPr>
            <w:r>
              <w:rPr>
                <w:rFonts w:ascii="仿宋" w:hAnsi="仿宋" w:eastAsia="仿宋" w:cs="宋体"/>
                <w:sz w:val="22"/>
              </w:rPr>
              <w:t>12200</w:t>
            </w:r>
          </w:p>
        </w:tc>
        <w:tc>
          <w:tcPr>
            <w:tcW w:w="564" w:type="pct"/>
            <w:vAlign w:val="center"/>
          </w:tcPr>
          <w:p w14:paraId="33DC902A">
            <w:pPr>
              <w:spacing w:after="160"/>
              <w:jc w:val="center"/>
              <w:rPr>
                <w:rFonts w:ascii="仿宋" w:hAnsi="仿宋" w:eastAsia="仿宋" w:cs="宋体"/>
                <w:sz w:val="22"/>
              </w:rPr>
            </w:pPr>
            <w:r>
              <w:rPr>
                <w:rFonts w:hint="eastAsia" w:ascii="仿宋" w:hAnsi="仿宋" w:eastAsia="仿宋" w:cs="宋体"/>
                <w:sz w:val="22"/>
              </w:rPr>
              <w:t>否</w:t>
            </w:r>
          </w:p>
        </w:tc>
        <w:tc>
          <w:tcPr>
            <w:tcW w:w="503" w:type="pct"/>
            <w:vAlign w:val="center"/>
          </w:tcPr>
          <w:p w14:paraId="1C11BD3B">
            <w:pPr>
              <w:spacing w:after="160"/>
              <w:jc w:val="center"/>
              <w:rPr>
                <w:rFonts w:ascii="仿宋" w:hAnsi="仿宋" w:eastAsia="仿宋" w:cs="宋体"/>
                <w:sz w:val="22"/>
              </w:rPr>
            </w:pPr>
            <w:r>
              <w:rPr>
                <w:rFonts w:hint="eastAsia" w:ascii="仿宋" w:hAnsi="仿宋" w:eastAsia="仿宋" w:cs="宋体"/>
                <w:sz w:val="22"/>
              </w:rPr>
              <w:t>否</w:t>
            </w:r>
          </w:p>
        </w:tc>
        <w:tc>
          <w:tcPr>
            <w:tcW w:w="603" w:type="pct"/>
            <w:vAlign w:val="center"/>
          </w:tcPr>
          <w:p w14:paraId="667EA89B">
            <w:pPr>
              <w:spacing w:after="160"/>
              <w:jc w:val="center"/>
              <w:rPr>
                <w:rFonts w:ascii="仿宋" w:hAnsi="仿宋" w:eastAsia="仿宋" w:cs="宋体"/>
                <w:sz w:val="22"/>
              </w:rPr>
            </w:pPr>
            <w:r>
              <w:rPr>
                <w:rFonts w:hint="eastAsia" w:ascii="仿宋" w:hAnsi="仿宋" w:eastAsia="仿宋" w:cs="宋体"/>
                <w:sz w:val="22"/>
              </w:rPr>
              <w:t>否</w:t>
            </w:r>
          </w:p>
        </w:tc>
      </w:tr>
      <w:tr w14:paraId="132B3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347" w:type="pct"/>
            <w:vMerge w:val="continue"/>
            <w:vAlign w:val="center"/>
          </w:tcPr>
          <w:p w14:paraId="33EF7273">
            <w:pPr>
              <w:spacing w:after="160"/>
              <w:jc w:val="center"/>
              <w:rPr>
                <w:rFonts w:ascii="仿宋" w:hAnsi="仿宋" w:eastAsia="仿宋" w:cs="Times New Roman"/>
                <w:sz w:val="22"/>
              </w:rPr>
            </w:pPr>
          </w:p>
        </w:tc>
        <w:tc>
          <w:tcPr>
            <w:tcW w:w="529" w:type="pct"/>
            <w:vAlign w:val="center"/>
          </w:tcPr>
          <w:p w14:paraId="50DCDF86">
            <w:pPr>
              <w:spacing w:after="160"/>
              <w:jc w:val="center"/>
              <w:rPr>
                <w:rFonts w:ascii="仿宋" w:hAnsi="仿宋" w:eastAsia="仿宋" w:cs="Times New Roman"/>
                <w:sz w:val="22"/>
              </w:rPr>
            </w:pPr>
            <w:r>
              <w:rPr>
                <w:rFonts w:hint="eastAsia" w:ascii="仿宋" w:hAnsi="仿宋" w:eastAsia="仿宋" w:cs="Times New Roman"/>
                <w:sz w:val="22"/>
              </w:rPr>
              <w:t>1-5</w:t>
            </w:r>
          </w:p>
        </w:tc>
        <w:tc>
          <w:tcPr>
            <w:tcW w:w="1015" w:type="pct"/>
            <w:vAlign w:val="center"/>
          </w:tcPr>
          <w:p w14:paraId="3DA8C7E4">
            <w:pPr>
              <w:spacing w:after="160"/>
              <w:jc w:val="center"/>
              <w:rPr>
                <w:rFonts w:ascii="仿宋" w:hAnsi="仿宋" w:eastAsia="仿宋" w:cs="Times New Roman"/>
                <w:sz w:val="22"/>
              </w:rPr>
            </w:pPr>
            <w:r>
              <w:rPr>
                <w:rFonts w:hint="eastAsia" w:ascii="仿宋" w:hAnsi="仿宋" w:eastAsia="仿宋" w:cs="Times New Roman"/>
                <w:sz w:val="22"/>
              </w:rPr>
              <w:t>医用冷藏箱</w:t>
            </w:r>
          </w:p>
          <w:p w14:paraId="642C059A">
            <w:pPr>
              <w:spacing w:after="160"/>
              <w:jc w:val="center"/>
              <w:rPr>
                <w:rFonts w:ascii="仿宋" w:hAnsi="仿宋" w:eastAsia="仿宋" w:cs="Times New Roman"/>
                <w:sz w:val="22"/>
              </w:rPr>
            </w:pPr>
            <w:r>
              <w:rPr>
                <w:rFonts w:hint="eastAsia" w:ascii="仿宋" w:hAnsi="仿宋" w:eastAsia="仿宋" w:cs="Times New Roman"/>
                <w:sz w:val="22"/>
              </w:rPr>
              <w:t>（配置一）</w:t>
            </w:r>
          </w:p>
        </w:tc>
        <w:tc>
          <w:tcPr>
            <w:tcW w:w="419" w:type="pct"/>
            <w:vMerge w:val="continue"/>
            <w:vAlign w:val="center"/>
          </w:tcPr>
          <w:p w14:paraId="340A64DD">
            <w:pPr>
              <w:spacing w:after="160"/>
              <w:jc w:val="center"/>
              <w:rPr>
                <w:rFonts w:ascii="仿宋" w:hAnsi="仿宋" w:eastAsia="仿宋" w:cs="Times New Roman"/>
                <w:sz w:val="22"/>
              </w:rPr>
            </w:pPr>
          </w:p>
        </w:tc>
        <w:tc>
          <w:tcPr>
            <w:tcW w:w="500" w:type="pct"/>
            <w:vAlign w:val="center"/>
          </w:tcPr>
          <w:p w14:paraId="6EA98FD6">
            <w:pPr>
              <w:spacing w:after="160"/>
              <w:jc w:val="center"/>
              <w:rPr>
                <w:rFonts w:ascii="仿宋" w:hAnsi="仿宋" w:eastAsia="仿宋" w:cs="Times New Roman"/>
                <w:sz w:val="22"/>
              </w:rPr>
            </w:pPr>
            <w:r>
              <w:rPr>
                <w:rFonts w:ascii="仿宋" w:hAnsi="仿宋" w:eastAsia="仿宋" w:cs="Times New Roman"/>
                <w:sz w:val="22"/>
              </w:rPr>
              <w:t>115</w:t>
            </w:r>
          </w:p>
        </w:tc>
        <w:tc>
          <w:tcPr>
            <w:tcW w:w="515" w:type="pct"/>
            <w:vAlign w:val="center"/>
          </w:tcPr>
          <w:p w14:paraId="5C8B0FD9">
            <w:pPr>
              <w:spacing w:after="160"/>
              <w:jc w:val="center"/>
              <w:rPr>
                <w:rFonts w:ascii="仿宋" w:hAnsi="仿宋" w:eastAsia="仿宋" w:cs="宋体"/>
                <w:sz w:val="22"/>
              </w:rPr>
            </w:pPr>
            <w:r>
              <w:rPr>
                <w:rFonts w:ascii="仿宋" w:hAnsi="仿宋" w:eastAsia="仿宋" w:cs="宋体"/>
                <w:sz w:val="22"/>
              </w:rPr>
              <w:t>2650</w:t>
            </w:r>
          </w:p>
        </w:tc>
        <w:tc>
          <w:tcPr>
            <w:tcW w:w="564" w:type="pct"/>
            <w:vAlign w:val="center"/>
          </w:tcPr>
          <w:p w14:paraId="661C13E0">
            <w:pPr>
              <w:spacing w:after="160"/>
              <w:jc w:val="center"/>
              <w:rPr>
                <w:rFonts w:ascii="仿宋" w:hAnsi="仿宋" w:eastAsia="仿宋" w:cs="宋体"/>
                <w:sz w:val="22"/>
              </w:rPr>
            </w:pPr>
            <w:r>
              <w:rPr>
                <w:rFonts w:hint="eastAsia" w:ascii="仿宋" w:hAnsi="仿宋" w:eastAsia="仿宋" w:cs="宋体"/>
                <w:sz w:val="22"/>
              </w:rPr>
              <w:t>否</w:t>
            </w:r>
          </w:p>
        </w:tc>
        <w:tc>
          <w:tcPr>
            <w:tcW w:w="503" w:type="pct"/>
            <w:vAlign w:val="center"/>
          </w:tcPr>
          <w:p w14:paraId="52AC2E75">
            <w:pPr>
              <w:spacing w:after="160"/>
              <w:jc w:val="center"/>
              <w:rPr>
                <w:rFonts w:ascii="仿宋" w:hAnsi="仿宋" w:eastAsia="仿宋" w:cs="宋体"/>
                <w:sz w:val="22"/>
              </w:rPr>
            </w:pPr>
            <w:r>
              <w:rPr>
                <w:rFonts w:hint="eastAsia" w:ascii="仿宋" w:hAnsi="仿宋" w:eastAsia="仿宋" w:cs="宋体"/>
                <w:sz w:val="22"/>
              </w:rPr>
              <w:t>否</w:t>
            </w:r>
          </w:p>
        </w:tc>
        <w:tc>
          <w:tcPr>
            <w:tcW w:w="603" w:type="pct"/>
            <w:vAlign w:val="center"/>
          </w:tcPr>
          <w:p w14:paraId="7CEF1C33">
            <w:pPr>
              <w:spacing w:after="160"/>
              <w:jc w:val="center"/>
              <w:rPr>
                <w:rFonts w:ascii="仿宋" w:hAnsi="仿宋" w:eastAsia="仿宋" w:cs="宋体"/>
                <w:sz w:val="22"/>
              </w:rPr>
            </w:pPr>
            <w:r>
              <w:rPr>
                <w:rFonts w:hint="eastAsia" w:ascii="仿宋" w:hAnsi="仿宋" w:eastAsia="仿宋" w:cs="宋体"/>
                <w:sz w:val="22"/>
              </w:rPr>
              <w:t>否</w:t>
            </w:r>
          </w:p>
        </w:tc>
      </w:tr>
      <w:tr w14:paraId="29464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347" w:type="pct"/>
            <w:vMerge w:val="continue"/>
            <w:vAlign w:val="center"/>
          </w:tcPr>
          <w:p w14:paraId="0378B79F">
            <w:pPr>
              <w:spacing w:after="160"/>
              <w:jc w:val="center"/>
              <w:rPr>
                <w:rFonts w:ascii="仿宋" w:hAnsi="仿宋" w:eastAsia="仿宋" w:cs="Times New Roman"/>
                <w:sz w:val="22"/>
              </w:rPr>
            </w:pPr>
          </w:p>
        </w:tc>
        <w:tc>
          <w:tcPr>
            <w:tcW w:w="529" w:type="pct"/>
            <w:vAlign w:val="center"/>
          </w:tcPr>
          <w:p w14:paraId="1C5F9C53">
            <w:pPr>
              <w:spacing w:after="160"/>
              <w:jc w:val="center"/>
              <w:rPr>
                <w:rFonts w:ascii="仿宋" w:hAnsi="仿宋" w:eastAsia="仿宋" w:cs="Times New Roman"/>
                <w:sz w:val="22"/>
              </w:rPr>
            </w:pPr>
            <w:r>
              <w:rPr>
                <w:rFonts w:hint="eastAsia" w:ascii="仿宋" w:hAnsi="仿宋" w:eastAsia="仿宋" w:cs="Times New Roman"/>
                <w:sz w:val="22"/>
              </w:rPr>
              <w:t>1-6</w:t>
            </w:r>
          </w:p>
        </w:tc>
        <w:tc>
          <w:tcPr>
            <w:tcW w:w="1015" w:type="pct"/>
            <w:vAlign w:val="center"/>
          </w:tcPr>
          <w:p w14:paraId="75649F6A">
            <w:pPr>
              <w:spacing w:after="160"/>
              <w:jc w:val="center"/>
              <w:rPr>
                <w:rFonts w:ascii="仿宋" w:hAnsi="仿宋" w:eastAsia="仿宋" w:cs="Times New Roman"/>
                <w:sz w:val="22"/>
              </w:rPr>
            </w:pPr>
            <w:r>
              <w:rPr>
                <w:rFonts w:hint="eastAsia" w:ascii="仿宋" w:hAnsi="仿宋" w:eastAsia="仿宋" w:cs="Times New Roman"/>
                <w:sz w:val="22"/>
              </w:rPr>
              <w:t>医用冷藏箱</w:t>
            </w:r>
          </w:p>
          <w:p w14:paraId="7D0C7729">
            <w:pPr>
              <w:spacing w:after="160"/>
              <w:jc w:val="center"/>
              <w:rPr>
                <w:rFonts w:ascii="仿宋" w:hAnsi="仿宋" w:eastAsia="仿宋" w:cs="Times New Roman"/>
                <w:sz w:val="22"/>
              </w:rPr>
            </w:pPr>
            <w:r>
              <w:rPr>
                <w:rFonts w:hint="eastAsia" w:ascii="仿宋" w:hAnsi="仿宋" w:eastAsia="仿宋" w:cs="Times New Roman"/>
                <w:sz w:val="22"/>
              </w:rPr>
              <w:t>（配置二）</w:t>
            </w:r>
          </w:p>
        </w:tc>
        <w:tc>
          <w:tcPr>
            <w:tcW w:w="419" w:type="pct"/>
            <w:vMerge w:val="continue"/>
            <w:vAlign w:val="center"/>
          </w:tcPr>
          <w:p w14:paraId="70F11FE7">
            <w:pPr>
              <w:spacing w:after="160"/>
              <w:jc w:val="center"/>
              <w:rPr>
                <w:rFonts w:ascii="仿宋" w:hAnsi="仿宋" w:eastAsia="仿宋" w:cs="Times New Roman"/>
                <w:sz w:val="22"/>
              </w:rPr>
            </w:pPr>
          </w:p>
        </w:tc>
        <w:tc>
          <w:tcPr>
            <w:tcW w:w="500" w:type="pct"/>
            <w:vAlign w:val="center"/>
          </w:tcPr>
          <w:p w14:paraId="4EA8C8D2">
            <w:pPr>
              <w:spacing w:after="160"/>
              <w:jc w:val="center"/>
              <w:rPr>
                <w:rFonts w:ascii="仿宋" w:hAnsi="仿宋" w:eastAsia="仿宋" w:cs="Times New Roman"/>
                <w:sz w:val="22"/>
              </w:rPr>
            </w:pPr>
            <w:r>
              <w:rPr>
                <w:rFonts w:ascii="仿宋" w:hAnsi="仿宋" w:eastAsia="仿宋" w:cs="Times New Roman"/>
                <w:sz w:val="22"/>
              </w:rPr>
              <w:t>24</w:t>
            </w:r>
          </w:p>
        </w:tc>
        <w:tc>
          <w:tcPr>
            <w:tcW w:w="515" w:type="pct"/>
            <w:vAlign w:val="center"/>
          </w:tcPr>
          <w:p w14:paraId="657FA41C">
            <w:pPr>
              <w:spacing w:after="160"/>
              <w:jc w:val="center"/>
              <w:rPr>
                <w:rFonts w:ascii="仿宋" w:hAnsi="仿宋" w:eastAsia="仿宋" w:cs="宋体"/>
                <w:sz w:val="22"/>
              </w:rPr>
            </w:pPr>
            <w:r>
              <w:rPr>
                <w:rFonts w:ascii="仿宋" w:hAnsi="仿宋" w:eastAsia="仿宋" w:cs="宋体"/>
                <w:sz w:val="22"/>
              </w:rPr>
              <w:t>7550</w:t>
            </w:r>
          </w:p>
        </w:tc>
        <w:tc>
          <w:tcPr>
            <w:tcW w:w="564" w:type="pct"/>
            <w:vAlign w:val="center"/>
          </w:tcPr>
          <w:p w14:paraId="6B504699">
            <w:pPr>
              <w:spacing w:after="160"/>
              <w:jc w:val="center"/>
              <w:rPr>
                <w:rFonts w:ascii="仿宋" w:hAnsi="仿宋" w:eastAsia="仿宋" w:cs="宋体"/>
                <w:sz w:val="22"/>
              </w:rPr>
            </w:pPr>
            <w:r>
              <w:rPr>
                <w:rFonts w:hint="eastAsia" w:ascii="仿宋" w:hAnsi="仿宋" w:eastAsia="仿宋" w:cs="宋体"/>
                <w:sz w:val="22"/>
              </w:rPr>
              <w:t>否</w:t>
            </w:r>
          </w:p>
        </w:tc>
        <w:tc>
          <w:tcPr>
            <w:tcW w:w="503" w:type="pct"/>
            <w:vAlign w:val="center"/>
          </w:tcPr>
          <w:p w14:paraId="729C9A17">
            <w:pPr>
              <w:spacing w:after="160"/>
              <w:jc w:val="center"/>
              <w:rPr>
                <w:rFonts w:ascii="仿宋" w:hAnsi="仿宋" w:eastAsia="仿宋" w:cs="宋体"/>
                <w:sz w:val="22"/>
              </w:rPr>
            </w:pPr>
            <w:r>
              <w:rPr>
                <w:rFonts w:hint="eastAsia" w:ascii="仿宋" w:hAnsi="仿宋" w:eastAsia="仿宋" w:cs="宋体"/>
                <w:sz w:val="22"/>
              </w:rPr>
              <w:t>否</w:t>
            </w:r>
          </w:p>
        </w:tc>
        <w:tc>
          <w:tcPr>
            <w:tcW w:w="603" w:type="pct"/>
            <w:vAlign w:val="center"/>
          </w:tcPr>
          <w:p w14:paraId="03FC5C7F">
            <w:pPr>
              <w:spacing w:after="160"/>
              <w:jc w:val="center"/>
              <w:rPr>
                <w:rFonts w:ascii="仿宋" w:hAnsi="仿宋" w:eastAsia="仿宋" w:cs="宋体"/>
                <w:sz w:val="22"/>
              </w:rPr>
            </w:pPr>
            <w:r>
              <w:rPr>
                <w:rFonts w:hint="eastAsia" w:ascii="仿宋" w:hAnsi="仿宋" w:eastAsia="仿宋" w:cs="宋体"/>
                <w:sz w:val="22"/>
              </w:rPr>
              <w:t>否</w:t>
            </w:r>
          </w:p>
        </w:tc>
      </w:tr>
      <w:tr w14:paraId="1D2D7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2" w:hRule="atLeast"/>
          <w:jc w:val="center"/>
        </w:trPr>
        <w:tc>
          <w:tcPr>
            <w:tcW w:w="347" w:type="pct"/>
            <w:vMerge w:val="continue"/>
            <w:vAlign w:val="center"/>
          </w:tcPr>
          <w:p w14:paraId="48359F30">
            <w:pPr>
              <w:spacing w:after="160"/>
              <w:jc w:val="center"/>
              <w:rPr>
                <w:rFonts w:ascii="仿宋" w:hAnsi="仿宋" w:eastAsia="仿宋" w:cs="Times New Roman"/>
                <w:sz w:val="22"/>
              </w:rPr>
            </w:pPr>
          </w:p>
        </w:tc>
        <w:tc>
          <w:tcPr>
            <w:tcW w:w="529" w:type="pct"/>
            <w:vAlign w:val="center"/>
          </w:tcPr>
          <w:p w14:paraId="0350F57C">
            <w:pPr>
              <w:spacing w:after="160"/>
              <w:jc w:val="center"/>
              <w:rPr>
                <w:rFonts w:ascii="仿宋" w:hAnsi="仿宋" w:eastAsia="仿宋" w:cs="Times New Roman"/>
                <w:sz w:val="22"/>
              </w:rPr>
            </w:pPr>
            <w:r>
              <w:rPr>
                <w:rFonts w:hint="eastAsia" w:ascii="仿宋" w:hAnsi="仿宋" w:eastAsia="仿宋" w:cs="Times New Roman"/>
                <w:sz w:val="22"/>
              </w:rPr>
              <w:t>1-7</w:t>
            </w:r>
          </w:p>
        </w:tc>
        <w:tc>
          <w:tcPr>
            <w:tcW w:w="1015" w:type="pct"/>
            <w:vAlign w:val="center"/>
          </w:tcPr>
          <w:p w14:paraId="2D658C4F">
            <w:pPr>
              <w:spacing w:after="160"/>
              <w:jc w:val="center"/>
              <w:rPr>
                <w:rFonts w:ascii="仿宋" w:hAnsi="仿宋" w:eastAsia="仿宋" w:cs="Times New Roman"/>
                <w:sz w:val="22"/>
              </w:rPr>
            </w:pPr>
            <w:r>
              <w:rPr>
                <w:rFonts w:hint="eastAsia" w:ascii="仿宋" w:hAnsi="仿宋" w:eastAsia="仿宋" w:cs="Times New Roman"/>
                <w:sz w:val="22"/>
              </w:rPr>
              <w:t>层析柜</w:t>
            </w:r>
          </w:p>
        </w:tc>
        <w:tc>
          <w:tcPr>
            <w:tcW w:w="419" w:type="pct"/>
            <w:vMerge w:val="continue"/>
            <w:vAlign w:val="center"/>
          </w:tcPr>
          <w:p w14:paraId="1E2F3AF0">
            <w:pPr>
              <w:spacing w:after="160"/>
              <w:jc w:val="center"/>
              <w:rPr>
                <w:rFonts w:ascii="仿宋" w:hAnsi="仿宋" w:eastAsia="仿宋" w:cs="Times New Roman"/>
                <w:sz w:val="22"/>
              </w:rPr>
            </w:pPr>
          </w:p>
        </w:tc>
        <w:tc>
          <w:tcPr>
            <w:tcW w:w="500" w:type="pct"/>
            <w:vAlign w:val="center"/>
          </w:tcPr>
          <w:p w14:paraId="41E60478">
            <w:pPr>
              <w:spacing w:after="160"/>
              <w:jc w:val="center"/>
              <w:rPr>
                <w:rFonts w:ascii="仿宋" w:hAnsi="仿宋" w:eastAsia="仿宋" w:cs="Times New Roman"/>
                <w:sz w:val="22"/>
              </w:rPr>
            </w:pPr>
            <w:r>
              <w:rPr>
                <w:rFonts w:ascii="仿宋" w:hAnsi="仿宋" w:eastAsia="仿宋" w:cs="Times New Roman"/>
                <w:sz w:val="22"/>
              </w:rPr>
              <w:t>24</w:t>
            </w:r>
          </w:p>
        </w:tc>
        <w:tc>
          <w:tcPr>
            <w:tcW w:w="515" w:type="pct"/>
            <w:vAlign w:val="center"/>
          </w:tcPr>
          <w:p w14:paraId="20CEF403">
            <w:pPr>
              <w:spacing w:after="160"/>
              <w:jc w:val="center"/>
              <w:rPr>
                <w:rFonts w:ascii="仿宋" w:hAnsi="仿宋" w:eastAsia="仿宋" w:cs="宋体"/>
                <w:sz w:val="22"/>
              </w:rPr>
            </w:pPr>
            <w:r>
              <w:rPr>
                <w:rFonts w:ascii="仿宋" w:hAnsi="仿宋" w:eastAsia="仿宋" w:cs="宋体"/>
                <w:sz w:val="22"/>
              </w:rPr>
              <w:t>9300</w:t>
            </w:r>
          </w:p>
        </w:tc>
        <w:tc>
          <w:tcPr>
            <w:tcW w:w="564" w:type="pct"/>
            <w:vAlign w:val="center"/>
          </w:tcPr>
          <w:p w14:paraId="13A58F46">
            <w:pPr>
              <w:spacing w:after="160"/>
              <w:jc w:val="center"/>
              <w:rPr>
                <w:rFonts w:ascii="仿宋" w:hAnsi="仿宋" w:eastAsia="仿宋" w:cs="宋体"/>
                <w:sz w:val="22"/>
              </w:rPr>
            </w:pPr>
            <w:r>
              <w:rPr>
                <w:rFonts w:hint="eastAsia" w:ascii="仿宋" w:hAnsi="仿宋" w:eastAsia="仿宋" w:cs="宋体"/>
                <w:sz w:val="22"/>
              </w:rPr>
              <w:t>否</w:t>
            </w:r>
          </w:p>
        </w:tc>
        <w:tc>
          <w:tcPr>
            <w:tcW w:w="503" w:type="pct"/>
            <w:vAlign w:val="center"/>
          </w:tcPr>
          <w:p w14:paraId="45AA90D9">
            <w:pPr>
              <w:spacing w:after="160"/>
              <w:jc w:val="center"/>
              <w:rPr>
                <w:rFonts w:ascii="仿宋" w:hAnsi="仿宋" w:eastAsia="仿宋" w:cs="宋体"/>
                <w:sz w:val="22"/>
              </w:rPr>
            </w:pPr>
            <w:r>
              <w:rPr>
                <w:rFonts w:hint="eastAsia" w:ascii="仿宋" w:hAnsi="仿宋" w:eastAsia="仿宋" w:cs="宋体"/>
                <w:sz w:val="22"/>
              </w:rPr>
              <w:t>否</w:t>
            </w:r>
          </w:p>
        </w:tc>
        <w:tc>
          <w:tcPr>
            <w:tcW w:w="603" w:type="pct"/>
            <w:vAlign w:val="center"/>
          </w:tcPr>
          <w:p w14:paraId="6B6AF7C5">
            <w:pPr>
              <w:spacing w:after="160"/>
              <w:jc w:val="center"/>
              <w:rPr>
                <w:rFonts w:ascii="仿宋" w:hAnsi="仿宋" w:eastAsia="仿宋" w:cs="宋体"/>
                <w:sz w:val="22"/>
              </w:rPr>
            </w:pPr>
            <w:r>
              <w:rPr>
                <w:rFonts w:hint="eastAsia" w:ascii="仿宋" w:hAnsi="仿宋" w:eastAsia="仿宋" w:cs="宋体"/>
                <w:sz w:val="22"/>
              </w:rPr>
              <w:t>否</w:t>
            </w:r>
          </w:p>
        </w:tc>
      </w:tr>
      <w:tr w14:paraId="46737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347" w:type="pct"/>
            <w:vAlign w:val="center"/>
          </w:tcPr>
          <w:p w14:paraId="3F8AA281">
            <w:pPr>
              <w:spacing w:after="160"/>
              <w:jc w:val="center"/>
              <w:rPr>
                <w:rFonts w:ascii="仿宋" w:hAnsi="仿宋" w:eastAsia="仿宋" w:cs="Times New Roman"/>
                <w:sz w:val="22"/>
              </w:rPr>
            </w:pPr>
            <w:r>
              <w:rPr>
                <w:rFonts w:hint="eastAsia" w:ascii="仿宋" w:hAnsi="仿宋" w:eastAsia="仿宋" w:cs="Times New Roman"/>
                <w:sz w:val="24"/>
                <w:szCs w:val="24"/>
              </w:rPr>
              <w:t>包号</w:t>
            </w:r>
          </w:p>
        </w:tc>
        <w:tc>
          <w:tcPr>
            <w:tcW w:w="529" w:type="pct"/>
            <w:vAlign w:val="center"/>
          </w:tcPr>
          <w:p w14:paraId="5B394980">
            <w:pPr>
              <w:spacing w:after="160"/>
              <w:jc w:val="center"/>
              <w:rPr>
                <w:rFonts w:ascii="仿宋" w:hAnsi="仿宋" w:eastAsia="仿宋" w:cs="Times New Roman"/>
                <w:sz w:val="22"/>
              </w:rPr>
            </w:pPr>
            <w:r>
              <w:rPr>
                <w:rFonts w:hint="eastAsia" w:ascii="仿宋" w:hAnsi="仿宋" w:eastAsia="仿宋" w:cs="Times New Roman"/>
                <w:sz w:val="24"/>
                <w:szCs w:val="24"/>
              </w:rPr>
              <w:t>品目号</w:t>
            </w:r>
          </w:p>
        </w:tc>
        <w:tc>
          <w:tcPr>
            <w:tcW w:w="1015" w:type="pct"/>
            <w:vAlign w:val="center"/>
          </w:tcPr>
          <w:p w14:paraId="753672D8">
            <w:pPr>
              <w:spacing w:after="160"/>
              <w:jc w:val="center"/>
              <w:rPr>
                <w:rFonts w:ascii="仿宋" w:hAnsi="仿宋" w:eastAsia="仿宋" w:cs="Times New Roman"/>
                <w:sz w:val="22"/>
              </w:rPr>
            </w:pPr>
            <w:r>
              <w:rPr>
                <w:rFonts w:hint="eastAsia" w:ascii="仿宋" w:hAnsi="仿宋" w:eastAsia="仿宋" w:cs="Times New Roman"/>
                <w:sz w:val="24"/>
                <w:szCs w:val="24"/>
              </w:rPr>
              <w:t>标的</w:t>
            </w:r>
            <w:r>
              <w:rPr>
                <w:rFonts w:ascii="仿宋" w:hAnsi="仿宋" w:eastAsia="仿宋" w:cs="Times New Roman"/>
                <w:sz w:val="24"/>
                <w:szCs w:val="24"/>
              </w:rPr>
              <w:t>名称</w:t>
            </w:r>
          </w:p>
        </w:tc>
        <w:tc>
          <w:tcPr>
            <w:tcW w:w="419" w:type="pct"/>
            <w:vAlign w:val="center"/>
          </w:tcPr>
          <w:p w14:paraId="3B2C560B">
            <w:pPr>
              <w:spacing w:after="160"/>
              <w:jc w:val="center"/>
              <w:rPr>
                <w:rFonts w:ascii="仿宋" w:hAnsi="仿宋" w:eastAsia="仿宋" w:cs="Times New Roman"/>
                <w:sz w:val="22"/>
              </w:rPr>
            </w:pPr>
            <w:r>
              <w:rPr>
                <w:rFonts w:hint="eastAsia" w:ascii="仿宋" w:hAnsi="仿宋" w:eastAsia="仿宋" w:cs="Times New Roman"/>
                <w:sz w:val="24"/>
                <w:szCs w:val="24"/>
              </w:rPr>
              <w:t>所属行业</w:t>
            </w:r>
          </w:p>
        </w:tc>
        <w:tc>
          <w:tcPr>
            <w:tcW w:w="500" w:type="pct"/>
            <w:vAlign w:val="center"/>
          </w:tcPr>
          <w:p w14:paraId="3D27840B">
            <w:pPr>
              <w:spacing w:after="160"/>
              <w:jc w:val="center"/>
              <w:rPr>
                <w:rFonts w:ascii="仿宋" w:hAnsi="仿宋" w:eastAsia="仿宋" w:cs="Times New Roman"/>
                <w:sz w:val="22"/>
              </w:rPr>
            </w:pPr>
            <w:r>
              <w:rPr>
                <w:rFonts w:ascii="仿宋" w:hAnsi="仿宋" w:eastAsia="仿宋" w:cs="Times New Roman"/>
                <w:b/>
                <w:bCs/>
                <w:sz w:val="24"/>
                <w:szCs w:val="24"/>
              </w:rPr>
              <w:t>*</w:t>
            </w:r>
            <w:r>
              <w:rPr>
                <w:rFonts w:hint="eastAsia" w:ascii="仿宋" w:hAnsi="仿宋" w:eastAsia="仿宋" w:cs="Times New Roman"/>
                <w:b/>
                <w:bCs/>
                <w:sz w:val="24"/>
                <w:szCs w:val="24"/>
              </w:rPr>
              <w:t>预估数量（套/台）</w:t>
            </w:r>
          </w:p>
        </w:tc>
        <w:tc>
          <w:tcPr>
            <w:tcW w:w="515" w:type="pct"/>
            <w:vAlign w:val="center"/>
          </w:tcPr>
          <w:p w14:paraId="0040D5EF">
            <w:pPr>
              <w:spacing w:after="160"/>
              <w:jc w:val="center"/>
              <w:rPr>
                <w:rFonts w:ascii="仿宋" w:hAnsi="仿宋" w:eastAsia="仿宋" w:cs="Times New Roman"/>
                <w:b/>
                <w:bCs/>
                <w:sz w:val="24"/>
                <w:szCs w:val="24"/>
              </w:rPr>
            </w:pPr>
            <w:r>
              <w:rPr>
                <w:rFonts w:hint="eastAsia" w:ascii="仿宋" w:hAnsi="仿宋" w:eastAsia="仿宋" w:cs="Times New Roman"/>
                <w:b/>
                <w:bCs/>
                <w:sz w:val="24"/>
                <w:szCs w:val="24"/>
              </w:rPr>
              <w:t>*单价最高限价</w:t>
            </w:r>
          </w:p>
          <w:p w14:paraId="79E8E1D6">
            <w:pPr>
              <w:spacing w:after="160"/>
              <w:jc w:val="center"/>
              <w:rPr>
                <w:rFonts w:ascii="仿宋" w:hAnsi="仿宋" w:eastAsia="仿宋" w:cs="宋体"/>
                <w:sz w:val="22"/>
              </w:rPr>
            </w:pPr>
            <w:r>
              <w:rPr>
                <w:rFonts w:hint="eastAsia" w:ascii="仿宋" w:hAnsi="仿宋" w:eastAsia="仿宋" w:cs="Times New Roman"/>
                <w:b/>
                <w:bCs/>
                <w:sz w:val="24"/>
                <w:szCs w:val="24"/>
              </w:rPr>
              <w:t>（元）</w:t>
            </w:r>
          </w:p>
        </w:tc>
        <w:tc>
          <w:tcPr>
            <w:tcW w:w="564" w:type="pct"/>
            <w:vAlign w:val="center"/>
          </w:tcPr>
          <w:p w14:paraId="7A6F5728">
            <w:pPr>
              <w:spacing w:after="160"/>
              <w:jc w:val="center"/>
              <w:rPr>
                <w:rFonts w:ascii="仿宋" w:hAnsi="仿宋" w:eastAsia="仿宋" w:cs="宋体"/>
                <w:sz w:val="22"/>
              </w:rPr>
            </w:pPr>
            <w:r>
              <w:rPr>
                <w:rFonts w:ascii="仿宋" w:hAnsi="仿宋" w:eastAsia="仿宋" w:cs="Times New Roman"/>
                <w:sz w:val="24"/>
                <w:szCs w:val="24"/>
              </w:rPr>
              <w:t>是否属于优先采购节能产品</w:t>
            </w:r>
          </w:p>
        </w:tc>
        <w:tc>
          <w:tcPr>
            <w:tcW w:w="503" w:type="pct"/>
            <w:vAlign w:val="center"/>
          </w:tcPr>
          <w:p w14:paraId="25188A99">
            <w:pPr>
              <w:spacing w:after="160"/>
              <w:jc w:val="center"/>
              <w:rPr>
                <w:rFonts w:ascii="仿宋" w:hAnsi="仿宋" w:eastAsia="仿宋" w:cs="宋体"/>
                <w:sz w:val="22"/>
              </w:rPr>
            </w:pPr>
            <w:r>
              <w:rPr>
                <w:rFonts w:hint="eastAsia" w:ascii="仿宋" w:hAnsi="仿宋" w:eastAsia="仿宋" w:cs="Times New Roman"/>
                <w:sz w:val="24"/>
                <w:szCs w:val="24"/>
              </w:rPr>
              <w:t>是否属于强制采购节能产品</w:t>
            </w:r>
          </w:p>
        </w:tc>
        <w:tc>
          <w:tcPr>
            <w:tcW w:w="603" w:type="pct"/>
            <w:vAlign w:val="center"/>
          </w:tcPr>
          <w:p w14:paraId="5F5262D9">
            <w:pPr>
              <w:spacing w:after="160"/>
              <w:jc w:val="center"/>
              <w:rPr>
                <w:rFonts w:ascii="仿宋" w:hAnsi="仿宋" w:eastAsia="仿宋" w:cs="宋体"/>
                <w:sz w:val="22"/>
              </w:rPr>
            </w:pPr>
            <w:r>
              <w:rPr>
                <w:rFonts w:hint="eastAsia" w:ascii="仿宋" w:hAnsi="仿宋" w:eastAsia="仿宋" w:cs="Times New Roman"/>
                <w:sz w:val="24"/>
                <w:szCs w:val="24"/>
              </w:rPr>
              <w:t>是否属于优先采购环境标志产品</w:t>
            </w:r>
          </w:p>
        </w:tc>
      </w:tr>
      <w:tr w14:paraId="59000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347" w:type="pct"/>
            <w:vMerge w:val="restart"/>
            <w:vAlign w:val="center"/>
          </w:tcPr>
          <w:p w14:paraId="4A8D694B">
            <w:pPr>
              <w:spacing w:after="160"/>
              <w:jc w:val="center"/>
              <w:rPr>
                <w:rFonts w:ascii="仿宋" w:hAnsi="仿宋" w:eastAsia="仿宋" w:cs="Times New Roman"/>
                <w:sz w:val="22"/>
              </w:rPr>
            </w:pPr>
            <w:r>
              <w:rPr>
                <w:rFonts w:hint="eastAsia" w:ascii="仿宋" w:hAnsi="仿宋" w:eastAsia="仿宋" w:cs="Times New Roman"/>
                <w:sz w:val="22"/>
              </w:rPr>
              <w:t>02</w:t>
            </w:r>
          </w:p>
        </w:tc>
        <w:tc>
          <w:tcPr>
            <w:tcW w:w="529" w:type="pct"/>
            <w:vAlign w:val="center"/>
          </w:tcPr>
          <w:p w14:paraId="07AE1A45">
            <w:pPr>
              <w:spacing w:after="160"/>
              <w:jc w:val="center"/>
              <w:rPr>
                <w:rFonts w:ascii="仿宋" w:hAnsi="仿宋" w:eastAsia="仿宋" w:cs="Times New Roman"/>
                <w:sz w:val="22"/>
              </w:rPr>
            </w:pPr>
            <w:r>
              <w:rPr>
                <w:rFonts w:hint="eastAsia" w:ascii="仿宋" w:hAnsi="仿宋" w:eastAsia="仿宋" w:cs="Times New Roman"/>
                <w:sz w:val="22"/>
              </w:rPr>
              <w:t>2-1</w:t>
            </w:r>
          </w:p>
        </w:tc>
        <w:tc>
          <w:tcPr>
            <w:tcW w:w="1015" w:type="pct"/>
            <w:vAlign w:val="center"/>
          </w:tcPr>
          <w:p w14:paraId="51338F85">
            <w:pPr>
              <w:spacing w:after="160"/>
              <w:jc w:val="center"/>
              <w:rPr>
                <w:rFonts w:ascii="仿宋" w:hAnsi="仿宋" w:eastAsia="仿宋" w:cs="Times New Roman"/>
                <w:sz w:val="22"/>
              </w:rPr>
            </w:pPr>
            <w:r>
              <w:rPr>
                <w:rFonts w:hint="eastAsia" w:ascii="仿宋" w:hAnsi="仿宋" w:eastAsia="仿宋" w:cs="Times New Roman"/>
                <w:sz w:val="24"/>
                <w:szCs w:val="24"/>
              </w:rPr>
              <w:t>双人生物安全柜</w:t>
            </w:r>
          </w:p>
        </w:tc>
        <w:tc>
          <w:tcPr>
            <w:tcW w:w="419" w:type="pct"/>
            <w:vMerge w:val="restart"/>
            <w:vAlign w:val="center"/>
          </w:tcPr>
          <w:p w14:paraId="4E1A9375">
            <w:pPr>
              <w:spacing w:after="160"/>
              <w:jc w:val="center"/>
              <w:rPr>
                <w:rFonts w:ascii="仿宋" w:hAnsi="仿宋" w:eastAsia="仿宋" w:cs="Times New Roman"/>
                <w:sz w:val="22"/>
              </w:rPr>
            </w:pPr>
            <w:r>
              <w:rPr>
                <w:rFonts w:hint="eastAsia" w:ascii="仿宋" w:hAnsi="仿宋" w:eastAsia="仿宋" w:cs="Times New Roman"/>
                <w:sz w:val="22"/>
              </w:rPr>
              <w:t>工业</w:t>
            </w:r>
          </w:p>
        </w:tc>
        <w:tc>
          <w:tcPr>
            <w:tcW w:w="500" w:type="pct"/>
            <w:vAlign w:val="center"/>
          </w:tcPr>
          <w:p w14:paraId="4A739841">
            <w:pPr>
              <w:spacing w:after="160"/>
              <w:jc w:val="center"/>
              <w:rPr>
                <w:rFonts w:ascii="仿宋" w:hAnsi="仿宋" w:eastAsia="仿宋" w:cs="Times New Roman"/>
                <w:sz w:val="22"/>
              </w:rPr>
            </w:pPr>
            <w:r>
              <w:rPr>
                <w:rFonts w:hint="eastAsia" w:ascii="仿宋" w:hAnsi="仿宋" w:eastAsia="仿宋" w:cs="Times New Roman"/>
                <w:sz w:val="22"/>
              </w:rPr>
              <w:t>44</w:t>
            </w:r>
          </w:p>
        </w:tc>
        <w:tc>
          <w:tcPr>
            <w:tcW w:w="515" w:type="pct"/>
            <w:vAlign w:val="center"/>
          </w:tcPr>
          <w:p w14:paraId="344666EB">
            <w:pPr>
              <w:spacing w:after="160"/>
              <w:jc w:val="center"/>
              <w:rPr>
                <w:rFonts w:ascii="仿宋" w:hAnsi="仿宋" w:eastAsia="仿宋" w:cs="宋体"/>
                <w:sz w:val="22"/>
              </w:rPr>
            </w:pPr>
            <w:r>
              <w:rPr>
                <w:rFonts w:hint="eastAsia" w:ascii="仿宋" w:hAnsi="仿宋" w:eastAsia="仿宋" w:cs="宋体"/>
                <w:sz w:val="22"/>
              </w:rPr>
              <w:t>31500</w:t>
            </w:r>
          </w:p>
        </w:tc>
        <w:tc>
          <w:tcPr>
            <w:tcW w:w="564" w:type="pct"/>
            <w:vAlign w:val="center"/>
          </w:tcPr>
          <w:p w14:paraId="4AFF669D">
            <w:pPr>
              <w:spacing w:after="160"/>
              <w:jc w:val="center"/>
              <w:rPr>
                <w:rFonts w:ascii="仿宋" w:hAnsi="仿宋" w:eastAsia="仿宋" w:cs="宋体"/>
                <w:sz w:val="22"/>
              </w:rPr>
            </w:pPr>
            <w:r>
              <w:rPr>
                <w:rFonts w:hint="eastAsia" w:ascii="仿宋" w:hAnsi="仿宋" w:eastAsia="仿宋" w:cs="宋体"/>
                <w:sz w:val="24"/>
                <w:szCs w:val="24"/>
              </w:rPr>
              <w:t>否</w:t>
            </w:r>
          </w:p>
        </w:tc>
        <w:tc>
          <w:tcPr>
            <w:tcW w:w="503" w:type="pct"/>
            <w:vAlign w:val="center"/>
          </w:tcPr>
          <w:p w14:paraId="3CE871F7">
            <w:pPr>
              <w:spacing w:after="160"/>
              <w:jc w:val="center"/>
              <w:rPr>
                <w:rFonts w:ascii="仿宋" w:hAnsi="仿宋" w:eastAsia="仿宋" w:cs="宋体"/>
                <w:sz w:val="22"/>
              </w:rPr>
            </w:pPr>
            <w:r>
              <w:rPr>
                <w:rFonts w:hint="eastAsia" w:ascii="仿宋" w:hAnsi="仿宋" w:eastAsia="仿宋" w:cs="宋体"/>
                <w:sz w:val="24"/>
                <w:szCs w:val="24"/>
              </w:rPr>
              <w:t>否</w:t>
            </w:r>
          </w:p>
        </w:tc>
        <w:tc>
          <w:tcPr>
            <w:tcW w:w="603" w:type="pct"/>
            <w:vAlign w:val="center"/>
          </w:tcPr>
          <w:p w14:paraId="7CBD32FF">
            <w:pPr>
              <w:spacing w:after="160"/>
              <w:jc w:val="center"/>
              <w:rPr>
                <w:rFonts w:ascii="仿宋" w:hAnsi="仿宋" w:eastAsia="仿宋" w:cs="宋体"/>
                <w:sz w:val="22"/>
              </w:rPr>
            </w:pPr>
            <w:r>
              <w:rPr>
                <w:rFonts w:hint="eastAsia" w:ascii="仿宋" w:hAnsi="仿宋" w:eastAsia="仿宋" w:cs="宋体"/>
                <w:sz w:val="24"/>
                <w:szCs w:val="24"/>
              </w:rPr>
              <w:t>否</w:t>
            </w:r>
          </w:p>
        </w:tc>
      </w:tr>
      <w:tr w14:paraId="323CB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347" w:type="pct"/>
            <w:vMerge w:val="continue"/>
            <w:vAlign w:val="center"/>
          </w:tcPr>
          <w:p w14:paraId="5B9F0B33">
            <w:pPr>
              <w:spacing w:after="160"/>
              <w:jc w:val="center"/>
              <w:rPr>
                <w:rFonts w:ascii="仿宋" w:hAnsi="仿宋" w:eastAsia="仿宋" w:cs="Times New Roman"/>
                <w:sz w:val="22"/>
              </w:rPr>
            </w:pPr>
          </w:p>
        </w:tc>
        <w:tc>
          <w:tcPr>
            <w:tcW w:w="529" w:type="pct"/>
            <w:vAlign w:val="center"/>
          </w:tcPr>
          <w:p w14:paraId="569248F9">
            <w:pPr>
              <w:spacing w:after="160"/>
              <w:jc w:val="center"/>
              <w:rPr>
                <w:rFonts w:ascii="仿宋" w:hAnsi="仿宋" w:eastAsia="仿宋" w:cs="Times New Roman"/>
                <w:sz w:val="22"/>
              </w:rPr>
            </w:pPr>
            <w:r>
              <w:rPr>
                <w:rFonts w:hint="eastAsia" w:ascii="仿宋" w:hAnsi="仿宋" w:eastAsia="仿宋" w:cs="Times New Roman"/>
                <w:sz w:val="22"/>
              </w:rPr>
              <w:t>2-2</w:t>
            </w:r>
          </w:p>
        </w:tc>
        <w:tc>
          <w:tcPr>
            <w:tcW w:w="1015" w:type="pct"/>
            <w:vAlign w:val="center"/>
          </w:tcPr>
          <w:p w14:paraId="67B7AC88">
            <w:pPr>
              <w:spacing w:after="160"/>
              <w:jc w:val="center"/>
              <w:rPr>
                <w:rFonts w:ascii="仿宋" w:hAnsi="仿宋" w:eastAsia="仿宋" w:cs="Times New Roman"/>
                <w:sz w:val="22"/>
              </w:rPr>
            </w:pPr>
            <w:r>
              <w:rPr>
                <w:rFonts w:hint="eastAsia" w:ascii="仿宋" w:hAnsi="仿宋" w:eastAsia="仿宋" w:cs="Times New Roman"/>
                <w:sz w:val="24"/>
                <w:szCs w:val="24"/>
              </w:rPr>
              <w:t>单人生物安全柜</w:t>
            </w:r>
          </w:p>
        </w:tc>
        <w:tc>
          <w:tcPr>
            <w:tcW w:w="419" w:type="pct"/>
            <w:vMerge w:val="continue"/>
            <w:vAlign w:val="center"/>
          </w:tcPr>
          <w:p w14:paraId="486FD2C2">
            <w:pPr>
              <w:spacing w:after="160"/>
              <w:jc w:val="center"/>
              <w:rPr>
                <w:rFonts w:ascii="仿宋" w:hAnsi="仿宋" w:eastAsia="仿宋" w:cs="Times New Roman"/>
                <w:sz w:val="22"/>
              </w:rPr>
            </w:pPr>
          </w:p>
        </w:tc>
        <w:tc>
          <w:tcPr>
            <w:tcW w:w="500" w:type="pct"/>
            <w:vAlign w:val="center"/>
          </w:tcPr>
          <w:p w14:paraId="424E03A9">
            <w:pPr>
              <w:spacing w:after="160"/>
              <w:jc w:val="center"/>
              <w:rPr>
                <w:rFonts w:ascii="仿宋" w:hAnsi="仿宋" w:eastAsia="仿宋" w:cs="Times New Roman"/>
                <w:sz w:val="22"/>
              </w:rPr>
            </w:pPr>
            <w:r>
              <w:rPr>
                <w:rFonts w:hint="eastAsia" w:ascii="仿宋" w:hAnsi="仿宋" w:eastAsia="仿宋" w:cs="Times New Roman"/>
                <w:sz w:val="22"/>
              </w:rPr>
              <w:t>67</w:t>
            </w:r>
          </w:p>
        </w:tc>
        <w:tc>
          <w:tcPr>
            <w:tcW w:w="515" w:type="pct"/>
            <w:vAlign w:val="center"/>
          </w:tcPr>
          <w:p w14:paraId="2C01CA4F">
            <w:pPr>
              <w:spacing w:after="160"/>
              <w:jc w:val="center"/>
              <w:rPr>
                <w:rFonts w:ascii="仿宋" w:hAnsi="仿宋" w:eastAsia="仿宋" w:cs="宋体"/>
                <w:sz w:val="22"/>
              </w:rPr>
            </w:pPr>
            <w:r>
              <w:rPr>
                <w:rFonts w:hint="eastAsia" w:ascii="仿宋" w:hAnsi="仿宋" w:eastAsia="仿宋" w:cs="宋体"/>
                <w:sz w:val="22"/>
              </w:rPr>
              <w:t>24700</w:t>
            </w:r>
          </w:p>
        </w:tc>
        <w:tc>
          <w:tcPr>
            <w:tcW w:w="564" w:type="pct"/>
            <w:vAlign w:val="center"/>
          </w:tcPr>
          <w:p w14:paraId="7B3A5625">
            <w:pPr>
              <w:spacing w:after="160"/>
              <w:jc w:val="center"/>
              <w:rPr>
                <w:rFonts w:ascii="仿宋" w:hAnsi="仿宋" w:eastAsia="仿宋" w:cs="宋体"/>
                <w:sz w:val="22"/>
              </w:rPr>
            </w:pPr>
            <w:r>
              <w:rPr>
                <w:rFonts w:hint="eastAsia" w:ascii="仿宋" w:hAnsi="仿宋" w:eastAsia="仿宋" w:cs="宋体"/>
                <w:sz w:val="24"/>
                <w:szCs w:val="24"/>
              </w:rPr>
              <w:t>否</w:t>
            </w:r>
          </w:p>
        </w:tc>
        <w:tc>
          <w:tcPr>
            <w:tcW w:w="503" w:type="pct"/>
            <w:vAlign w:val="center"/>
          </w:tcPr>
          <w:p w14:paraId="6C116BC1">
            <w:pPr>
              <w:spacing w:after="160"/>
              <w:jc w:val="center"/>
              <w:rPr>
                <w:rFonts w:ascii="仿宋" w:hAnsi="仿宋" w:eastAsia="仿宋" w:cs="宋体"/>
                <w:sz w:val="22"/>
              </w:rPr>
            </w:pPr>
            <w:r>
              <w:rPr>
                <w:rFonts w:hint="eastAsia" w:ascii="仿宋" w:hAnsi="仿宋" w:eastAsia="仿宋" w:cs="宋体"/>
                <w:sz w:val="24"/>
                <w:szCs w:val="24"/>
              </w:rPr>
              <w:t>否</w:t>
            </w:r>
          </w:p>
        </w:tc>
        <w:tc>
          <w:tcPr>
            <w:tcW w:w="603" w:type="pct"/>
            <w:vAlign w:val="center"/>
          </w:tcPr>
          <w:p w14:paraId="5339739C">
            <w:pPr>
              <w:spacing w:after="160"/>
              <w:jc w:val="center"/>
              <w:rPr>
                <w:rFonts w:ascii="仿宋" w:hAnsi="仿宋" w:eastAsia="仿宋" w:cs="宋体"/>
                <w:sz w:val="22"/>
              </w:rPr>
            </w:pPr>
            <w:r>
              <w:rPr>
                <w:rFonts w:hint="eastAsia" w:ascii="仿宋" w:hAnsi="仿宋" w:eastAsia="仿宋" w:cs="宋体"/>
                <w:sz w:val="24"/>
                <w:szCs w:val="24"/>
              </w:rPr>
              <w:t>否</w:t>
            </w:r>
          </w:p>
        </w:tc>
      </w:tr>
    </w:tbl>
    <w:p w14:paraId="3807A382">
      <w:pPr>
        <w:keepNext/>
        <w:keepLines/>
        <w:spacing w:before="260" w:after="260" w:line="400" w:lineRule="exact"/>
        <w:outlineLvl w:val="1"/>
        <w:rPr>
          <w:rFonts w:ascii="仿宋" w:hAnsi="仿宋" w:eastAsia="仿宋" w:cs="Times New Roman"/>
          <w:b/>
          <w:bCs/>
          <w:sz w:val="24"/>
          <w:szCs w:val="24"/>
        </w:rPr>
      </w:pPr>
      <w:r>
        <w:rPr>
          <w:rFonts w:hint="eastAsia" w:ascii="仿宋" w:hAnsi="仿宋" w:eastAsia="仿宋" w:cs="Times New Roman"/>
          <w:b/>
          <w:bCs/>
          <w:sz w:val="24"/>
          <w:szCs w:val="24"/>
        </w:rPr>
        <w:t>二、商务要求</w:t>
      </w:r>
    </w:p>
    <w:p w14:paraId="4BA09BA9">
      <w:pPr>
        <w:keepNext/>
        <w:keepLines/>
        <w:spacing w:line="360" w:lineRule="auto"/>
        <w:outlineLvl w:val="2"/>
        <w:rPr>
          <w:rFonts w:ascii="仿宋" w:hAnsi="仿宋" w:eastAsia="仿宋" w:cs="仿宋"/>
          <w:b/>
          <w:bCs/>
          <w:sz w:val="24"/>
          <w:szCs w:val="24"/>
        </w:rPr>
      </w:pPr>
      <w:r>
        <w:rPr>
          <w:rFonts w:hint="eastAsia" w:ascii="仿宋" w:hAnsi="仿宋" w:eastAsia="仿宋" w:cs="仿宋"/>
          <w:b/>
          <w:bCs/>
          <w:sz w:val="24"/>
          <w:szCs w:val="24"/>
        </w:rPr>
        <w:t>01包：</w:t>
      </w:r>
    </w:p>
    <w:p w14:paraId="66604581">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*1. 履约时间和地点</w:t>
      </w:r>
    </w:p>
    <w:p w14:paraId="615690D7">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1.1 履约时间：合同签定后，在接到采购人正式通知之日起的</w:t>
      </w:r>
      <w:r>
        <w:rPr>
          <w:rFonts w:ascii="仿宋" w:hAnsi="仿宋" w:eastAsia="仿宋" w:cs="宋体"/>
          <w:sz w:val="24"/>
          <w:szCs w:val="24"/>
        </w:rPr>
        <w:t>30</w:t>
      </w:r>
      <w:r>
        <w:rPr>
          <w:rFonts w:hint="eastAsia" w:ascii="仿宋" w:hAnsi="仿宋" w:eastAsia="仿宋" w:cs="宋体"/>
          <w:sz w:val="24"/>
          <w:szCs w:val="24"/>
        </w:rPr>
        <w:t>天内。</w:t>
      </w:r>
    </w:p>
    <w:p w14:paraId="6F91F25A">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1.2 履约地点:四川大学华西医院</w:t>
      </w:r>
    </w:p>
    <w:p w14:paraId="50066B99">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*2．付款方法和条件:</w:t>
      </w:r>
    </w:p>
    <w:p w14:paraId="08D32AC0">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2.1本采购包为据实结算，按实际发生供货量*统一折扣*单价最高限价进行结算，采购人收到供应商发票后10个工作日内支付该批次产品金额的100%，最终结算金额不得超出本采购包预算金额。</w:t>
      </w:r>
    </w:p>
    <w:p w14:paraId="5269832E">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2.2报价方式：供应商以统一折扣进行报价【例如产品的单价最高限价为10元，供应商产品的统一折扣报价为：80%（即8折），结算时按8元进行结算)】。</w:t>
      </w:r>
    </w:p>
    <w:p w14:paraId="6059CF1E">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3.安装调试及培训</w:t>
      </w:r>
    </w:p>
    <w:p w14:paraId="52FAC729">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*3.1货物到达安装现场后，供应商接到采购人通知后7日内到达现场组织安装、调试，达到正常运行要求，保证采购人正常使用。所需的费用包括在投标价格中。</w:t>
      </w:r>
    </w:p>
    <w:p w14:paraId="2C164352">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3.2供应商安排技术人员应就设备的安装、调试、操作、维修、保养等对采购人维修技术人员进行培训和技术支持,直至采购人的技术人员能独立操作，同时能完成一般常见故障的维修工作。</w:t>
      </w:r>
    </w:p>
    <w:p w14:paraId="154D694E">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w:t>
      </w:r>
      <w:r>
        <w:rPr>
          <w:rFonts w:ascii="仿宋" w:hAnsi="仿宋" w:eastAsia="仿宋" w:cs="宋体"/>
          <w:sz w:val="24"/>
          <w:szCs w:val="24"/>
        </w:rPr>
        <w:t>4</w:t>
      </w:r>
      <w:r>
        <w:rPr>
          <w:rFonts w:hint="eastAsia" w:ascii="仿宋" w:hAnsi="仿宋" w:eastAsia="仿宋" w:cs="宋体"/>
          <w:sz w:val="24"/>
          <w:szCs w:val="24"/>
        </w:rPr>
        <w:t>.履约验收</w:t>
      </w:r>
    </w:p>
    <w:p w14:paraId="7D93A2B1">
      <w:pPr>
        <w:snapToGrid w:val="0"/>
        <w:spacing w:line="360" w:lineRule="auto"/>
        <w:ind w:firstLine="240" w:firstLineChars="100"/>
        <w:jc w:val="left"/>
        <w:rPr>
          <w:rFonts w:ascii="仿宋" w:hAnsi="仿宋" w:eastAsia="仿宋" w:cs="宋体"/>
          <w:sz w:val="24"/>
          <w:szCs w:val="24"/>
        </w:rPr>
      </w:pPr>
      <w:r>
        <w:rPr>
          <w:rFonts w:ascii="仿宋" w:hAnsi="仿宋" w:eastAsia="仿宋" w:cs="宋体"/>
          <w:sz w:val="24"/>
          <w:szCs w:val="24"/>
        </w:rPr>
        <w:t>4</w:t>
      </w:r>
      <w:r>
        <w:rPr>
          <w:rFonts w:hint="eastAsia" w:ascii="仿宋" w:hAnsi="仿宋" w:eastAsia="仿宋" w:cs="宋体"/>
          <w:sz w:val="24"/>
          <w:szCs w:val="24"/>
        </w:rPr>
        <w:t>.1履约验收主体：四川大学华西医院</w:t>
      </w:r>
    </w:p>
    <w:p w14:paraId="066AF827">
      <w:pPr>
        <w:snapToGrid w:val="0"/>
        <w:spacing w:line="360" w:lineRule="auto"/>
        <w:ind w:firstLine="240" w:firstLineChars="100"/>
        <w:jc w:val="left"/>
        <w:rPr>
          <w:rFonts w:ascii="仿宋" w:hAnsi="仿宋" w:eastAsia="仿宋" w:cs="宋体"/>
          <w:sz w:val="24"/>
          <w:szCs w:val="24"/>
        </w:rPr>
      </w:pPr>
      <w:r>
        <w:rPr>
          <w:rFonts w:ascii="仿宋" w:hAnsi="仿宋" w:eastAsia="仿宋" w:cs="宋体"/>
          <w:sz w:val="24"/>
          <w:szCs w:val="24"/>
        </w:rPr>
        <w:t>4</w:t>
      </w:r>
      <w:r>
        <w:rPr>
          <w:rFonts w:hint="eastAsia" w:ascii="仿宋" w:hAnsi="仿宋" w:eastAsia="仿宋" w:cs="宋体"/>
          <w:sz w:val="24"/>
          <w:szCs w:val="24"/>
        </w:rPr>
        <w:t>.2履约验收程序：一次性验收</w:t>
      </w:r>
    </w:p>
    <w:p w14:paraId="4E27CF99">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4.</w:t>
      </w:r>
      <w:r>
        <w:rPr>
          <w:rFonts w:ascii="仿宋" w:hAnsi="仿宋" w:eastAsia="仿宋" w:cs="宋体"/>
          <w:sz w:val="24"/>
          <w:szCs w:val="24"/>
        </w:rPr>
        <w:t>3</w:t>
      </w:r>
      <w:r>
        <w:rPr>
          <w:rFonts w:hint="eastAsia" w:ascii="仿宋" w:hAnsi="仿宋" w:eastAsia="仿宋" w:cs="宋体"/>
          <w:sz w:val="24"/>
          <w:szCs w:val="24"/>
        </w:rPr>
        <w:t>验收方法：验收时采购人、供应商双方皆应派员参加，验收合格后需双方签署验收单；</w:t>
      </w:r>
    </w:p>
    <w:p w14:paraId="69275748">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4.</w:t>
      </w:r>
      <w:r>
        <w:rPr>
          <w:rFonts w:ascii="仿宋" w:hAnsi="仿宋" w:eastAsia="仿宋" w:cs="宋体"/>
          <w:sz w:val="24"/>
          <w:szCs w:val="24"/>
        </w:rPr>
        <w:t>4</w:t>
      </w:r>
      <w:r>
        <w:rPr>
          <w:rFonts w:hint="eastAsia" w:ascii="仿宋" w:hAnsi="仿宋" w:eastAsia="仿宋" w:cs="宋体"/>
          <w:sz w:val="24"/>
          <w:szCs w:val="24"/>
        </w:rPr>
        <w:t>验收标准及内容：以中标人投标文件技术参数及合同要求和相关行业标准进行验收。</w:t>
      </w:r>
    </w:p>
    <w:p w14:paraId="31EEB022">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4.</w:t>
      </w:r>
      <w:r>
        <w:rPr>
          <w:rFonts w:ascii="仿宋" w:hAnsi="仿宋" w:eastAsia="仿宋" w:cs="宋体"/>
          <w:sz w:val="24"/>
          <w:szCs w:val="24"/>
        </w:rPr>
        <w:t>5</w:t>
      </w:r>
      <w:r>
        <w:rPr>
          <w:rFonts w:hint="eastAsia" w:ascii="仿宋" w:hAnsi="仿宋" w:eastAsia="仿宋" w:cs="宋体"/>
          <w:sz w:val="24"/>
          <w:szCs w:val="24"/>
        </w:rPr>
        <w:t>验收时间要求：中标人按照合同要求完成全部工作后，采购人在收到中标人书面的验收申请材料后30日内组织履约验收工作。</w:t>
      </w:r>
    </w:p>
    <w:p w14:paraId="7D4AAAC7">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4.</w:t>
      </w:r>
      <w:r>
        <w:rPr>
          <w:rFonts w:ascii="仿宋" w:hAnsi="仿宋" w:eastAsia="仿宋" w:cs="宋体"/>
          <w:sz w:val="24"/>
          <w:szCs w:val="24"/>
        </w:rPr>
        <w:t>6</w:t>
      </w:r>
      <w:r>
        <w:rPr>
          <w:rFonts w:hint="eastAsia" w:ascii="仿宋" w:hAnsi="仿宋" w:eastAsia="仿宋" w:cs="宋体"/>
          <w:sz w:val="24"/>
          <w:szCs w:val="24"/>
        </w:rPr>
        <w:t>其他要求：验收不合格时，采购人和中标人应协商一致，中标人应根据相关验收证明材料及时补足或更换，费用由中标人自行承担。</w:t>
      </w:r>
    </w:p>
    <w:p w14:paraId="7B0453F4">
      <w:pPr>
        <w:snapToGrid w:val="0"/>
        <w:spacing w:line="360" w:lineRule="auto"/>
        <w:ind w:firstLine="240" w:firstLineChars="100"/>
        <w:jc w:val="left"/>
        <w:rPr>
          <w:rFonts w:ascii="仿宋" w:hAnsi="仿宋" w:eastAsia="仿宋" w:cs="宋体"/>
          <w:sz w:val="24"/>
          <w:szCs w:val="24"/>
        </w:rPr>
      </w:pPr>
      <w:r>
        <w:rPr>
          <w:rFonts w:ascii="仿宋" w:hAnsi="仿宋" w:eastAsia="仿宋" w:cs="宋体"/>
          <w:sz w:val="24"/>
          <w:szCs w:val="24"/>
        </w:rPr>
        <w:t>5</w:t>
      </w:r>
      <w:r>
        <w:rPr>
          <w:rFonts w:hint="eastAsia" w:ascii="仿宋" w:hAnsi="仿宋" w:eastAsia="仿宋" w:cs="宋体"/>
          <w:sz w:val="24"/>
          <w:szCs w:val="24"/>
        </w:rPr>
        <w:t>.售后服务</w:t>
      </w:r>
    </w:p>
    <w:p w14:paraId="08C0538D">
      <w:pPr>
        <w:snapToGrid w:val="0"/>
        <w:spacing w:line="360" w:lineRule="auto"/>
        <w:ind w:firstLine="240" w:firstLineChars="100"/>
        <w:jc w:val="left"/>
        <w:rPr>
          <w:rFonts w:ascii="仿宋" w:hAnsi="仿宋" w:eastAsia="仿宋" w:cs="宋体"/>
          <w:sz w:val="24"/>
          <w:szCs w:val="24"/>
        </w:rPr>
      </w:pPr>
      <w:r>
        <w:rPr>
          <w:rFonts w:ascii="仿宋" w:hAnsi="仿宋" w:eastAsia="仿宋" w:cs="宋体"/>
          <w:sz w:val="24"/>
          <w:szCs w:val="24"/>
        </w:rPr>
        <w:t>5</w:t>
      </w:r>
      <w:r>
        <w:rPr>
          <w:rFonts w:hint="eastAsia" w:ascii="仿宋" w:hAnsi="仿宋" w:eastAsia="仿宋" w:cs="宋体"/>
          <w:sz w:val="24"/>
          <w:szCs w:val="24"/>
        </w:rPr>
        <w:t>.1维修响应要求</w:t>
      </w:r>
    </w:p>
    <w:p w14:paraId="71F29861">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维修响应时间要求：应在接到采购人维修通知的前提下</w:t>
      </w:r>
      <w:r>
        <w:rPr>
          <w:rFonts w:ascii="仿宋" w:hAnsi="仿宋" w:eastAsia="仿宋" w:cs="宋体"/>
          <w:sz w:val="24"/>
          <w:szCs w:val="24"/>
        </w:rPr>
        <w:t>2</w:t>
      </w:r>
      <w:r>
        <w:rPr>
          <w:rFonts w:hint="eastAsia" w:ascii="仿宋" w:hAnsi="仿宋" w:eastAsia="仿宋" w:cs="宋体"/>
          <w:sz w:val="24"/>
          <w:szCs w:val="24"/>
        </w:rPr>
        <w:t>个小时内作出维修响应；</w:t>
      </w:r>
    </w:p>
    <w:p w14:paraId="0524B1A0">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维修时间要求：作出维修响应后，应在3小时内电话解决问题，如电话不能解决问题，则维修人员应在24小时之内到达现场（含节假日）进行维修。</w:t>
      </w:r>
    </w:p>
    <w:p w14:paraId="2CB8B7F6">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如设备需返厂维修，维修期间须提供备用样机。</w:t>
      </w:r>
    </w:p>
    <w:p w14:paraId="45114426">
      <w:pPr>
        <w:snapToGrid w:val="0"/>
        <w:spacing w:line="360" w:lineRule="auto"/>
        <w:ind w:firstLine="240" w:firstLineChars="100"/>
        <w:jc w:val="left"/>
        <w:rPr>
          <w:rFonts w:ascii="仿宋" w:hAnsi="仿宋" w:eastAsia="仿宋" w:cs="宋体"/>
          <w:sz w:val="24"/>
          <w:szCs w:val="24"/>
        </w:rPr>
      </w:pPr>
      <w:r>
        <w:rPr>
          <w:rFonts w:ascii="仿宋" w:hAnsi="仿宋" w:eastAsia="仿宋" w:cs="宋体"/>
          <w:sz w:val="24"/>
          <w:szCs w:val="24"/>
        </w:rPr>
        <w:t>*5</w:t>
      </w:r>
      <w:r>
        <w:rPr>
          <w:rFonts w:hint="eastAsia" w:ascii="仿宋" w:hAnsi="仿宋" w:eastAsia="仿宋" w:cs="宋体"/>
          <w:sz w:val="24"/>
          <w:szCs w:val="24"/>
        </w:rPr>
        <w:t>.2质保要求</w:t>
      </w:r>
    </w:p>
    <w:p w14:paraId="2D3D0B32">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 xml:space="preserve">（1）以验收合格之日起算，质保期5年。质保期后，供应商终生提供及时的维修、维护，维修只收取材料成本费。全包年保费不超过设备成交价的5%。  </w:t>
      </w:r>
    </w:p>
    <w:p w14:paraId="39EF1373">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（2）质保期内供应商应负责设备的维修及抢修以及及时提供所更换的零部件，维修更换的材料和配件以及供应商技术服务人员的一切费用由供应商承担。</w:t>
      </w:r>
    </w:p>
    <w:p w14:paraId="27E24E41">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5.3投标文件中提供所投设备涉及的相关耗材、易损件、零配件的参考报价。</w:t>
      </w:r>
    </w:p>
    <w:p w14:paraId="0047F4F2">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5.4供应商应提供所投产品全套书面和电子版的设备原理、操作及维护培训资料。</w:t>
      </w:r>
    </w:p>
    <w:p w14:paraId="02CECDC2">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5.5供应商应定期进行回访，解决设备运行当中可能出现的疑问，排除潜在的故障，使机组保持正常的工作状态。</w:t>
      </w:r>
    </w:p>
    <w:p w14:paraId="1032F2DD">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5.6供应商应保证十年内能采购到所供货物的相关配件，并保证以不高于市场的价格提供优质的零配件。</w:t>
      </w:r>
    </w:p>
    <w:p w14:paraId="1E25B252">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5.7人员配置要求：</w:t>
      </w:r>
    </w:p>
    <w:p w14:paraId="1CC569E9">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1）投标人拟为本项目配备2名驻场人员，履约期间，负责设备的移机以及二次安装及调试，所需费用应包含在本次投标报价内。（提供人员名单、身份证复印件、与投标人单位签订的劳动合同复印件或其他在职证明材料）</w:t>
      </w:r>
    </w:p>
    <w:p w14:paraId="298E3446">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*（2）本项目服务人员不得更换，如出现不可抗力原因需更换的，必须向采购人提交书面申请，并详细说明更换的原因、替代人员的简历等，经采购人同意后，方可更换。（投标时提供承诺函，格式自拟）</w:t>
      </w:r>
    </w:p>
    <w:p w14:paraId="75E1E487">
      <w:pPr>
        <w:snapToGrid w:val="0"/>
        <w:spacing w:line="360" w:lineRule="auto"/>
        <w:ind w:firstLine="480" w:firstLineChars="200"/>
        <w:jc w:val="left"/>
        <w:rPr>
          <w:rFonts w:ascii="仿宋" w:hAnsi="仿宋" w:eastAsia="仿宋" w:cs="宋体"/>
          <w:sz w:val="24"/>
          <w:szCs w:val="24"/>
        </w:rPr>
      </w:pPr>
      <w:r>
        <w:rPr>
          <w:rFonts w:hint="eastAsia" w:ascii="仿宋" w:hAnsi="仿宋" w:eastAsia="仿宋" w:cs="宋体"/>
          <w:sz w:val="24"/>
          <w:szCs w:val="24"/>
        </w:rPr>
        <w:t>*</w:t>
      </w:r>
      <w:r>
        <w:rPr>
          <w:rFonts w:ascii="仿宋" w:hAnsi="仿宋" w:eastAsia="仿宋" w:cs="宋体"/>
          <w:sz w:val="24"/>
          <w:szCs w:val="24"/>
        </w:rPr>
        <w:t>6</w:t>
      </w:r>
      <w:r>
        <w:rPr>
          <w:rFonts w:hint="eastAsia" w:ascii="仿宋" w:hAnsi="仿宋" w:eastAsia="仿宋" w:cs="宋体"/>
          <w:sz w:val="24"/>
          <w:szCs w:val="24"/>
        </w:rPr>
        <w:t>. 所投产品涉及商品包装和快递包装的，应严格按照《商品包装政府采购需求标准(试行)》、《快递包装政府采购需求标准(试行)》(财办库〔2020〕123 号)的要求进行产品及相关快递服务的包装。</w:t>
      </w:r>
    </w:p>
    <w:p w14:paraId="3ED594E9">
      <w:pPr>
        <w:snapToGrid w:val="0"/>
        <w:spacing w:line="360" w:lineRule="auto"/>
        <w:ind w:firstLine="480" w:firstLineChars="200"/>
        <w:jc w:val="left"/>
        <w:rPr>
          <w:rFonts w:ascii="仿宋" w:hAnsi="仿宋" w:eastAsia="仿宋" w:cs="宋体"/>
          <w:sz w:val="24"/>
          <w:szCs w:val="24"/>
        </w:rPr>
      </w:pPr>
      <w:r>
        <w:rPr>
          <w:rFonts w:hint="eastAsia" w:ascii="仿宋" w:hAnsi="仿宋" w:eastAsia="仿宋" w:cs="宋体"/>
          <w:sz w:val="24"/>
          <w:szCs w:val="24"/>
        </w:rPr>
        <w:t>*7.若投标产品在使用过程中需配套消耗品（耗材），投标人须单独提交《消耗品（耗材）价格清单》作为附件（清单中至少包含5*5规格不锈钢冻存架、PP材质10*10规格2ml冻存盒），该清单须完整列明消耗品（耗材）名称、规格型号及对应单价等核心信息。（清单所示价格不作为投标总价组成部分）</w:t>
      </w:r>
    </w:p>
    <w:p w14:paraId="6B4476F2">
      <w:pPr>
        <w:snapToGrid w:val="0"/>
        <w:spacing w:line="360" w:lineRule="auto"/>
        <w:ind w:firstLine="480" w:firstLineChars="200"/>
        <w:jc w:val="center"/>
        <w:rPr>
          <w:rFonts w:ascii="仿宋" w:hAnsi="仿宋" w:eastAsia="仿宋" w:cs="宋体"/>
          <w:sz w:val="24"/>
          <w:szCs w:val="24"/>
        </w:rPr>
      </w:pPr>
      <w:r>
        <w:rPr>
          <w:rFonts w:ascii="仿宋" w:hAnsi="仿宋" w:eastAsia="仿宋" w:cs="宋体"/>
          <w:sz w:val="24"/>
          <w:szCs w:val="24"/>
        </w:rPr>
        <w:t>消耗品（耗材）价格清单</w:t>
      </w:r>
    </w:p>
    <w:tbl>
      <w:tblPr>
        <w:tblStyle w:val="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3120"/>
        <w:gridCol w:w="2223"/>
        <w:gridCol w:w="2326"/>
      </w:tblGrid>
      <w:tr w14:paraId="695C6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500" w:type="pct"/>
            <w:vAlign w:val="center"/>
          </w:tcPr>
          <w:p w14:paraId="34189F5C">
            <w:pPr>
              <w:snapToGrid w:val="0"/>
              <w:spacing w:line="360" w:lineRule="auto"/>
              <w:rPr>
                <w:rFonts w:ascii="仿宋" w:hAnsi="仿宋" w:eastAsia="仿宋" w:cs="宋体"/>
                <w:sz w:val="24"/>
                <w:szCs w:val="24"/>
              </w:rPr>
            </w:pPr>
            <w:r>
              <w:rPr>
                <w:rFonts w:hint="eastAsia" w:ascii="仿宋" w:hAnsi="仿宋" w:eastAsia="仿宋" w:cs="宋体"/>
                <w:sz w:val="24"/>
                <w:szCs w:val="24"/>
              </w:rPr>
              <w:t>序号</w:t>
            </w:r>
          </w:p>
        </w:tc>
        <w:tc>
          <w:tcPr>
            <w:tcW w:w="1830" w:type="pct"/>
            <w:vAlign w:val="center"/>
          </w:tcPr>
          <w:p w14:paraId="0BE7F7BA">
            <w:pPr>
              <w:snapToGrid w:val="0"/>
              <w:spacing w:line="360" w:lineRule="auto"/>
              <w:ind w:firstLine="480" w:firstLineChars="200"/>
              <w:jc w:val="center"/>
              <w:rPr>
                <w:rFonts w:ascii="仿宋" w:hAnsi="仿宋" w:eastAsia="仿宋" w:cs="宋体"/>
                <w:sz w:val="24"/>
                <w:szCs w:val="24"/>
              </w:rPr>
            </w:pPr>
            <w:r>
              <w:rPr>
                <w:rFonts w:ascii="仿宋" w:hAnsi="仿宋" w:eastAsia="仿宋" w:cs="宋体"/>
                <w:sz w:val="24"/>
                <w:szCs w:val="24"/>
              </w:rPr>
              <w:t>消耗品（耗材）</w:t>
            </w:r>
            <w:r>
              <w:rPr>
                <w:rFonts w:hint="eastAsia" w:ascii="仿宋" w:hAnsi="仿宋" w:eastAsia="仿宋" w:cs="宋体"/>
                <w:sz w:val="24"/>
                <w:szCs w:val="24"/>
              </w:rPr>
              <w:t>名称</w:t>
            </w:r>
          </w:p>
        </w:tc>
        <w:tc>
          <w:tcPr>
            <w:tcW w:w="1304" w:type="pct"/>
            <w:vAlign w:val="center"/>
          </w:tcPr>
          <w:p w14:paraId="510A8261">
            <w:pPr>
              <w:snapToGrid w:val="0"/>
              <w:spacing w:line="360" w:lineRule="auto"/>
              <w:ind w:firstLine="480" w:firstLineChars="200"/>
              <w:jc w:val="center"/>
              <w:rPr>
                <w:rFonts w:ascii="仿宋" w:hAnsi="仿宋" w:eastAsia="仿宋" w:cs="宋体"/>
                <w:sz w:val="24"/>
                <w:szCs w:val="24"/>
              </w:rPr>
            </w:pPr>
            <w:r>
              <w:rPr>
                <w:rFonts w:hint="eastAsia" w:ascii="仿宋" w:hAnsi="仿宋" w:eastAsia="仿宋" w:cs="宋体"/>
                <w:sz w:val="24"/>
                <w:szCs w:val="24"/>
              </w:rPr>
              <w:t>规格</w:t>
            </w:r>
            <w:r>
              <w:rPr>
                <w:rFonts w:ascii="仿宋" w:hAnsi="仿宋" w:eastAsia="仿宋" w:cs="宋体"/>
                <w:sz w:val="24"/>
                <w:szCs w:val="24"/>
              </w:rPr>
              <w:t>型号</w:t>
            </w:r>
          </w:p>
        </w:tc>
        <w:tc>
          <w:tcPr>
            <w:tcW w:w="1364" w:type="pct"/>
            <w:vAlign w:val="center"/>
          </w:tcPr>
          <w:p w14:paraId="376D5A49">
            <w:pPr>
              <w:snapToGrid w:val="0"/>
              <w:spacing w:line="360" w:lineRule="auto"/>
              <w:jc w:val="center"/>
              <w:rPr>
                <w:rFonts w:ascii="仿宋" w:hAnsi="仿宋" w:eastAsia="仿宋" w:cs="宋体"/>
                <w:sz w:val="24"/>
                <w:szCs w:val="24"/>
              </w:rPr>
            </w:pPr>
            <w:r>
              <w:rPr>
                <w:rFonts w:ascii="仿宋" w:hAnsi="仿宋" w:eastAsia="仿宋" w:cs="宋体"/>
                <w:sz w:val="24"/>
                <w:szCs w:val="24"/>
              </w:rPr>
              <w:t>单价（人民币元）</w:t>
            </w:r>
          </w:p>
        </w:tc>
      </w:tr>
      <w:tr w14:paraId="0095A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500" w:type="pct"/>
          </w:tcPr>
          <w:p w14:paraId="3DB7ECF4">
            <w:pPr>
              <w:snapToGrid w:val="0"/>
              <w:jc w:val="center"/>
              <w:rPr>
                <w:rFonts w:ascii="仿宋" w:hAnsi="仿宋" w:eastAsia="仿宋" w:cs="宋体"/>
                <w:sz w:val="24"/>
                <w:szCs w:val="24"/>
              </w:rPr>
            </w:pPr>
            <w:r>
              <w:rPr>
                <w:rFonts w:hint="eastAsia" w:ascii="仿宋" w:hAnsi="仿宋" w:eastAsia="仿宋" w:cs="宋体"/>
                <w:sz w:val="24"/>
                <w:szCs w:val="24"/>
              </w:rPr>
              <w:t>1</w:t>
            </w:r>
          </w:p>
        </w:tc>
        <w:tc>
          <w:tcPr>
            <w:tcW w:w="1830" w:type="pct"/>
          </w:tcPr>
          <w:p w14:paraId="24E2ADCD">
            <w:pPr>
              <w:snapToGrid w:val="0"/>
              <w:spacing w:line="360" w:lineRule="auto"/>
              <w:ind w:firstLine="480" w:firstLineChars="200"/>
              <w:jc w:val="left"/>
              <w:rPr>
                <w:rFonts w:ascii="仿宋" w:hAnsi="仿宋" w:eastAsia="仿宋" w:cs="宋体"/>
                <w:sz w:val="24"/>
                <w:szCs w:val="24"/>
              </w:rPr>
            </w:pPr>
          </w:p>
        </w:tc>
        <w:tc>
          <w:tcPr>
            <w:tcW w:w="1304" w:type="pct"/>
          </w:tcPr>
          <w:p w14:paraId="5975F5E4">
            <w:pPr>
              <w:snapToGrid w:val="0"/>
              <w:spacing w:line="360" w:lineRule="auto"/>
              <w:ind w:firstLine="480" w:firstLineChars="200"/>
              <w:jc w:val="left"/>
              <w:rPr>
                <w:rFonts w:ascii="仿宋" w:hAnsi="仿宋" w:eastAsia="仿宋" w:cs="宋体"/>
                <w:sz w:val="24"/>
                <w:szCs w:val="24"/>
              </w:rPr>
            </w:pPr>
          </w:p>
        </w:tc>
        <w:tc>
          <w:tcPr>
            <w:tcW w:w="1364" w:type="pct"/>
          </w:tcPr>
          <w:p w14:paraId="4091E620">
            <w:pPr>
              <w:snapToGrid w:val="0"/>
              <w:spacing w:line="360" w:lineRule="auto"/>
              <w:ind w:firstLine="480" w:firstLineChars="200"/>
              <w:jc w:val="left"/>
              <w:rPr>
                <w:rFonts w:ascii="仿宋" w:hAnsi="仿宋" w:eastAsia="仿宋" w:cs="宋体"/>
                <w:sz w:val="24"/>
                <w:szCs w:val="24"/>
              </w:rPr>
            </w:pPr>
          </w:p>
        </w:tc>
      </w:tr>
      <w:tr w14:paraId="3D8E4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500" w:type="pct"/>
          </w:tcPr>
          <w:p w14:paraId="757A750A">
            <w:pPr>
              <w:snapToGrid w:val="0"/>
              <w:jc w:val="center"/>
              <w:rPr>
                <w:rFonts w:ascii="仿宋" w:hAnsi="仿宋" w:eastAsia="仿宋" w:cs="宋体"/>
                <w:sz w:val="24"/>
                <w:szCs w:val="24"/>
              </w:rPr>
            </w:pPr>
            <w:r>
              <w:rPr>
                <w:rFonts w:hint="eastAsia" w:ascii="仿宋" w:hAnsi="仿宋" w:eastAsia="仿宋" w:cs="宋体"/>
                <w:sz w:val="24"/>
                <w:szCs w:val="24"/>
              </w:rPr>
              <w:t>2</w:t>
            </w:r>
          </w:p>
        </w:tc>
        <w:tc>
          <w:tcPr>
            <w:tcW w:w="1830" w:type="pct"/>
          </w:tcPr>
          <w:p w14:paraId="11E57AEE">
            <w:pPr>
              <w:snapToGrid w:val="0"/>
              <w:spacing w:line="360" w:lineRule="auto"/>
              <w:ind w:firstLine="480" w:firstLineChars="200"/>
              <w:jc w:val="left"/>
              <w:rPr>
                <w:rFonts w:ascii="仿宋" w:hAnsi="仿宋" w:eastAsia="仿宋" w:cs="宋体"/>
                <w:sz w:val="24"/>
                <w:szCs w:val="24"/>
              </w:rPr>
            </w:pPr>
          </w:p>
        </w:tc>
        <w:tc>
          <w:tcPr>
            <w:tcW w:w="1304" w:type="pct"/>
          </w:tcPr>
          <w:p w14:paraId="39B02B4D">
            <w:pPr>
              <w:snapToGrid w:val="0"/>
              <w:spacing w:line="360" w:lineRule="auto"/>
              <w:ind w:firstLine="480" w:firstLineChars="200"/>
              <w:jc w:val="left"/>
              <w:rPr>
                <w:rFonts w:ascii="仿宋" w:hAnsi="仿宋" w:eastAsia="仿宋" w:cs="宋体"/>
                <w:sz w:val="24"/>
                <w:szCs w:val="24"/>
              </w:rPr>
            </w:pPr>
          </w:p>
        </w:tc>
        <w:tc>
          <w:tcPr>
            <w:tcW w:w="1364" w:type="pct"/>
          </w:tcPr>
          <w:p w14:paraId="46E07F6E">
            <w:pPr>
              <w:snapToGrid w:val="0"/>
              <w:spacing w:line="360" w:lineRule="auto"/>
              <w:ind w:firstLine="480" w:firstLineChars="200"/>
              <w:jc w:val="left"/>
              <w:rPr>
                <w:rFonts w:ascii="仿宋" w:hAnsi="仿宋" w:eastAsia="仿宋" w:cs="宋体"/>
                <w:sz w:val="24"/>
                <w:szCs w:val="24"/>
              </w:rPr>
            </w:pPr>
          </w:p>
        </w:tc>
      </w:tr>
      <w:tr w14:paraId="5EB65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500" w:type="pct"/>
          </w:tcPr>
          <w:p w14:paraId="5FEACFB9">
            <w:pPr>
              <w:snapToGrid w:val="0"/>
              <w:jc w:val="center"/>
              <w:rPr>
                <w:rFonts w:ascii="仿宋" w:hAnsi="仿宋" w:eastAsia="仿宋" w:cs="宋体"/>
                <w:sz w:val="24"/>
                <w:szCs w:val="24"/>
              </w:rPr>
            </w:pPr>
            <w:r>
              <w:rPr>
                <w:rFonts w:hint="eastAsia" w:ascii="仿宋" w:hAnsi="仿宋" w:eastAsia="仿宋" w:cs="宋体"/>
                <w:sz w:val="24"/>
                <w:szCs w:val="24"/>
              </w:rPr>
              <w:t>3</w:t>
            </w:r>
          </w:p>
        </w:tc>
        <w:tc>
          <w:tcPr>
            <w:tcW w:w="1830" w:type="pct"/>
          </w:tcPr>
          <w:p w14:paraId="6F760A08">
            <w:pPr>
              <w:snapToGrid w:val="0"/>
              <w:spacing w:line="360" w:lineRule="auto"/>
              <w:ind w:firstLine="480" w:firstLineChars="200"/>
              <w:jc w:val="left"/>
              <w:rPr>
                <w:rFonts w:ascii="仿宋" w:hAnsi="仿宋" w:eastAsia="仿宋" w:cs="宋体"/>
                <w:sz w:val="24"/>
                <w:szCs w:val="24"/>
              </w:rPr>
            </w:pPr>
          </w:p>
        </w:tc>
        <w:tc>
          <w:tcPr>
            <w:tcW w:w="1304" w:type="pct"/>
          </w:tcPr>
          <w:p w14:paraId="01208A91">
            <w:pPr>
              <w:snapToGrid w:val="0"/>
              <w:spacing w:line="360" w:lineRule="auto"/>
              <w:ind w:firstLine="480" w:firstLineChars="200"/>
              <w:jc w:val="left"/>
              <w:rPr>
                <w:rFonts w:ascii="仿宋" w:hAnsi="仿宋" w:eastAsia="仿宋" w:cs="宋体"/>
                <w:sz w:val="24"/>
                <w:szCs w:val="24"/>
              </w:rPr>
            </w:pPr>
          </w:p>
        </w:tc>
        <w:tc>
          <w:tcPr>
            <w:tcW w:w="1364" w:type="pct"/>
          </w:tcPr>
          <w:p w14:paraId="7DDCCE11">
            <w:pPr>
              <w:snapToGrid w:val="0"/>
              <w:spacing w:line="360" w:lineRule="auto"/>
              <w:ind w:firstLine="480" w:firstLineChars="200"/>
              <w:jc w:val="left"/>
              <w:rPr>
                <w:rFonts w:ascii="仿宋" w:hAnsi="仿宋" w:eastAsia="仿宋" w:cs="宋体"/>
                <w:sz w:val="24"/>
                <w:szCs w:val="24"/>
              </w:rPr>
            </w:pPr>
          </w:p>
        </w:tc>
      </w:tr>
      <w:tr w14:paraId="1F7E0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500" w:type="pct"/>
          </w:tcPr>
          <w:p w14:paraId="014FD227">
            <w:pPr>
              <w:snapToGrid w:val="0"/>
              <w:jc w:val="center"/>
              <w:rPr>
                <w:rFonts w:ascii="仿宋" w:hAnsi="仿宋" w:eastAsia="仿宋" w:cs="宋体"/>
                <w:sz w:val="24"/>
                <w:szCs w:val="24"/>
              </w:rPr>
            </w:pPr>
            <w:r>
              <w:rPr>
                <w:rFonts w:hint="eastAsia" w:ascii="仿宋" w:hAnsi="仿宋" w:eastAsia="仿宋" w:cs="宋体"/>
                <w:sz w:val="24"/>
                <w:szCs w:val="24"/>
              </w:rPr>
              <w:t>...</w:t>
            </w:r>
          </w:p>
        </w:tc>
        <w:tc>
          <w:tcPr>
            <w:tcW w:w="1830" w:type="pct"/>
          </w:tcPr>
          <w:p w14:paraId="665A0A92">
            <w:pPr>
              <w:snapToGrid w:val="0"/>
              <w:spacing w:line="360" w:lineRule="auto"/>
              <w:ind w:firstLine="480" w:firstLineChars="200"/>
              <w:jc w:val="left"/>
              <w:rPr>
                <w:rFonts w:ascii="仿宋" w:hAnsi="仿宋" w:eastAsia="仿宋" w:cs="宋体"/>
                <w:sz w:val="24"/>
                <w:szCs w:val="24"/>
              </w:rPr>
            </w:pPr>
          </w:p>
        </w:tc>
        <w:tc>
          <w:tcPr>
            <w:tcW w:w="1304" w:type="pct"/>
          </w:tcPr>
          <w:p w14:paraId="6FC13BA1">
            <w:pPr>
              <w:snapToGrid w:val="0"/>
              <w:spacing w:line="360" w:lineRule="auto"/>
              <w:ind w:firstLine="480" w:firstLineChars="200"/>
              <w:jc w:val="left"/>
              <w:rPr>
                <w:rFonts w:ascii="仿宋" w:hAnsi="仿宋" w:eastAsia="仿宋" w:cs="宋体"/>
                <w:sz w:val="24"/>
                <w:szCs w:val="24"/>
              </w:rPr>
            </w:pPr>
          </w:p>
        </w:tc>
        <w:tc>
          <w:tcPr>
            <w:tcW w:w="1364" w:type="pct"/>
          </w:tcPr>
          <w:p w14:paraId="51D7520D">
            <w:pPr>
              <w:snapToGrid w:val="0"/>
              <w:spacing w:line="360" w:lineRule="auto"/>
              <w:ind w:firstLine="480" w:firstLineChars="200"/>
              <w:jc w:val="left"/>
              <w:rPr>
                <w:rFonts w:ascii="仿宋" w:hAnsi="仿宋" w:eastAsia="仿宋" w:cs="宋体"/>
                <w:sz w:val="24"/>
                <w:szCs w:val="24"/>
              </w:rPr>
            </w:pPr>
          </w:p>
        </w:tc>
      </w:tr>
      <w:tr w14:paraId="07DA1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500" w:type="pct"/>
          </w:tcPr>
          <w:p w14:paraId="2A0C044B">
            <w:pPr>
              <w:snapToGrid w:val="0"/>
              <w:jc w:val="center"/>
              <w:rPr>
                <w:rFonts w:ascii="仿宋" w:hAnsi="仿宋" w:eastAsia="仿宋" w:cs="宋体"/>
                <w:sz w:val="24"/>
                <w:szCs w:val="24"/>
              </w:rPr>
            </w:pPr>
            <w:r>
              <w:rPr>
                <w:rFonts w:hint="eastAsia" w:ascii="仿宋" w:hAnsi="仿宋" w:eastAsia="仿宋" w:cs="宋体"/>
                <w:sz w:val="24"/>
                <w:szCs w:val="24"/>
              </w:rPr>
              <w:t>...</w:t>
            </w:r>
          </w:p>
        </w:tc>
        <w:tc>
          <w:tcPr>
            <w:tcW w:w="1830" w:type="pct"/>
          </w:tcPr>
          <w:p w14:paraId="3E353603">
            <w:pPr>
              <w:snapToGrid w:val="0"/>
              <w:spacing w:line="360" w:lineRule="auto"/>
              <w:ind w:firstLine="480" w:firstLineChars="200"/>
              <w:jc w:val="left"/>
              <w:rPr>
                <w:rFonts w:ascii="仿宋" w:hAnsi="仿宋" w:eastAsia="仿宋" w:cs="宋体"/>
                <w:sz w:val="24"/>
                <w:szCs w:val="24"/>
              </w:rPr>
            </w:pPr>
          </w:p>
        </w:tc>
        <w:tc>
          <w:tcPr>
            <w:tcW w:w="1304" w:type="pct"/>
          </w:tcPr>
          <w:p w14:paraId="03030D76">
            <w:pPr>
              <w:snapToGrid w:val="0"/>
              <w:spacing w:line="360" w:lineRule="auto"/>
              <w:ind w:firstLine="480" w:firstLineChars="200"/>
              <w:jc w:val="left"/>
              <w:rPr>
                <w:rFonts w:ascii="仿宋" w:hAnsi="仿宋" w:eastAsia="仿宋" w:cs="宋体"/>
                <w:sz w:val="24"/>
                <w:szCs w:val="24"/>
              </w:rPr>
            </w:pPr>
          </w:p>
        </w:tc>
        <w:tc>
          <w:tcPr>
            <w:tcW w:w="1364" w:type="pct"/>
          </w:tcPr>
          <w:p w14:paraId="0E7C5B66">
            <w:pPr>
              <w:snapToGrid w:val="0"/>
              <w:spacing w:line="360" w:lineRule="auto"/>
              <w:ind w:firstLine="480" w:firstLineChars="200"/>
              <w:jc w:val="left"/>
              <w:rPr>
                <w:rFonts w:ascii="仿宋" w:hAnsi="仿宋" w:eastAsia="仿宋" w:cs="宋体"/>
                <w:sz w:val="24"/>
                <w:szCs w:val="24"/>
              </w:rPr>
            </w:pPr>
          </w:p>
        </w:tc>
      </w:tr>
      <w:tr w14:paraId="2B63D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500" w:type="pct"/>
          </w:tcPr>
          <w:p w14:paraId="3048977F">
            <w:pPr>
              <w:snapToGrid w:val="0"/>
              <w:jc w:val="center"/>
              <w:rPr>
                <w:rFonts w:ascii="仿宋" w:hAnsi="仿宋" w:eastAsia="仿宋" w:cs="宋体"/>
                <w:sz w:val="24"/>
                <w:szCs w:val="24"/>
              </w:rPr>
            </w:pPr>
            <w:r>
              <w:rPr>
                <w:rFonts w:hint="eastAsia" w:ascii="仿宋" w:hAnsi="仿宋" w:eastAsia="仿宋" w:cs="宋体"/>
                <w:sz w:val="24"/>
                <w:szCs w:val="24"/>
              </w:rPr>
              <w:t>...</w:t>
            </w:r>
          </w:p>
        </w:tc>
        <w:tc>
          <w:tcPr>
            <w:tcW w:w="1830" w:type="pct"/>
          </w:tcPr>
          <w:p w14:paraId="38A22ABE">
            <w:pPr>
              <w:snapToGrid w:val="0"/>
              <w:spacing w:line="360" w:lineRule="auto"/>
              <w:ind w:firstLine="480" w:firstLineChars="200"/>
              <w:jc w:val="left"/>
              <w:rPr>
                <w:rFonts w:ascii="仿宋" w:hAnsi="仿宋" w:eastAsia="仿宋" w:cs="宋体"/>
                <w:sz w:val="24"/>
                <w:szCs w:val="24"/>
              </w:rPr>
            </w:pPr>
          </w:p>
        </w:tc>
        <w:tc>
          <w:tcPr>
            <w:tcW w:w="1304" w:type="pct"/>
          </w:tcPr>
          <w:p w14:paraId="6AF3E944">
            <w:pPr>
              <w:snapToGrid w:val="0"/>
              <w:spacing w:line="360" w:lineRule="auto"/>
              <w:ind w:firstLine="480" w:firstLineChars="200"/>
              <w:jc w:val="left"/>
              <w:rPr>
                <w:rFonts w:ascii="仿宋" w:hAnsi="仿宋" w:eastAsia="仿宋" w:cs="宋体"/>
                <w:sz w:val="24"/>
                <w:szCs w:val="24"/>
              </w:rPr>
            </w:pPr>
          </w:p>
        </w:tc>
        <w:tc>
          <w:tcPr>
            <w:tcW w:w="1364" w:type="pct"/>
          </w:tcPr>
          <w:p w14:paraId="4B984FA8">
            <w:pPr>
              <w:snapToGrid w:val="0"/>
              <w:spacing w:line="360" w:lineRule="auto"/>
              <w:ind w:firstLine="480" w:firstLineChars="200"/>
              <w:jc w:val="left"/>
              <w:rPr>
                <w:rFonts w:ascii="仿宋" w:hAnsi="仿宋" w:eastAsia="仿宋" w:cs="宋体"/>
                <w:sz w:val="24"/>
                <w:szCs w:val="24"/>
              </w:rPr>
            </w:pPr>
          </w:p>
        </w:tc>
      </w:tr>
    </w:tbl>
    <w:p w14:paraId="0A03CFCD">
      <w:pPr>
        <w:snapToGrid w:val="0"/>
        <w:spacing w:line="360" w:lineRule="auto"/>
        <w:ind w:firstLine="480" w:firstLineChars="200"/>
        <w:jc w:val="left"/>
        <w:rPr>
          <w:rFonts w:ascii="仿宋" w:hAnsi="仿宋" w:eastAsia="仿宋" w:cs="宋体"/>
          <w:sz w:val="24"/>
          <w:szCs w:val="24"/>
        </w:rPr>
      </w:pPr>
    </w:p>
    <w:p w14:paraId="71CF449E">
      <w:pPr>
        <w:snapToGrid w:val="0"/>
        <w:spacing w:line="360" w:lineRule="auto"/>
        <w:ind w:firstLine="480" w:firstLineChars="200"/>
        <w:jc w:val="left"/>
        <w:rPr>
          <w:rFonts w:ascii="仿宋" w:hAnsi="仿宋" w:eastAsia="仿宋" w:cs="宋体"/>
          <w:sz w:val="24"/>
          <w:szCs w:val="24"/>
        </w:rPr>
      </w:pPr>
      <w:r>
        <w:rPr>
          <w:rFonts w:hint="eastAsia" w:ascii="仿宋" w:hAnsi="仿宋" w:eastAsia="仿宋" w:cs="宋体"/>
          <w:sz w:val="24"/>
          <w:szCs w:val="24"/>
        </w:rPr>
        <w:t>供应商名称(盖章）:</w:t>
      </w:r>
    </w:p>
    <w:p w14:paraId="50F35A4C">
      <w:pPr>
        <w:snapToGrid w:val="0"/>
        <w:spacing w:line="360" w:lineRule="auto"/>
        <w:ind w:firstLine="480" w:firstLineChars="200"/>
        <w:jc w:val="left"/>
        <w:rPr>
          <w:rFonts w:ascii="仿宋" w:hAnsi="仿宋" w:eastAsia="仿宋" w:cs="宋体"/>
          <w:sz w:val="24"/>
          <w:szCs w:val="24"/>
        </w:rPr>
      </w:pPr>
    </w:p>
    <w:p w14:paraId="4ACD7375">
      <w:pPr>
        <w:keepNext/>
        <w:keepLines/>
        <w:spacing w:line="360" w:lineRule="auto"/>
        <w:outlineLvl w:val="2"/>
        <w:rPr>
          <w:rFonts w:ascii="仿宋" w:hAnsi="仿宋" w:eastAsia="仿宋" w:cs="仿宋"/>
          <w:b/>
          <w:bCs/>
          <w:sz w:val="24"/>
          <w:szCs w:val="24"/>
        </w:rPr>
      </w:pPr>
      <w:r>
        <w:rPr>
          <w:rFonts w:hint="eastAsia" w:ascii="仿宋" w:hAnsi="仿宋" w:eastAsia="仿宋" w:cs="仿宋"/>
          <w:b/>
          <w:bCs/>
          <w:sz w:val="24"/>
          <w:szCs w:val="24"/>
        </w:rPr>
        <w:t>02包：</w:t>
      </w:r>
    </w:p>
    <w:p w14:paraId="3F2F1F36">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*1. 履约时间和地点</w:t>
      </w:r>
    </w:p>
    <w:p w14:paraId="2BA04F54">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1.1 履约时间：合同签定后，在接到采购人正式通知之日起的</w:t>
      </w:r>
      <w:r>
        <w:rPr>
          <w:rFonts w:ascii="仿宋" w:hAnsi="仿宋" w:eastAsia="仿宋" w:cs="宋体"/>
          <w:sz w:val="24"/>
          <w:szCs w:val="24"/>
        </w:rPr>
        <w:t>60</w:t>
      </w:r>
      <w:r>
        <w:rPr>
          <w:rFonts w:hint="eastAsia" w:ascii="仿宋" w:hAnsi="仿宋" w:eastAsia="仿宋" w:cs="宋体"/>
          <w:sz w:val="24"/>
          <w:szCs w:val="24"/>
        </w:rPr>
        <w:t>天内。</w:t>
      </w:r>
    </w:p>
    <w:p w14:paraId="349B8A6F">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1.2 履约地点:四川大学华西医院</w:t>
      </w:r>
    </w:p>
    <w:p w14:paraId="731D82A6">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*2．付款方法和条件:</w:t>
      </w:r>
    </w:p>
    <w:p w14:paraId="07510007">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2.1本采购包为据实结算，按实际发生供货量*统一折扣*单价最高限价进行结算，采购人收到供应商发票后10个工作日内支付该批次产品金额的100%，最终结算金额不得超出本采购包预算金额。</w:t>
      </w:r>
    </w:p>
    <w:p w14:paraId="7FA87A9F">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2.2报价方式：供应商以统一折扣进行报价【例如产品的单价最高限价为10元，供应商产品的统一折扣报价为：80%（即8折），结算时按8元进行结算)】。</w:t>
      </w:r>
    </w:p>
    <w:p w14:paraId="2B8CD3EC">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3.安装调试及培训</w:t>
      </w:r>
    </w:p>
    <w:p w14:paraId="0D23B377">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*3.1货物到达安装现场后，供应商接到采购人通知后7日内到达现场组织安装、调试，达到正常运行要求，保证采购人正常使用。所需的费用包括在投标总价格中。</w:t>
      </w:r>
    </w:p>
    <w:p w14:paraId="66AD4F8D">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3.2供应商安排技术人员应就设备的安装、调试、操作、维修、保养等对采购人维修技术人员进行培训和技术支持,直至采购人的技术人员能独立操作，同时能完成一般常见故障的维修工作。</w:t>
      </w:r>
    </w:p>
    <w:p w14:paraId="69D4998D">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w:t>
      </w:r>
      <w:r>
        <w:rPr>
          <w:rFonts w:ascii="仿宋" w:hAnsi="仿宋" w:eastAsia="仿宋" w:cs="宋体"/>
          <w:sz w:val="24"/>
          <w:szCs w:val="24"/>
        </w:rPr>
        <w:t>4</w:t>
      </w:r>
      <w:r>
        <w:rPr>
          <w:rFonts w:hint="eastAsia" w:ascii="仿宋" w:hAnsi="仿宋" w:eastAsia="仿宋" w:cs="宋体"/>
          <w:sz w:val="24"/>
          <w:szCs w:val="24"/>
        </w:rPr>
        <w:t>.履约验收</w:t>
      </w:r>
    </w:p>
    <w:p w14:paraId="7D96D9F9">
      <w:pPr>
        <w:snapToGrid w:val="0"/>
        <w:spacing w:line="360" w:lineRule="auto"/>
        <w:ind w:firstLine="240" w:firstLineChars="100"/>
        <w:jc w:val="left"/>
        <w:rPr>
          <w:rFonts w:ascii="仿宋" w:hAnsi="仿宋" w:eastAsia="仿宋" w:cs="宋体"/>
          <w:sz w:val="24"/>
          <w:szCs w:val="24"/>
        </w:rPr>
      </w:pPr>
      <w:r>
        <w:rPr>
          <w:rFonts w:ascii="仿宋" w:hAnsi="仿宋" w:eastAsia="仿宋" w:cs="宋体"/>
          <w:sz w:val="24"/>
          <w:szCs w:val="24"/>
        </w:rPr>
        <w:t>4</w:t>
      </w:r>
      <w:r>
        <w:rPr>
          <w:rFonts w:hint="eastAsia" w:ascii="仿宋" w:hAnsi="仿宋" w:eastAsia="仿宋" w:cs="宋体"/>
          <w:sz w:val="24"/>
          <w:szCs w:val="24"/>
        </w:rPr>
        <w:t>.1履约验收主体：四川大学华西医院</w:t>
      </w:r>
    </w:p>
    <w:p w14:paraId="2D6B6DE7">
      <w:pPr>
        <w:snapToGrid w:val="0"/>
        <w:spacing w:line="360" w:lineRule="auto"/>
        <w:ind w:firstLine="240" w:firstLineChars="100"/>
        <w:jc w:val="left"/>
        <w:rPr>
          <w:rFonts w:ascii="仿宋" w:hAnsi="仿宋" w:eastAsia="仿宋" w:cs="宋体"/>
          <w:sz w:val="24"/>
          <w:szCs w:val="24"/>
        </w:rPr>
      </w:pPr>
      <w:r>
        <w:rPr>
          <w:rFonts w:ascii="仿宋" w:hAnsi="仿宋" w:eastAsia="仿宋" w:cs="宋体"/>
          <w:sz w:val="24"/>
          <w:szCs w:val="24"/>
        </w:rPr>
        <w:t>4</w:t>
      </w:r>
      <w:r>
        <w:rPr>
          <w:rFonts w:hint="eastAsia" w:ascii="仿宋" w:hAnsi="仿宋" w:eastAsia="仿宋" w:cs="宋体"/>
          <w:sz w:val="24"/>
          <w:szCs w:val="24"/>
        </w:rPr>
        <w:t>.2履约验收程序：一次性验收</w:t>
      </w:r>
    </w:p>
    <w:p w14:paraId="6A8B3E4B">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4.</w:t>
      </w:r>
      <w:r>
        <w:rPr>
          <w:rFonts w:ascii="仿宋" w:hAnsi="仿宋" w:eastAsia="仿宋" w:cs="宋体"/>
          <w:sz w:val="24"/>
          <w:szCs w:val="24"/>
        </w:rPr>
        <w:t>3</w:t>
      </w:r>
      <w:r>
        <w:rPr>
          <w:rFonts w:hint="eastAsia" w:ascii="仿宋" w:hAnsi="仿宋" w:eastAsia="仿宋" w:cs="宋体"/>
          <w:sz w:val="24"/>
          <w:szCs w:val="24"/>
        </w:rPr>
        <w:t>验收方法：验收时采购人、供应商双方皆应派员参加，验收合格后需双方签署验收单；</w:t>
      </w:r>
    </w:p>
    <w:p w14:paraId="0997433A">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4.</w:t>
      </w:r>
      <w:r>
        <w:rPr>
          <w:rFonts w:ascii="仿宋" w:hAnsi="仿宋" w:eastAsia="仿宋" w:cs="宋体"/>
          <w:sz w:val="24"/>
          <w:szCs w:val="24"/>
        </w:rPr>
        <w:t>4</w:t>
      </w:r>
      <w:r>
        <w:rPr>
          <w:rFonts w:hint="eastAsia" w:ascii="仿宋" w:hAnsi="仿宋" w:eastAsia="仿宋" w:cs="宋体"/>
          <w:sz w:val="24"/>
          <w:szCs w:val="24"/>
        </w:rPr>
        <w:t>验收标准及内容：以中标人投标文件技术参数及合同要求和相关行业标准进行验收。</w:t>
      </w:r>
    </w:p>
    <w:p w14:paraId="7BBFE276">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4.</w:t>
      </w:r>
      <w:r>
        <w:rPr>
          <w:rFonts w:ascii="仿宋" w:hAnsi="仿宋" w:eastAsia="仿宋" w:cs="宋体"/>
          <w:sz w:val="24"/>
          <w:szCs w:val="24"/>
        </w:rPr>
        <w:t>5</w:t>
      </w:r>
      <w:r>
        <w:rPr>
          <w:rFonts w:hint="eastAsia" w:ascii="仿宋" w:hAnsi="仿宋" w:eastAsia="仿宋" w:cs="宋体"/>
          <w:sz w:val="24"/>
          <w:szCs w:val="24"/>
        </w:rPr>
        <w:t>验收时间要求：中标人按照合同要求完成全部工作后，采购人在收到中标人书面的验收申请材料后30日内组织履约验收工作。</w:t>
      </w:r>
    </w:p>
    <w:p w14:paraId="3F066530">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4.</w:t>
      </w:r>
      <w:r>
        <w:rPr>
          <w:rFonts w:ascii="仿宋" w:hAnsi="仿宋" w:eastAsia="仿宋" w:cs="宋体"/>
          <w:sz w:val="24"/>
          <w:szCs w:val="24"/>
        </w:rPr>
        <w:t>6</w:t>
      </w:r>
      <w:r>
        <w:rPr>
          <w:rFonts w:hint="eastAsia" w:ascii="仿宋" w:hAnsi="仿宋" w:eastAsia="仿宋" w:cs="宋体"/>
          <w:sz w:val="24"/>
          <w:szCs w:val="24"/>
        </w:rPr>
        <w:t>其他要求：验收不合格时，采购人和中标人应协商一致，中标人应根据相关验收证明材料及时补足或更换，费用由中标人自行承担。</w:t>
      </w:r>
    </w:p>
    <w:p w14:paraId="099D7FCB">
      <w:pPr>
        <w:snapToGrid w:val="0"/>
        <w:spacing w:line="360" w:lineRule="auto"/>
        <w:ind w:firstLine="240" w:firstLineChars="100"/>
        <w:jc w:val="left"/>
        <w:rPr>
          <w:rFonts w:ascii="仿宋" w:hAnsi="仿宋" w:eastAsia="仿宋" w:cs="宋体"/>
          <w:sz w:val="24"/>
          <w:szCs w:val="24"/>
        </w:rPr>
      </w:pPr>
      <w:r>
        <w:rPr>
          <w:rFonts w:ascii="仿宋" w:hAnsi="仿宋" w:eastAsia="仿宋" w:cs="宋体"/>
          <w:sz w:val="24"/>
          <w:szCs w:val="24"/>
        </w:rPr>
        <w:t>5</w:t>
      </w:r>
      <w:r>
        <w:rPr>
          <w:rFonts w:hint="eastAsia" w:ascii="仿宋" w:hAnsi="仿宋" w:eastAsia="仿宋" w:cs="宋体"/>
          <w:sz w:val="24"/>
          <w:szCs w:val="24"/>
        </w:rPr>
        <w:t>.售后服务</w:t>
      </w:r>
    </w:p>
    <w:p w14:paraId="5745CFBC">
      <w:pPr>
        <w:snapToGrid w:val="0"/>
        <w:spacing w:line="360" w:lineRule="auto"/>
        <w:ind w:firstLine="240" w:firstLineChars="100"/>
        <w:jc w:val="left"/>
        <w:rPr>
          <w:rFonts w:ascii="仿宋" w:hAnsi="仿宋" w:eastAsia="仿宋" w:cs="宋体"/>
          <w:sz w:val="24"/>
          <w:szCs w:val="24"/>
        </w:rPr>
      </w:pPr>
      <w:r>
        <w:rPr>
          <w:rFonts w:ascii="仿宋" w:hAnsi="仿宋" w:eastAsia="仿宋" w:cs="宋体"/>
          <w:sz w:val="24"/>
          <w:szCs w:val="24"/>
        </w:rPr>
        <w:t>5</w:t>
      </w:r>
      <w:r>
        <w:rPr>
          <w:rFonts w:hint="eastAsia" w:ascii="仿宋" w:hAnsi="仿宋" w:eastAsia="仿宋" w:cs="宋体"/>
          <w:sz w:val="24"/>
          <w:szCs w:val="24"/>
        </w:rPr>
        <w:t>.1维修响应要求</w:t>
      </w:r>
    </w:p>
    <w:p w14:paraId="736936D2">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维修响应时间要求：应在接到采购人维修通知的前提下</w:t>
      </w:r>
      <w:r>
        <w:rPr>
          <w:rFonts w:ascii="仿宋" w:hAnsi="仿宋" w:eastAsia="仿宋" w:cs="宋体"/>
          <w:sz w:val="24"/>
          <w:szCs w:val="24"/>
        </w:rPr>
        <w:t>2</w:t>
      </w:r>
      <w:r>
        <w:rPr>
          <w:rFonts w:hint="eastAsia" w:ascii="仿宋" w:hAnsi="仿宋" w:eastAsia="仿宋" w:cs="宋体"/>
          <w:sz w:val="24"/>
          <w:szCs w:val="24"/>
        </w:rPr>
        <w:t>个小时内作出维修响应；</w:t>
      </w:r>
    </w:p>
    <w:p w14:paraId="6E833C08">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维修时间要求：作出维修响应后，应在3小时内电话解决问题，如电话不能解决问题，则维修人员应在24小时之内到达现场（含节假日）进行维修。</w:t>
      </w:r>
    </w:p>
    <w:p w14:paraId="59E3454F">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如设备需返厂维修，维修期间须提供备用样机。</w:t>
      </w:r>
    </w:p>
    <w:p w14:paraId="7FA6B1E0">
      <w:pPr>
        <w:snapToGrid w:val="0"/>
        <w:spacing w:line="360" w:lineRule="auto"/>
        <w:ind w:firstLine="240" w:firstLineChars="100"/>
        <w:jc w:val="left"/>
        <w:rPr>
          <w:rFonts w:ascii="仿宋" w:hAnsi="仿宋" w:eastAsia="仿宋" w:cs="宋体"/>
          <w:sz w:val="24"/>
          <w:szCs w:val="24"/>
        </w:rPr>
      </w:pPr>
      <w:r>
        <w:rPr>
          <w:rFonts w:ascii="仿宋" w:hAnsi="仿宋" w:eastAsia="仿宋" w:cs="宋体"/>
          <w:sz w:val="24"/>
          <w:szCs w:val="24"/>
        </w:rPr>
        <w:t>*5</w:t>
      </w:r>
      <w:r>
        <w:rPr>
          <w:rFonts w:hint="eastAsia" w:ascii="仿宋" w:hAnsi="仿宋" w:eastAsia="仿宋" w:cs="宋体"/>
          <w:sz w:val="24"/>
          <w:szCs w:val="24"/>
        </w:rPr>
        <w:t>.2质保要求</w:t>
      </w:r>
    </w:p>
    <w:p w14:paraId="5697AD47">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（1）以验收合格之日起算，质保期≥</w:t>
      </w:r>
      <w:r>
        <w:rPr>
          <w:rFonts w:ascii="仿宋" w:hAnsi="仿宋" w:eastAsia="仿宋" w:cs="宋体"/>
          <w:sz w:val="24"/>
          <w:szCs w:val="24"/>
        </w:rPr>
        <w:t>3</w:t>
      </w:r>
      <w:r>
        <w:rPr>
          <w:rFonts w:hint="eastAsia" w:ascii="仿宋" w:hAnsi="仿宋" w:eastAsia="仿宋" w:cs="宋体"/>
          <w:sz w:val="24"/>
          <w:szCs w:val="24"/>
        </w:rPr>
        <w:t>年。质保期后，供应商终生提供及时的维修、维护，维修只收取材料成本费。每台设备全包年保修费用不超过设备成交价的5%。</w:t>
      </w:r>
    </w:p>
    <w:p w14:paraId="4D812350">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（2）质保期内供应商应负责设备的维修及抢修以及及时提供所更换的零部件，维修更换的材料和配件以及供应商技术服务人员的一切费用由供应商承担。</w:t>
      </w:r>
    </w:p>
    <w:p w14:paraId="1D740972">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5.3投标文件中提供所投设备涉及的相关耗材、易损件、零配件的参考报价。</w:t>
      </w:r>
    </w:p>
    <w:p w14:paraId="7DE8C007">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5.4供应商应提供所投产品全套书面和电子版的设备原理、操作及维护培训资料。</w:t>
      </w:r>
    </w:p>
    <w:p w14:paraId="3F037D32">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5.5供应商应定期进行回访，解决设备运行当中可能出现的疑问，排除潜在的故障，使机组保持正常的工作状态。</w:t>
      </w:r>
    </w:p>
    <w:p w14:paraId="73C9EDD5">
      <w:pPr>
        <w:snapToGrid w:val="0"/>
        <w:spacing w:line="360" w:lineRule="auto"/>
        <w:ind w:firstLine="240" w:firstLineChars="100"/>
        <w:jc w:val="left"/>
        <w:rPr>
          <w:rFonts w:ascii="仿宋" w:hAnsi="仿宋" w:eastAsia="仿宋" w:cs="宋体"/>
          <w:sz w:val="24"/>
          <w:szCs w:val="24"/>
        </w:rPr>
      </w:pPr>
      <w:r>
        <w:rPr>
          <w:rFonts w:hint="eastAsia" w:ascii="仿宋" w:hAnsi="仿宋" w:eastAsia="仿宋" w:cs="宋体"/>
          <w:sz w:val="24"/>
          <w:szCs w:val="24"/>
        </w:rPr>
        <w:t>5.6供应商应保证十年内能采购到所供货物的相关配件，并保证以不高于市场的价格提供优质的零配件。</w:t>
      </w:r>
    </w:p>
    <w:p w14:paraId="70873CBA">
      <w:pPr>
        <w:snapToGrid w:val="0"/>
        <w:spacing w:line="360" w:lineRule="auto"/>
        <w:ind w:firstLine="480" w:firstLineChars="200"/>
        <w:jc w:val="left"/>
        <w:rPr>
          <w:rFonts w:ascii="仿宋" w:hAnsi="仿宋" w:eastAsia="仿宋" w:cs="宋体"/>
          <w:sz w:val="24"/>
          <w:szCs w:val="24"/>
        </w:rPr>
      </w:pPr>
      <w:r>
        <w:rPr>
          <w:rFonts w:hint="eastAsia" w:ascii="仿宋" w:hAnsi="仿宋" w:eastAsia="仿宋" w:cs="宋体"/>
          <w:sz w:val="24"/>
          <w:szCs w:val="24"/>
        </w:rPr>
        <w:t>*</w:t>
      </w:r>
      <w:r>
        <w:rPr>
          <w:rFonts w:ascii="仿宋" w:hAnsi="仿宋" w:eastAsia="仿宋" w:cs="宋体"/>
          <w:sz w:val="24"/>
          <w:szCs w:val="24"/>
        </w:rPr>
        <w:t>6</w:t>
      </w:r>
      <w:r>
        <w:rPr>
          <w:rFonts w:hint="eastAsia" w:ascii="仿宋" w:hAnsi="仿宋" w:eastAsia="仿宋" w:cs="宋体"/>
          <w:sz w:val="24"/>
          <w:szCs w:val="24"/>
        </w:rPr>
        <w:t>. 所投产品涉及商品包装和快递包装的，应严格按照《商品包装政府采购需求标准(试行)》、《快递包装政府采购需求标准(试行)》(财办库〔2020〕123 号)的要求进行产品及相关快递服务的包装。</w:t>
      </w:r>
    </w:p>
    <w:p w14:paraId="517F7FCA">
      <w:pPr>
        <w:snapToGrid w:val="0"/>
        <w:spacing w:line="360" w:lineRule="auto"/>
        <w:ind w:firstLine="480" w:firstLineChars="200"/>
        <w:jc w:val="left"/>
        <w:rPr>
          <w:rFonts w:ascii="仿宋" w:hAnsi="仿宋" w:eastAsia="仿宋" w:cs="宋体"/>
          <w:sz w:val="24"/>
          <w:szCs w:val="24"/>
        </w:rPr>
      </w:pPr>
    </w:p>
    <w:p w14:paraId="29DC2E38">
      <w:pPr>
        <w:snapToGrid w:val="0"/>
        <w:spacing w:line="360" w:lineRule="auto"/>
        <w:ind w:firstLine="480" w:firstLineChars="200"/>
        <w:jc w:val="left"/>
        <w:rPr>
          <w:rFonts w:ascii="仿宋" w:hAnsi="仿宋" w:eastAsia="仿宋" w:cs="宋体"/>
          <w:sz w:val="24"/>
          <w:szCs w:val="24"/>
        </w:rPr>
      </w:pPr>
    </w:p>
    <w:p w14:paraId="19E5BAE1">
      <w:pPr>
        <w:snapToGrid w:val="0"/>
        <w:spacing w:line="360" w:lineRule="auto"/>
        <w:ind w:firstLine="480" w:firstLineChars="200"/>
        <w:jc w:val="left"/>
        <w:rPr>
          <w:rFonts w:ascii="仿宋" w:hAnsi="仿宋" w:eastAsia="仿宋" w:cs="宋体"/>
          <w:sz w:val="24"/>
          <w:szCs w:val="24"/>
        </w:rPr>
      </w:pPr>
    </w:p>
    <w:p w14:paraId="2D9CC54E">
      <w:pPr>
        <w:snapToGrid w:val="0"/>
        <w:spacing w:line="360" w:lineRule="auto"/>
        <w:ind w:firstLine="480" w:firstLineChars="200"/>
        <w:jc w:val="left"/>
        <w:rPr>
          <w:rFonts w:ascii="仿宋" w:hAnsi="仿宋" w:eastAsia="仿宋" w:cs="宋体"/>
          <w:sz w:val="24"/>
          <w:szCs w:val="24"/>
        </w:rPr>
      </w:pPr>
    </w:p>
    <w:p w14:paraId="33D110A1">
      <w:pPr>
        <w:snapToGrid w:val="0"/>
        <w:spacing w:line="360" w:lineRule="auto"/>
        <w:ind w:firstLine="480" w:firstLineChars="200"/>
        <w:jc w:val="left"/>
        <w:rPr>
          <w:rFonts w:ascii="仿宋" w:hAnsi="仿宋" w:eastAsia="仿宋" w:cs="宋体"/>
          <w:sz w:val="24"/>
          <w:szCs w:val="24"/>
        </w:rPr>
      </w:pPr>
    </w:p>
    <w:p w14:paraId="06570A48">
      <w:pPr>
        <w:keepNext/>
        <w:keepLines/>
        <w:numPr>
          <w:ilvl w:val="0"/>
          <w:numId w:val="1"/>
        </w:numPr>
        <w:spacing w:before="260" w:after="260" w:line="400" w:lineRule="exact"/>
        <w:ind w:firstLine="236" w:firstLineChars="98"/>
        <w:outlineLvl w:val="1"/>
        <w:rPr>
          <w:rFonts w:ascii="仿宋" w:hAnsi="仿宋" w:eastAsia="仿宋" w:cs="Times New Roman"/>
          <w:b/>
          <w:bCs/>
          <w:sz w:val="24"/>
          <w:szCs w:val="24"/>
        </w:rPr>
      </w:pPr>
      <w:r>
        <w:rPr>
          <w:rFonts w:hint="eastAsia" w:ascii="仿宋" w:hAnsi="仿宋" w:eastAsia="仿宋" w:cs="Times New Roman"/>
          <w:b/>
          <w:bCs/>
          <w:sz w:val="24"/>
          <w:szCs w:val="24"/>
        </w:rPr>
        <w:t>技术、服务要求</w:t>
      </w:r>
      <w:bookmarkEnd w:id="1"/>
      <w:r>
        <w:rPr>
          <w:rFonts w:hint="eastAsia" w:ascii="仿宋" w:hAnsi="仿宋" w:eastAsia="仿宋" w:cs="Times New Roman"/>
          <w:b/>
          <w:bCs/>
          <w:sz w:val="24"/>
          <w:szCs w:val="24"/>
        </w:rPr>
        <w:t>（单套设备技术参数要求）</w:t>
      </w:r>
    </w:p>
    <w:p w14:paraId="5A7175B7">
      <w:pPr>
        <w:keepNext/>
        <w:keepLines/>
        <w:spacing w:line="360" w:lineRule="auto"/>
        <w:outlineLvl w:val="2"/>
        <w:rPr>
          <w:rFonts w:ascii="仿宋" w:hAnsi="仿宋" w:eastAsia="仿宋" w:cs="仿宋"/>
          <w:b/>
          <w:bCs/>
          <w:sz w:val="24"/>
          <w:szCs w:val="24"/>
        </w:rPr>
      </w:pPr>
      <w:r>
        <w:rPr>
          <w:rFonts w:hint="eastAsia" w:ascii="仿宋" w:hAnsi="仿宋" w:eastAsia="仿宋" w:cs="仿宋"/>
          <w:b/>
          <w:bCs/>
          <w:sz w:val="24"/>
          <w:szCs w:val="24"/>
        </w:rPr>
        <w:t>01包：</w:t>
      </w:r>
    </w:p>
    <w:p w14:paraId="263EA9DE">
      <w:pPr>
        <w:keepNext/>
        <w:keepLines/>
        <w:wordWrap w:val="0"/>
        <w:topLinePunct/>
        <w:spacing w:line="360" w:lineRule="auto"/>
        <w:outlineLvl w:val="2"/>
        <w:rPr>
          <w:rFonts w:ascii="仿宋" w:hAnsi="仿宋" w:eastAsia="仿宋" w:cs="Times New Roman"/>
          <w:b/>
          <w:bCs/>
          <w:sz w:val="24"/>
          <w:szCs w:val="24"/>
        </w:rPr>
      </w:pPr>
      <w:r>
        <w:rPr>
          <w:rFonts w:hint="eastAsia" w:ascii="仿宋" w:hAnsi="仿宋" w:eastAsia="仿宋" w:cs="Times New Roman"/>
          <w:b/>
          <w:bCs/>
          <w:sz w:val="24"/>
          <w:szCs w:val="24"/>
        </w:rPr>
        <w:t>品目号1-1：超低温冰箱（配置一）</w:t>
      </w:r>
    </w:p>
    <w:p w14:paraId="1807B1F3">
      <w:pPr>
        <w:wordWrap w:val="0"/>
        <w:topLinePunct/>
        <w:spacing w:line="360" w:lineRule="auto"/>
        <w:rPr>
          <w:rFonts w:ascii="仿宋" w:hAnsi="仿宋" w:eastAsia="仿宋" w:cs="宋体"/>
          <w:bCs/>
          <w:sz w:val="24"/>
          <w:szCs w:val="24"/>
        </w:rPr>
      </w:pPr>
      <w:r>
        <w:rPr>
          <w:rFonts w:hint="eastAsia" w:ascii="仿宋" w:hAnsi="仿宋" w:eastAsia="仿宋" w:cs="宋体"/>
          <w:bCs/>
          <w:sz w:val="24"/>
          <w:szCs w:val="24"/>
        </w:rPr>
        <w:t>★1、样式：立式；有效容积≥570L；整机宽度≤900mm，整机装箱量≥400个冻存盒，整机样本量≥40000份（2ml冻存管）；</w:t>
      </w:r>
    </w:p>
    <w:p w14:paraId="4745FCF4">
      <w:pPr>
        <w:wordWrap w:val="0"/>
        <w:topLinePunct/>
        <w:autoSpaceDE w:val="0"/>
        <w:autoSpaceDN w:val="0"/>
        <w:adjustRightInd w:val="0"/>
        <w:spacing w:line="360" w:lineRule="auto"/>
        <w:jc w:val="left"/>
        <w:rPr>
          <w:rFonts w:ascii="仿宋" w:hAnsi="仿宋" w:eastAsia="仿宋" w:cs="宋体"/>
          <w:bCs/>
          <w:sz w:val="24"/>
          <w:szCs w:val="24"/>
        </w:rPr>
      </w:pPr>
      <w:r>
        <w:rPr>
          <w:rFonts w:hint="eastAsia" w:ascii="仿宋" w:hAnsi="仿宋" w:eastAsia="仿宋" w:cs="宋体"/>
          <w:bCs/>
          <w:sz w:val="24"/>
          <w:szCs w:val="24"/>
        </w:rPr>
        <w:t>*2、采用碳氢无氟制冷剂，每个压缩机灌注≤2种制冷剂，制冷剂≤130g（提供所投设备的铭牌实物图片予以证明）；</w:t>
      </w:r>
    </w:p>
    <w:p w14:paraId="20C5B600">
      <w:pPr>
        <w:wordWrap w:val="0"/>
        <w:topLinePunct/>
        <w:spacing w:line="360" w:lineRule="auto"/>
        <w:rPr>
          <w:rFonts w:ascii="仿宋" w:hAnsi="仿宋" w:eastAsia="仿宋" w:cs="宋体"/>
          <w:bCs/>
          <w:color w:val="000000"/>
          <w:sz w:val="24"/>
          <w:szCs w:val="24"/>
        </w:rPr>
      </w:pPr>
      <w:r>
        <w:rPr>
          <w:rFonts w:hint="eastAsia" w:ascii="仿宋" w:hAnsi="仿宋" w:eastAsia="仿宋" w:cs="宋体"/>
          <w:bCs/>
          <w:sz w:val="24"/>
          <w:szCs w:val="24"/>
        </w:rPr>
        <w:t>3、微电脑控</w:t>
      </w:r>
      <w:r>
        <w:rPr>
          <w:rFonts w:hint="eastAsia" w:ascii="仿宋" w:hAnsi="仿宋" w:eastAsia="仿宋" w:cs="宋体"/>
          <w:bCs/>
          <w:color w:val="000000"/>
          <w:sz w:val="24"/>
          <w:szCs w:val="24"/>
        </w:rPr>
        <w:t>制，箱内温度-40℃~-86℃可调，LCD显示屏≥10英寸</w:t>
      </w:r>
      <w:r>
        <w:rPr>
          <w:rFonts w:hint="eastAsia" w:ascii="仿宋" w:hAnsi="仿宋" w:eastAsia="仿宋" w:cs="宋体"/>
          <w:bCs/>
          <w:sz w:val="24"/>
          <w:szCs w:val="24"/>
        </w:rPr>
        <w:t>，可显示箱内温度、设定温度、环境温度、输入电压。可设定高低温报警和箱内温度，具有故障提示预警功能</w:t>
      </w:r>
      <w:r>
        <w:rPr>
          <w:rFonts w:hint="eastAsia" w:ascii="仿宋" w:hAnsi="仿宋" w:eastAsia="仿宋" w:cs="宋体"/>
          <w:bCs/>
          <w:color w:val="000000"/>
          <w:sz w:val="24"/>
          <w:szCs w:val="24"/>
        </w:rPr>
        <w:t>；</w:t>
      </w:r>
    </w:p>
    <w:p w14:paraId="626772E2">
      <w:pPr>
        <w:wordWrap w:val="0"/>
        <w:topLinePunct/>
        <w:spacing w:line="360" w:lineRule="auto"/>
        <w:rPr>
          <w:rFonts w:ascii="仿宋" w:hAnsi="仿宋" w:eastAsia="仿宋" w:cs="宋体"/>
          <w:bCs/>
          <w:color w:val="000000"/>
          <w:sz w:val="24"/>
          <w:szCs w:val="24"/>
        </w:rPr>
      </w:pPr>
      <w:r>
        <w:rPr>
          <w:rFonts w:hint="eastAsia" w:ascii="仿宋" w:hAnsi="仿宋" w:eastAsia="仿宋" w:cs="宋体"/>
          <w:bCs/>
          <w:sz w:val="24"/>
          <w:szCs w:val="24"/>
        </w:rPr>
        <w:t>4、</w:t>
      </w:r>
      <w:r>
        <w:rPr>
          <w:rFonts w:hint="eastAsia" w:ascii="仿宋" w:hAnsi="仿宋" w:eastAsia="仿宋" w:cs="宋体"/>
          <w:bCs/>
          <w:color w:val="000000"/>
          <w:sz w:val="24"/>
          <w:szCs w:val="24"/>
        </w:rPr>
        <w:t>航空真空隔热材料VIP+PU整体发泡≤90mm，VIP厚度≥25mm。内门（带密封条）≥4个，整机密封≥5层；</w:t>
      </w:r>
    </w:p>
    <w:p w14:paraId="427F2D0C">
      <w:pPr>
        <w:wordWrap w:val="0"/>
        <w:topLinePunct/>
        <w:spacing w:line="360" w:lineRule="auto"/>
        <w:rPr>
          <w:rFonts w:ascii="仿宋" w:hAnsi="仿宋" w:eastAsia="仿宋" w:cs="宋体"/>
          <w:bCs/>
          <w:color w:val="000000"/>
          <w:sz w:val="24"/>
          <w:szCs w:val="24"/>
        </w:rPr>
      </w:pPr>
      <w:r>
        <w:rPr>
          <w:rFonts w:hint="eastAsia" w:ascii="仿宋" w:hAnsi="仿宋" w:eastAsia="仿宋" w:cs="宋体"/>
          <w:bCs/>
          <w:color w:val="000000"/>
          <w:sz w:val="24"/>
          <w:szCs w:val="24"/>
        </w:rPr>
        <w:t>★5、稳定运行耗电量≤6Kw.h/24h</w:t>
      </w:r>
      <w:r>
        <w:rPr>
          <w:rFonts w:hint="eastAsia" w:ascii="仿宋" w:hAnsi="仿宋" w:eastAsia="仿宋" w:cs="宋体"/>
          <w:bCs/>
          <w:sz w:val="24"/>
          <w:szCs w:val="24"/>
        </w:rPr>
        <w:t>(提供国家认可的第三方检测机构（CMA或CNAS标识）出具的检测报告）</w:t>
      </w:r>
      <w:r>
        <w:rPr>
          <w:rFonts w:hint="eastAsia" w:ascii="仿宋" w:hAnsi="仿宋" w:eastAsia="仿宋" w:cs="宋体"/>
          <w:bCs/>
          <w:color w:val="000000"/>
          <w:sz w:val="24"/>
          <w:szCs w:val="24"/>
        </w:rPr>
        <w:t>；</w:t>
      </w:r>
    </w:p>
    <w:p w14:paraId="3EDEB242">
      <w:pPr>
        <w:wordWrap w:val="0"/>
        <w:topLinePunct/>
        <w:spacing w:line="360" w:lineRule="auto"/>
        <w:rPr>
          <w:rFonts w:ascii="仿宋" w:hAnsi="仿宋" w:eastAsia="仿宋" w:cs="宋体"/>
          <w:bCs/>
          <w:color w:val="000000"/>
          <w:sz w:val="24"/>
          <w:szCs w:val="24"/>
        </w:rPr>
      </w:pPr>
      <w:r>
        <w:rPr>
          <w:rFonts w:hint="eastAsia" w:ascii="仿宋" w:hAnsi="仿宋" w:eastAsia="仿宋" w:cs="宋体"/>
          <w:bCs/>
          <w:sz w:val="24"/>
          <w:szCs w:val="24"/>
        </w:rPr>
        <w:t>★</w:t>
      </w:r>
      <w:r>
        <w:rPr>
          <w:rFonts w:hint="eastAsia" w:ascii="仿宋" w:hAnsi="仿宋" w:eastAsia="仿宋" w:cs="宋体"/>
          <w:bCs/>
          <w:color w:val="000000"/>
          <w:sz w:val="24"/>
          <w:szCs w:val="24"/>
        </w:rPr>
        <w:t>6、温度均匀性≤3℃；</w:t>
      </w:r>
      <w:bookmarkStart w:id="2" w:name="OLE_LINK1"/>
      <w:r>
        <w:rPr>
          <w:rFonts w:hint="eastAsia" w:ascii="仿宋" w:hAnsi="仿宋" w:eastAsia="仿宋" w:cs="宋体"/>
          <w:bCs/>
          <w:color w:val="000000"/>
          <w:sz w:val="24"/>
          <w:szCs w:val="24"/>
        </w:rPr>
        <w:t>低温箱箱内特性点处</w:t>
      </w:r>
      <w:bookmarkEnd w:id="2"/>
      <w:r>
        <w:rPr>
          <w:rFonts w:hint="eastAsia" w:ascii="仿宋" w:hAnsi="仿宋" w:eastAsia="仿宋" w:cs="宋体"/>
          <w:bCs/>
          <w:color w:val="000000"/>
          <w:sz w:val="24"/>
          <w:szCs w:val="24"/>
        </w:rPr>
        <w:t>的温度达到-80℃降温时间≤3.5h（提供国家认可的第三方检测机构（CMA或CNAS标识）出具的检测报告）；</w:t>
      </w:r>
    </w:p>
    <w:p w14:paraId="691120D7">
      <w:pPr>
        <w:wordWrap w:val="0"/>
        <w:topLinePunct/>
        <w:spacing w:line="360" w:lineRule="auto"/>
        <w:rPr>
          <w:rFonts w:ascii="仿宋" w:hAnsi="仿宋" w:eastAsia="仿宋" w:cs="宋体"/>
          <w:bCs/>
          <w:color w:val="000000"/>
          <w:sz w:val="24"/>
          <w:szCs w:val="24"/>
        </w:rPr>
      </w:pPr>
      <w:r>
        <w:rPr>
          <w:rFonts w:hint="eastAsia" w:ascii="仿宋" w:hAnsi="仿宋" w:eastAsia="仿宋" w:cs="宋体"/>
          <w:bCs/>
          <w:sz w:val="24"/>
          <w:szCs w:val="24"/>
        </w:rPr>
        <w:t>★</w:t>
      </w:r>
      <w:r>
        <w:rPr>
          <w:rFonts w:hint="eastAsia" w:ascii="仿宋" w:hAnsi="仿宋" w:eastAsia="仿宋" w:cs="宋体"/>
          <w:bCs/>
          <w:color w:val="000000"/>
          <w:sz w:val="24"/>
          <w:szCs w:val="24"/>
        </w:rPr>
        <w:t>7、具有自复叠双制冷系统，双变频压缩机独立控制；单系统温度均匀性：机组保持单压机运行状态，产品设定温度为-80℃，在25℃环境温度</w:t>
      </w:r>
      <w:r>
        <w:rPr>
          <w:rFonts w:hint="eastAsia" w:ascii="仿宋" w:hAnsi="仿宋" w:eastAsia="仿宋" w:cs="宋体"/>
          <w:bCs/>
          <w:sz w:val="24"/>
          <w:szCs w:val="24"/>
        </w:rPr>
        <w:t>下</w:t>
      </w:r>
      <w:r>
        <w:rPr>
          <w:rFonts w:hint="eastAsia" w:ascii="仿宋" w:hAnsi="仿宋" w:eastAsia="仿宋" w:cs="宋体"/>
          <w:bCs/>
          <w:color w:val="000000"/>
          <w:sz w:val="24"/>
          <w:szCs w:val="24"/>
        </w:rPr>
        <w:t>，</w:t>
      </w:r>
      <w:r>
        <w:rPr>
          <w:rFonts w:hint="eastAsia" w:ascii="仿宋" w:hAnsi="仿宋" w:eastAsia="仿宋" w:cs="宋体"/>
          <w:bCs/>
          <w:sz w:val="24"/>
          <w:szCs w:val="24"/>
        </w:rPr>
        <w:t>低温箱箱内每个测点温度与设定温度偏差≤3.5℃，</w:t>
      </w:r>
      <w:r>
        <w:rPr>
          <w:rFonts w:hint="eastAsia" w:ascii="仿宋" w:hAnsi="仿宋" w:eastAsia="仿宋" w:cs="宋体"/>
          <w:bCs/>
          <w:color w:val="000000"/>
          <w:sz w:val="24"/>
          <w:szCs w:val="24"/>
        </w:rPr>
        <w:t>（提供国家认可的第三方检测机构（CMA或CNAS标识）出具的检测报告）；</w:t>
      </w:r>
    </w:p>
    <w:p w14:paraId="3A3D0EE2">
      <w:pPr>
        <w:wordWrap w:val="0"/>
        <w:topLinePunct/>
        <w:spacing w:line="360" w:lineRule="auto"/>
        <w:rPr>
          <w:rFonts w:ascii="仿宋" w:hAnsi="仿宋" w:eastAsia="仿宋" w:cs="宋体"/>
          <w:bCs/>
          <w:color w:val="000000"/>
          <w:sz w:val="24"/>
          <w:szCs w:val="24"/>
        </w:rPr>
      </w:pPr>
      <w:r>
        <w:rPr>
          <w:rFonts w:hint="eastAsia" w:ascii="仿宋" w:hAnsi="仿宋" w:eastAsia="仿宋" w:cs="宋体"/>
          <w:bCs/>
          <w:sz w:val="24"/>
          <w:szCs w:val="24"/>
        </w:rPr>
        <w:t>★</w:t>
      </w:r>
      <w:r>
        <w:rPr>
          <w:rFonts w:hint="eastAsia" w:ascii="仿宋" w:hAnsi="仿宋" w:eastAsia="仿宋" w:cs="宋体"/>
          <w:bCs/>
          <w:color w:val="000000"/>
          <w:sz w:val="24"/>
          <w:szCs w:val="24"/>
        </w:rPr>
        <w:t>8、产品设定温度-80℃，低温箱内特性点处的温度从开门到再次达到-75℃时，开门回温时间≤35min；产品设定温度-80℃，低温箱内特性点处的温度空载断电回温到-50℃时，所用时间≥250min（提供国家认可的第三方检测机构（CMA或CNAS标识）出具的检测报告）；</w:t>
      </w:r>
    </w:p>
    <w:p w14:paraId="1C89489E">
      <w:pPr>
        <w:wordWrap w:val="0"/>
        <w:topLinePunct/>
        <w:autoSpaceDE w:val="0"/>
        <w:autoSpaceDN w:val="0"/>
        <w:adjustRightInd w:val="0"/>
        <w:spacing w:line="360" w:lineRule="auto"/>
        <w:jc w:val="left"/>
        <w:rPr>
          <w:rFonts w:ascii="仿宋" w:hAnsi="仿宋" w:eastAsia="仿宋" w:cs="宋体"/>
          <w:bCs/>
          <w:sz w:val="24"/>
          <w:szCs w:val="24"/>
        </w:rPr>
      </w:pPr>
      <w:r>
        <w:rPr>
          <w:rFonts w:hint="eastAsia" w:ascii="仿宋" w:hAnsi="仿宋" w:eastAsia="仿宋" w:cs="宋体"/>
          <w:bCs/>
          <w:sz w:val="24"/>
          <w:szCs w:val="24"/>
        </w:rPr>
        <w:t>9、</w:t>
      </w:r>
      <w:r>
        <w:rPr>
          <w:rFonts w:ascii="仿宋" w:hAnsi="仿宋" w:eastAsia="仿宋" w:cs="宋体"/>
          <w:bCs/>
          <w:sz w:val="24"/>
          <w:szCs w:val="24"/>
          <w:shd w:val="clear" w:color="auto" w:fill="FFFFFF"/>
        </w:rPr>
        <w:t>稳定运行</w:t>
      </w:r>
      <w:r>
        <w:rPr>
          <w:rFonts w:hint="eastAsia" w:ascii="仿宋" w:hAnsi="仿宋" w:eastAsia="仿宋" w:cs="宋体"/>
          <w:bCs/>
          <w:sz w:val="24"/>
          <w:szCs w:val="24"/>
        </w:rPr>
        <w:t>噪音（声功率级）≤56dB(A)(提供国家认可的第三方检测机构（CMA或CNAS标识）出具的检测报告）；</w:t>
      </w:r>
    </w:p>
    <w:p w14:paraId="0159D2B8">
      <w:pPr>
        <w:wordWrap w:val="0"/>
        <w:topLinePunct/>
        <w:spacing w:line="360" w:lineRule="auto"/>
        <w:rPr>
          <w:rFonts w:ascii="仿宋" w:hAnsi="仿宋" w:eastAsia="仿宋" w:cs="宋体"/>
          <w:bCs/>
          <w:color w:val="000000"/>
          <w:sz w:val="24"/>
          <w:szCs w:val="24"/>
        </w:rPr>
      </w:pPr>
      <w:r>
        <w:rPr>
          <w:rFonts w:hint="eastAsia" w:ascii="仿宋" w:hAnsi="仿宋" w:eastAsia="仿宋" w:cs="宋体"/>
          <w:bCs/>
          <w:color w:val="000000"/>
          <w:sz w:val="24"/>
          <w:szCs w:val="24"/>
        </w:rPr>
        <w:t>10、内置5V冷链供电系统，具有RS485数据接口、USB数据接口；</w:t>
      </w:r>
    </w:p>
    <w:p w14:paraId="05677367">
      <w:pPr>
        <w:wordWrap w:val="0"/>
        <w:topLinePunct/>
        <w:spacing w:line="360" w:lineRule="auto"/>
        <w:rPr>
          <w:rFonts w:ascii="仿宋" w:hAnsi="仿宋" w:eastAsia="仿宋" w:cs="宋体"/>
          <w:bCs/>
          <w:color w:val="000000"/>
          <w:sz w:val="24"/>
          <w:szCs w:val="24"/>
        </w:rPr>
      </w:pPr>
      <w:r>
        <w:rPr>
          <w:rFonts w:hint="eastAsia" w:ascii="仿宋" w:hAnsi="仿宋" w:eastAsia="仿宋" w:cs="宋体"/>
          <w:bCs/>
          <w:color w:val="000000"/>
          <w:sz w:val="24"/>
          <w:szCs w:val="24"/>
        </w:rPr>
        <w:t>11、内置物联模块，手机APP实时监控冰箱运行状态；</w:t>
      </w:r>
    </w:p>
    <w:p w14:paraId="3C569194">
      <w:pPr>
        <w:keepNext/>
        <w:keepLines/>
        <w:wordWrap w:val="0"/>
        <w:topLinePunct/>
        <w:spacing w:line="360" w:lineRule="auto"/>
        <w:outlineLvl w:val="2"/>
        <w:rPr>
          <w:rFonts w:ascii="仿宋" w:hAnsi="仿宋" w:eastAsia="仿宋" w:cs="Times New Roman"/>
          <w:b/>
          <w:bCs/>
          <w:sz w:val="24"/>
          <w:szCs w:val="24"/>
        </w:rPr>
      </w:pPr>
      <w:r>
        <w:rPr>
          <w:rFonts w:hint="eastAsia" w:ascii="仿宋" w:hAnsi="仿宋" w:eastAsia="仿宋" w:cs="Times New Roman"/>
          <w:b/>
          <w:bCs/>
          <w:sz w:val="24"/>
          <w:szCs w:val="24"/>
        </w:rPr>
        <w:t>品目号1-2：超低温冰箱（配置二）</w:t>
      </w:r>
    </w:p>
    <w:p w14:paraId="7A520472">
      <w:pPr>
        <w:wordWrap w:val="0"/>
        <w:topLinePunct/>
        <w:spacing w:line="360" w:lineRule="auto"/>
        <w:rPr>
          <w:rFonts w:ascii="仿宋" w:hAnsi="仿宋" w:eastAsia="仿宋" w:cs="宋体"/>
          <w:bCs/>
          <w:color w:val="000000"/>
          <w:sz w:val="24"/>
          <w:szCs w:val="24"/>
        </w:rPr>
      </w:pPr>
      <w:r>
        <w:rPr>
          <w:rFonts w:hint="eastAsia" w:ascii="仿宋" w:hAnsi="仿宋" w:eastAsia="仿宋" w:cs="宋体"/>
          <w:bCs/>
          <w:color w:val="000000"/>
          <w:sz w:val="24"/>
          <w:szCs w:val="24"/>
        </w:rPr>
        <w:t>★1、样式：立式；有效容积≥820L；整机宽度≤1150mm；整机装箱量≥600个冻存盒，整机样本量≥60000份（2ml冻存管）；</w:t>
      </w:r>
    </w:p>
    <w:p w14:paraId="1D0A0FEE">
      <w:pPr>
        <w:wordWrap w:val="0"/>
        <w:topLinePunct/>
        <w:spacing w:line="360" w:lineRule="auto"/>
        <w:rPr>
          <w:rFonts w:ascii="仿宋" w:hAnsi="仿宋" w:eastAsia="仿宋" w:cs="宋体"/>
          <w:bCs/>
          <w:color w:val="000000"/>
          <w:sz w:val="24"/>
          <w:szCs w:val="24"/>
        </w:rPr>
      </w:pPr>
      <w:r>
        <w:rPr>
          <w:rFonts w:hint="eastAsia" w:ascii="仿宋" w:hAnsi="仿宋" w:eastAsia="仿宋" w:cs="宋体"/>
          <w:bCs/>
          <w:color w:val="000000"/>
          <w:sz w:val="24"/>
          <w:szCs w:val="24"/>
        </w:rPr>
        <w:t>★2、采用碳氢无氟制冷剂；</w:t>
      </w:r>
      <w:r>
        <w:rPr>
          <w:rFonts w:hint="eastAsia" w:ascii="仿宋" w:hAnsi="仿宋" w:eastAsia="仿宋" w:cs="宋体"/>
          <w:bCs/>
          <w:sz w:val="24"/>
          <w:szCs w:val="24"/>
        </w:rPr>
        <w:t>每个压缩机灌注≤2种制冷剂；</w:t>
      </w:r>
      <w:r>
        <w:rPr>
          <w:rFonts w:hint="eastAsia" w:ascii="仿宋" w:hAnsi="仿宋" w:eastAsia="仿宋" w:cs="宋体"/>
          <w:bCs/>
          <w:color w:val="000000"/>
          <w:sz w:val="24"/>
          <w:szCs w:val="24"/>
        </w:rPr>
        <w:t>制冷剂≤130g（提供所投设备的铭牌实物图片予以证明）；</w:t>
      </w:r>
    </w:p>
    <w:p w14:paraId="6727C470">
      <w:pPr>
        <w:wordWrap w:val="0"/>
        <w:topLinePunct/>
        <w:spacing w:line="360" w:lineRule="auto"/>
        <w:rPr>
          <w:rFonts w:ascii="仿宋" w:hAnsi="仿宋" w:eastAsia="仿宋" w:cs="宋体"/>
          <w:bCs/>
          <w:color w:val="000000"/>
          <w:sz w:val="24"/>
          <w:szCs w:val="24"/>
        </w:rPr>
      </w:pPr>
      <w:r>
        <w:rPr>
          <w:rFonts w:hint="eastAsia" w:ascii="仿宋" w:hAnsi="仿宋" w:eastAsia="仿宋" w:cs="宋体"/>
          <w:bCs/>
          <w:color w:val="000000"/>
          <w:sz w:val="24"/>
          <w:szCs w:val="24"/>
        </w:rPr>
        <w:t>3、温度控制：微电脑控制，箱内温度-40℃~-86℃可调，</w:t>
      </w:r>
      <w:r>
        <w:rPr>
          <w:rFonts w:hint="eastAsia" w:ascii="仿宋" w:hAnsi="仿宋" w:eastAsia="仿宋" w:cs="宋体"/>
          <w:bCs/>
          <w:sz w:val="24"/>
          <w:szCs w:val="24"/>
        </w:rPr>
        <w:t>LCD显示屏</w:t>
      </w:r>
      <w:r>
        <w:rPr>
          <w:rFonts w:hint="eastAsia" w:ascii="仿宋" w:hAnsi="仿宋" w:eastAsia="仿宋" w:cs="宋体"/>
          <w:bCs/>
          <w:color w:val="000000"/>
          <w:sz w:val="24"/>
          <w:szCs w:val="24"/>
        </w:rPr>
        <w:t>≥10英寸</w:t>
      </w:r>
      <w:r>
        <w:rPr>
          <w:rFonts w:hint="eastAsia" w:ascii="仿宋" w:hAnsi="仿宋" w:eastAsia="仿宋" w:cs="宋体"/>
          <w:bCs/>
          <w:sz w:val="24"/>
          <w:szCs w:val="24"/>
        </w:rPr>
        <w:t>，可显示箱内温度、设定温度、环境温度、输入电压。可设定高低温报警和箱内温度，具有故障提示预警功能</w:t>
      </w:r>
      <w:r>
        <w:rPr>
          <w:rFonts w:hint="eastAsia" w:ascii="仿宋" w:hAnsi="仿宋" w:eastAsia="仿宋" w:cs="宋体"/>
          <w:bCs/>
          <w:color w:val="000000"/>
          <w:sz w:val="24"/>
          <w:szCs w:val="24"/>
        </w:rPr>
        <w:t>；</w:t>
      </w:r>
    </w:p>
    <w:p w14:paraId="7FBDF225">
      <w:pPr>
        <w:wordWrap w:val="0"/>
        <w:topLinePunct/>
        <w:spacing w:line="360" w:lineRule="auto"/>
        <w:rPr>
          <w:rFonts w:ascii="仿宋" w:hAnsi="仿宋" w:eastAsia="仿宋" w:cs="宋体"/>
          <w:bCs/>
          <w:color w:val="000000"/>
          <w:sz w:val="24"/>
          <w:szCs w:val="24"/>
        </w:rPr>
      </w:pPr>
      <w:r>
        <w:rPr>
          <w:rFonts w:hint="eastAsia" w:ascii="仿宋" w:hAnsi="仿宋" w:eastAsia="仿宋" w:cs="宋体"/>
          <w:bCs/>
          <w:sz w:val="24"/>
          <w:szCs w:val="24"/>
        </w:rPr>
        <w:t>4、</w:t>
      </w:r>
      <w:r>
        <w:rPr>
          <w:rFonts w:hint="eastAsia" w:ascii="仿宋" w:hAnsi="仿宋" w:eastAsia="仿宋" w:cs="宋体"/>
          <w:bCs/>
          <w:color w:val="000000"/>
          <w:sz w:val="24"/>
          <w:szCs w:val="24"/>
        </w:rPr>
        <w:t>航空真空隔热材料VIP+PU整体发泡≤90mm，VIP厚度≥25mm。内门（带密封条）≥4个，整机密封≥5层；</w:t>
      </w:r>
    </w:p>
    <w:p w14:paraId="70D234CC">
      <w:pPr>
        <w:wordWrap w:val="0"/>
        <w:topLinePunct/>
        <w:spacing w:line="360" w:lineRule="auto"/>
        <w:rPr>
          <w:rFonts w:ascii="仿宋" w:hAnsi="仿宋" w:eastAsia="仿宋" w:cs="宋体"/>
          <w:bCs/>
          <w:sz w:val="24"/>
          <w:szCs w:val="24"/>
        </w:rPr>
      </w:pPr>
      <w:r>
        <w:rPr>
          <w:rFonts w:hint="eastAsia" w:ascii="仿宋" w:hAnsi="仿宋" w:eastAsia="仿宋" w:cs="宋体"/>
          <w:bCs/>
          <w:sz w:val="24"/>
          <w:szCs w:val="24"/>
        </w:rPr>
        <w:t>★5、稳定运行耗电量≤8Kw.h/24h(提供所投设备的铭牌实物图片予以证明）；</w:t>
      </w:r>
      <w:r>
        <w:rPr>
          <w:rFonts w:hint="eastAsia" w:ascii="仿宋" w:hAnsi="仿宋" w:eastAsia="仿宋" w:cs="宋体"/>
          <w:bCs/>
          <w:sz w:val="24"/>
          <w:szCs w:val="24"/>
        </w:rPr>
        <w:br w:type="textWrapping"/>
      </w:r>
      <w:r>
        <w:rPr>
          <w:rFonts w:hint="eastAsia" w:ascii="仿宋" w:hAnsi="仿宋" w:eastAsia="仿宋" w:cs="宋体"/>
          <w:bCs/>
          <w:sz w:val="24"/>
          <w:szCs w:val="24"/>
        </w:rPr>
        <w:t>★6、温度均匀性≤3℃；低温箱箱内特性点处的温度达到-80℃降温时间≤5.5h（提供国家认可的第三方检测机构（CMA或CNAS标识）出具的检测报告）；</w:t>
      </w:r>
    </w:p>
    <w:p w14:paraId="043F8CC7">
      <w:pPr>
        <w:wordWrap w:val="0"/>
        <w:topLinePunct/>
        <w:spacing w:line="360" w:lineRule="auto"/>
        <w:rPr>
          <w:rFonts w:ascii="仿宋" w:hAnsi="仿宋" w:eastAsia="仿宋" w:cs="宋体"/>
          <w:bCs/>
          <w:sz w:val="24"/>
          <w:szCs w:val="24"/>
        </w:rPr>
      </w:pPr>
      <w:r>
        <w:rPr>
          <w:rFonts w:hint="eastAsia" w:ascii="仿宋" w:hAnsi="仿宋" w:eastAsia="仿宋" w:cs="宋体"/>
          <w:bCs/>
          <w:sz w:val="24"/>
          <w:szCs w:val="24"/>
        </w:rPr>
        <w:t>★7、制冷系统采用自复叠双制冷系统，双变频压缩机独立控制；单系统温度均匀性：机组保持单压机运行状态，产品设定温度为-80℃，在25℃环境温度下，低温箱箱内每个测点温度与设定温度偏差≤4℃</w:t>
      </w:r>
      <w:r>
        <w:rPr>
          <w:rFonts w:hint="eastAsia" w:ascii="仿宋" w:hAnsi="仿宋" w:eastAsia="仿宋" w:cs="宋体"/>
          <w:bCs/>
          <w:color w:val="000000"/>
          <w:sz w:val="24"/>
          <w:szCs w:val="24"/>
        </w:rPr>
        <w:t>（提供国家认可的第三方检测机构（CMA或CNAS标识）出具的检测报告）</w:t>
      </w:r>
      <w:r>
        <w:rPr>
          <w:rFonts w:hint="eastAsia" w:ascii="仿宋" w:hAnsi="仿宋" w:eastAsia="仿宋" w:cs="宋体"/>
          <w:bCs/>
          <w:sz w:val="24"/>
          <w:szCs w:val="24"/>
        </w:rPr>
        <w:t>；</w:t>
      </w:r>
    </w:p>
    <w:p w14:paraId="1989D120">
      <w:pPr>
        <w:wordWrap w:val="0"/>
        <w:topLinePunct/>
        <w:spacing w:line="360" w:lineRule="auto"/>
        <w:rPr>
          <w:rFonts w:ascii="仿宋" w:hAnsi="仿宋" w:eastAsia="仿宋" w:cs="宋体"/>
          <w:bCs/>
          <w:sz w:val="24"/>
          <w:szCs w:val="24"/>
        </w:rPr>
      </w:pPr>
      <w:r>
        <w:rPr>
          <w:rFonts w:hint="eastAsia" w:ascii="仿宋" w:hAnsi="仿宋" w:eastAsia="仿宋" w:cs="宋体"/>
          <w:bCs/>
          <w:sz w:val="24"/>
          <w:szCs w:val="24"/>
        </w:rPr>
        <w:t>★8、产品设定温度-80℃，</w:t>
      </w:r>
      <w:r>
        <w:rPr>
          <w:rFonts w:hint="eastAsia" w:ascii="仿宋" w:hAnsi="仿宋" w:eastAsia="仿宋" w:cs="宋体"/>
          <w:bCs/>
          <w:color w:val="000000"/>
          <w:sz w:val="24"/>
          <w:szCs w:val="24"/>
        </w:rPr>
        <w:t>低温箱内特性点温度从开门到再次达到-75℃时，开门回温时间≤50min；</w:t>
      </w:r>
      <w:r>
        <w:rPr>
          <w:rFonts w:hint="eastAsia" w:ascii="仿宋" w:hAnsi="仿宋" w:eastAsia="仿宋" w:cs="宋体"/>
          <w:bCs/>
          <w:sz w:val="24"/>
          <w:szCs w:val="24"/>
        </w:rPr>
        <w:t>产品设定温度-80℃，低温箱内特性点处的温度空载断电回温到-50℃时，所用时间≥310min</w:t>
      </w:r>
      <w:r>
        <w:rPr>
          <w:rFonts w:hint="eastAsia" w:ascii="仿宋" w:hAnsi="仿宋" w:eastAsia="仿宋" w:cs="宋体"/>
          <w:bCs/>
          <w:color w:val="000000"/>
          <w:sz w:val="24"/>
          <w:szCs w:val="24"/>
        </w:rPr>
        <w:t>（提供国家认可的第三方检测机构（CMA或CNAS标识）出具的检测报告）</w:t>
      </w:r>
      <w:r>
        <w:rPr>
          <w:rFonts w:hint="eastAsia" w:ascii="仿宋" w:hAnsi="仿宋" w:eastAsia="仿宋" w:cs="宋体"/>
          <w:bCs/>
          <w:sz w:val="24"/>
          <w:szCs w:val="24"/>
        </w:rPr>
        <w:t>；</w:t>
      </w:r>
    </w:p>
    <w:p w14:paraId="4AF33C72">
      <w:pPr>
        <w:wordWrap w:val="0"/>
        <w:topLinePunct/>
        <w:autoSpaceDE w:val="0"/>
        <w:autoSpaceDN w:val="0"/>
        <w:adjustRightInd w:val="0"/>
        <w:spacing w:line="360" w:lineRule="auto"/>
        <w:jc w:val="left"/>
        <w:rPr>
          <w:rFonts w:ascii="仿宋" w:hAnsi="仿宋" w:eastAsia="仿宋" w:cs="宋体"/>
          <w:bCs/>
          <w:sz w:val="24"/>
          <w:szCs w:val="24"/>
        </w:rPr>
      </w:pPr>
      <w:r>
        <w:rPr>
          <w:rFonts w:hint="eastAsia" w:ascii="仿宋" w:hAnsi="仿宋" w:eastAsia="仿宋" w:cs="宋体"/>
          <w:bCs/>
          <w:sz w:val="24"/>
          <w:szCs w:val="24"/>
        </w:rPr>
        <w:t>9、稳定运行噪音（声功率级）≤56dB(A)(提供国家认可的第三方检测机构（CMA或CNAS标识）出具的检测报告）</w:t>
      </w:r>
      <w:r>
        <w:rPr>
          <w:rFonts w:hint="eastAsia" w:ascii="仿宋" w:hAnsi="仿宋" w:eastAsia="仿宋" w:cs="宋体"/>
          <w:bCs/>
          <w:color w:val="000000"/>
          <w:sz w:val="24"/>
          <w:szCs w:val="24"/>
        </w:rPr>
        <w:t>；</w:t>
      </w:r>
    </w:p>
    <w:p w14:paraId="3D3D3339">
      <w:pPr>
        <w:wordWrap w:val="0"/>
        <w:topLinePunct/>
        <w:spacing w:line="360" w:lineRule="auto"/>
        <w:rPr>
          <w:rFonts w:ascii="仿宋" w:hAnsi="仿宋" w:eastAsia="仿宋" w:cs="宋体"/>
          <w:bCs/>
          <w:color w:val="000000"/>
          <w:sz w:val="24"/>
          <w:szCs w:val="24"/>
        </w:rPr>
      </w:pPr>
      <w:r>
        <w:rPr>
          <w:rFonts w:hint="eastAsia" w:ascii="仿宋" w:hAnsi="仿宋" w:eastAsia="仿宋" w:cs="宋体"/>
          <w:bCs/>
          <w:color w:val="000000"/>
          <w:sz w:val="24"/>
          <w:szCs w:val="24"/>
        </w:rPr>
        <w:t>10、内置5V冷链供电系统；具有RS485数据接口、USB数据接口；</w:t>
      </w:r>
      <w:r>
        <w:rPr>
          <w:rFonts w:hint="eastAsia" w:ascii="仿宋" w:hAnsi="仿宋" w:eastAsia="仿宋" w:cs="宋体"/>
          <w:bCs/>
          <w:color w:val="000000"/>
          <w:sz w:val="24"/>
          <w:szCs w:val="24"/>
        </w:rPr>
        <w:br w:type="textWrapping"/>
      </w:r>
      <w:r>
        <w:rPr>
          <w:rFonts w:hint="eastAsia" w:ascii="仿宋" w:hAnsi="仿宋" w:eastAsia="仿宋" w:cs="宋体"/>
          <w:bCs/>
          <w:color w:val="000000"/>
          <w:sz w:val="24"/>
          <w:szCs w:val="24"/>
        </w:rPr>
        <w:t>11、内置物联模块，手机APP实时监控冰箱运行状态；</w:t>
      </w:r>
    </w:p>
    <w:p w14:paraId="1D54E70C">
      <w:pPr>
        <w:wordWrap w:val="0"/>
        <w:topLinePunct/>
        <w:spacing w:line="360" w:lineRule="auto"/>
        <w:rPr>
          <w:rFonts w:ascii="仿宋" w:hAnsi="仿宋" w:eastAsia="仿宋" w:cs="宋体"/>
          <w:sz w:val="24"/>
          <w:szCs w:val="24"/>
        </w:rPr>
      </w:pPr>
    </w:p>
    <w:p w14:paraId="26683E2E">
      <w:pPr>
        <w:keepNext/>
        <w:keepLines/>
        <w:wordWrap w:val="0"/>
        <w:topLinePunct/>
        <w:spacing w:line="360" w:lineRule="auto"/>
        <w:outlineLvl w:val="2"/>
        <w:rPr>
          <w:rFonts w:ascii="仿宋" w:hAnsi="仿宋" w:eastAsia="仿宋" w:cs="Times New Roman"/>
          <w:b/>
          <w:bCs/>
          <w:sz w:val="24"/>
          <w:szCs w:val="24"/>
        </w:rPr>
      </w:pPr>
      <w:r>
        <w:rPr>
          <w:rFonts w:hint="eastAsia" w:ascii="仿宋" w:hAnsi="仿宋" w:eastAsia="仿宋" w:cs="Times New Roman"/>
          <w:b/>
          <w:bCs/>
          <w:sz w:val="24"/>
          <w:szCs w:val="24"/>
        </w:rPr>
        <w:t>品目号1-3：医用低温保存箱（配置一）</w:t>
      </w:r>
    </w:p>
    <w:p w14:paraId="46CC4D4F">
      <w:pPr>
        <w:wordWrap w:val="0"/>
        <w:topLinePunct/>
        <w:autoSpaceDE w:val="0"/>
        <w:autoSpaceDN w:val="0"/>
        <w:adjustRightInd w:val="0"/>
        <w:spacing w:line="36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★1、</w:t>
      </w:r>
      <w:r>
        <w:rPr>
          <w:rFonts w:hint="eastAsia" w:ascii="仿宋" w:hAnsi="仿宋" w:eastAsia="仿宋" w:cs="宋体"/>
          <w:color w:val="000000"/>
          <w:sz w:val="24"/>
          <w:szCs w:val="24"/>
        </w:rPr>
        <w:t>微电脑控制，</w:t>
      </w:r>
      <w:r>
        <w:rPr>
          <w:rFonts w:hint="eastAsia" w:ascii="仿宋" w:hAnsi="仿宋" w:eastAsia="仿宋" w:cs="宋体"/>
          <w:color w:val="000000"/>
          <w:kern w:val="0"/>
          <w:sz w:val="24"/>
          <w:szCs w:val="24"/>
        </w:rPr>
        <w:t>温度范围-10°C～-25°C可调节，</w:t>
      </w:r>
      <w:r>
        <w:rPr>
          <w:rFonts w:hint="eastAsia" w:ascii="仿宋" w:hAnsi="仿宋" w:eastAsia="仿宋" w:cs="宋体"/>
          <w:bCs/>
          <w:color w:val="000000"/>
          <w:sz w:val="24"/>
          <w:szCs w:val="24"/>
        </w:rPr>
        <w:t>控温精度0.1℃；有效容积≥260L，高度≤1700mm，</w:t>
      </w:r>
      <w:r>
        <w:rPr>
          <w:rFonts w:hint="eastAsia" w:ascii="仿宋" w:hAnsi="仿宋" w:eastAsia="仿宋" w:cs="宋体"/>
          <w:color w:val="000000"/>
          <w:sz w:val="24"/>
          <w:szCs w:val="24"/>
        </w:rPr>
        <w:t>LCD数码显示箱内温度，</w:t>
      </w:r>
      <w:r>
        <w:rPr>
          <w:rFonts w:hint="eastAsia" w:ascii="仿宋" w:hAnsi="仿宋" w:eastAsia="仿宋" w:cs="宋体"/>
          <w:bCs/>
          <w:color w:val="000000"/>
          <w:sz w:val="24"/>
          <w:szCs w:val="24"/>
        </w:rPr>
        <w:t>显示精度0.1℃</w:t>
      </w:r>
      <w:r>
        <w:rPr>
          <w:rFonts w:hint="eastAsia" w:ascii="仿宋" w:hAnsi="仿宋" w:eastAsia="仿宋" w:cs="宋体"/>
          <w:color w:val="000000"/>
          <w:kern w:val="0"/>
          <w:sz w:val="24"/>
          <w:szCs w:val="24"/>
        </w:rPr>
        <w:t>；</w:t>
      </w:r>
    </w:p>
    <w:p w14:paraId="440B1BA9">
      <w:pPr>
        <w:wordWrap w:val="0"/>
        <w:topLinePunct/>
        <w:autoSpaceDE w:val="0"/>
        <w:autoSpaceDN w:val="0"/>
        <w:adjustRightInd w:val="0"/>
        <w:spacing w:line="36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2</w:t>
      </w:r>
      <w:bookmarkStart w:id="3" w:name="OLE_LINK45"/>
      <w:bookmarkStart w:id="4" w:name="OLE_LINK46"/>
      <w:r>
        <w:rPr>
          <w:rFonts w:hint="eastAsia" w:ascii="仿宋" w:hAnsi="仿宋" w:eastAsia="仿宋" w:cs="宋体"/>
          <w:color w:val="000000"/>
          <w:kern w:val="0"/>
          <w:sz w:val="24"/>
          <w:szCs w:val="24"/>
        </w:rPr>
        <w:t>、具有多种故障报警：高温报警、低温报警、传感器故障报警、开门报警、断电报警、环温高报警</w:t>
      </w:r>
      <w:bookmarkEnd w:id="3"/>
      <w:bookmarkEnd w:id="4"/>
      <w:r>
        <w:rPr>
          <w:rFonts w:hint="eastAsia" w:ascii="仿宋" w:hAnsi="仿宋" w:eastAsia="仿宋" w:cs="宋体"/>
          <w:color w:val="000000"/>
          <w:kern w:val="0"/>
          <w:sz w:val="24"/>
          <w:szCs w:val="24"/>
        </w:rPr>
        <w:t>；具有多种报警方式：声音蜂鸣报警、数字闪烁报警、符号闪烁报警，远程报警接口；</w:t>
      </w:r>
    </w:p>
    <w:p w14:paraId="4D2B98B6">
      <w:pPr>
        <w:wordWrap w:val="0"/>
        <w:topLinePunct/>
        <w:autoSpaceDE w:val="0"/>
        <w:autoSpaceDN w:val="0"/>
        <w:adjustRightInd w:val="0"/>
        <w:spacing w:line="360" w:lineRule="auto"/>
        <w:jc w:val="left"/>
        <w:rPr>
          <w:rFonts w:ascii="仿宋" w:hAnsi="仿宋" w:eastAsia="仿宋" w:cs="宋体"/>
          <w:color w:val="000000"/>
          <w:sz w:val="24"/>
          <w:szCs w:val="24"/>
        </w:rPr>
      </w:pPr>
      <w:r>
        <w:rPr>
          <w:rFonts w:hint="eastAsia" w:ascii="仿宋" w:hAnsi="仿宋" w:eastAsia="仿宋" w:cs="宋体"/>
          <w:color w:val="000000"/>
          <w:kern w:val="0"/>
          <w:sz w:val="24"/>
          <w:szCs w:val="24"/>
        </w:rPr>
        <w:t>3、具有多重保护功能：开机延时保护、停机间隔</w:t>
      </w:r>
      <w:r>
        <w:rPr>
          <w:rFonts w:hint="eastAsia" w:ascii="仿宋" w:hAnsi="仿宋" w:eastAsia="仿宋" w:cs="宋体"/>
          <w:color w:val="000000"/>
          <w:sz w:val="24"/>
          <w:szCs w:val="24"/>
        </w:rPr>
        <w:t>保护、</w:t>
      </w:r>
      <w:r>
        <w:rPr>
          <w:rFonts w:hint="eastAsia" w:ascii="仿宋" w:hAnsi="仿宋" w:eastAsia="仿宋" w:cs="宋体"/>
          <w:color w:val="000000"/>
          <w:kern w:val="0"/>
          <w:sz w:val="24"/>
          <w:szCs w:val="24"/>
        </w:rPr>
        <w:t>显示面板保护、断电记忆数据保护、传感器故障保护运行；</w:t>
      </w:r>
    </w:p>
    <w:p w14:paraId="0A14AC7E">
      <w:pPr>
        <w:wordWrap w:val="0"/>
        <w:topLinePunct/>
        <w:spacing w:line="360" w:lineRule="auto"/>
        <w:jc w:val="left"/>
        <w:rPr>
          <w:rFonts w:ascii="仿宋" w:hAnsi="仿宋" w:eastAsia="仿宋" w:cs="宋体"/>
          <w:color w:val="000000"/>
          <w:sz w:val="24"/>
          <w:szCs w:val="24"/>
        </w:rPr>
      </w:pPr>
      <w:r>
        <w:rPr>
          <w:rFonts w:hint="eastAsia" w:ascii="仿宋" w:hAnsi="仿宋" w:eastAsia="仿宋" w:cs="宋体"/>
          <w:color w:val="000000"/>
          <w:kern w:val="0"/>
          <w:sz w:val="24"/>
          <w:szCs w:val="24"/>
        </w:rPr>
        <w:t>★4、采用碳氢无氟制冷剂，制冷剂灌注量＜100g，机器铭牌需标注具体型号和灌注量</w:t>
      </w:r>
      <w:r>
        <w:rPr>
          <w:rFonts w:hint="eastAsia" w:ascii="仿宋" w:hAnsi="仿宋" w:eastAsia="仿宋" w:cs="宋体"/>
          <w:color w:val="000000"/>
          <w:sz w:val="24"/>
          <w:szCs w:val="24"/>
        </w:rPr>
        <w:t>；（</w:t>
      </w:r>
      <w:r>
        <w:rPr>
          <w:rFonts w:hint="eastAsia" w:ascii="仿宋" w:hAnsi="仿宋" w:eastAsia="仿宋" w:cs="宋体"/>
          <w:color w:val="000000"/>
          <w:kern w:val="0"/>
          <w:sz w:val="24"/>
          <w:szCs w:val="24"/>
        </w:rPr>
        <w:t>提供所投设备的铭牌实物图片予以证明</w:t>
      </w:r>
      <w:r>
        <w:rPr>
          <w:rFonts w:hint="eastAsia" w:ascii="仿宋" w:hAnsi="仿宋" w:eastAsia="仿宋" w:cs="宋体"/>
          <w:color w:val="000000"/>
          <w:sz w:val="24"/>
          <w:szCs w:val="24"/>
        </w:rPr>
        <w:t>）</w:t>
      </w:r>
      <w:r>
        <w:rPr>
          <w:rFonts w:hint="eastAsia" w:ascii="仿宋" w:hAnsi="仿宋" w:eastAsia="仿宋" w:cs="宋体"/>
          <w:color w:val="000000"/>
          <w:kern w:val="0"/>
          <w:sz w:val="24"/>
          <w:szCs w:val="24"/>
        </w:rPr>
        <w:br w:type="textWrapping"/>
      </w:r>
      <w:r>
        <w:rPr>
          <w:rFonts w:hint="eastAsia" w:ascii="仿宋" w:hAnsi="仿宋" w:eastAsia="仿宋" w:cs="宋体"/>
          <w:color w:val="000000"/>
          <w:kern w:val="0"/>
          <w:sz w:val="24"/>
          <w:szCs w:val="24"/>
        </w:rPr>
        <w:t>5、搁架式蒸发器设计，</w:t>
      </w:r>
      <w:r>
        <w:rPr>
          <w:rFonts w:hint="eastAsia" w:ascii="仿宋" w:hAnsi="仿宋" w:eastAsia="仿宋" w:cs="宋体"/>
          <w:color w:val="000000"/>
          <w:sz w:val="24"/>
          <w:szCs w:val="24"/>
        </w:rPr>
        <w:t>独立塑料抽屉≥7个；</w:t>
      </w:r>
    </w:p>
    <w:p w14:paraId="046C0D98">
      <w:pPr>
        <w:wordWrap w:val="0"/>
        <w:topLinePunct/>
        <w:autoSpaceDE w:val="0"/>
        <w:autoSpaceDN w:val="0"/>
        <w:adjustRightInd w:val="0"/>
        <w:spacing w:line="36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6、箱壳采用冷轧钢板喷粉，内胆为PS板吸附材质，箱体背板为镀锌钢板；</w:t>
      </w:r>
    </w:p>
    <w:p w14:paraId="6137DA8D">
      <w:pPr>
        <w:wordWrap w:val="0"/>
        <w:topLinePunct/>
        <w:spacing w:line="36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7、LBA无氟发泡，</w:t>
      </w:r>
      <w:r>
        <w:rPr>
          <w:rFonts w:hint="eastAsia" w:ascii="仿宋" w:hAnsi="仿宋" w:eastAsia="仿宋" w:cs="宋体"/>
          <w:color w:val="000000"/>
          <w:sz w:val="24"/>
          <w:szCs w:val="24"/>
        </w:rPr>
        <w:t>保温层</w:t>
      </w:r>
      <w:r>
        <w:rPr>
          <w:rFonts w:hint="eastAsia" w:ascii="仿宋" w:hAnsi="仿宋" w:eastAsia="仿宋" w:cs="宋体"/>
          <w:color w:val="000000"/>
          <w:kern w:val="0"/>
          <w:sz w:val="24"/>
          <w:szCs w:val="24"/>
        </w:rPr>
        <w:t>≥</w:t>
      </w:r>
      <w:r>
        <w:rPr>
          <w:rFonts w:hint="eastAsia" w:ascii="仿宋" w:hAnsi="仿宋" w:eastAsia="仿宋" w:cs="宋体"/>
          <w:color w:val="000000"/>
          <w:sz w:val="24"/>
          <w:szCs w:val="24"/>
        </w:rPr>
        <w:t>85mm，门体可拆卸式密封条，顶部双密封设计；</w:t>
      </w:r>
    </w:p>
    <w:p w14:paraId="7A73E00F">
      <w:pPr>
        <w:wordWrap w:val="0"/>
        <w:topLinePunct/>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8、门体机械暗锁+锁扣设计；</w:t>
      </w:r>
      <w:r>
        <w:rPr>
          <w:rFonts w:hint="eastAsia" w:ascii="仿宋" w:hAnsi="仿宋" w:eastAsia="仿宋" w:cs="宋体"/>
          <w:color w:val="000000"/>
          <w:kern w:val="0"/>
          <w:sz w:val="24"/>
          <w:szCs w:val="24"/>
        </w:rPr>
        <w:t>运行噪音≤35dB，</w:t>
      </w:r>
      <w:r>
        <w:rPr>
          <w:rFonts w:hint="eastAsia" w:ascii="仿宋" w:hAnsi="仿宋" w:eastAsia="仿宋" w:cs="宋体"/>
          <w:color w:val="000000"/>
          <w:sz w:val="24"/>
          <w:szCs w:val="24"/>
        </w:rPr>
        <w:t>输入功率≤170W。</w:t>
      </w:r>
    </w:p>
    <w:p w14:paraId="273DDB79">
      <w:pPr>
        <w:wordWrap w:val="0"/>
        <w:topLinePunct/>
        <w:autoSpaceDE w:val="0"/>
        <w:autoSpaceDN w:val="0"/>
        <w:adjustRightInd w:val="0"/>
        <w:spacing w:after="160" w:line="360" w:lineRule="auto"/>
        <w:rPr>
          <w:rFonts w:ascii="仿宋" w:hAnsi="仿宋" w:eastAsia="仿宋" w:cs="华文楷体"/>
          <w:sz w:val="24"/>
          <w:szCs w:val="24"/>
        </w:rPr>
      </w:pPr>
    </w:p>
    <w:p w14:paraId="3DEBD338">
      <w:pPr>
        <w:keepNext/>
        <w:keepLines/>
        <w:wordWrap w:val="0"/>
        <w:topLinePunct/>
        <w:spacing w:line="360" w:lineRule="auto"/>
        <w:outlineLvl w:val="2"/>
        <w:rPr>
          <w:rFonts w:ascii="仿宋" w:hAnsi="仿宋" w:eastAsia="仿宋" w:cs="Times New Roman"/>
          <w:b/>
          <w:bCs/>
          <w:sz w:val="24"/>
          <w:szCs w:val="24"/>
        </w:rPr>
      </w:pPr>
      <w:r>
        <w:rPr>
          <w:rFonts w:hint="eastAsia" w:ascii="仿宋" w:hAnsi="仿宋" w:eastAsia="仿宋" w:cs="Times New Roman"/>
          <w:b/>
          <w:bCs/>
          <w:sz w:val="24"/>
          <w:szCs w:val="24"/>
        </w:rPr>
        <w:t>品目号1-4：医用低温保存箱（配置二）</w:t>
      </w:r>
    </w:p>
    <w:p w14:paraId="00CAFF88">
      <w:pPr>
        <w:wordWrap w:val="0"/>
        <w:topLinePunct/>
        <w:autoSpaceDE w:val="0"/>
        <w:autoSpaceDN w:val="0"/>
        <w:adjustRightInd w:val="0"/>
        <w:spacing w:line="360" w:lineRule="auto"/>
        <w:jc w:val="left"/>
        <w:rPr>
          <w:rFonts w:ascii="仿宋" w:hAnsi="仿宋" w:eastAsia="仿宋" w:cs="宋体"/>
          <w:kern w:val="0"/>
          <w:sz w:val="24"/>
          <w:szCs w:val="24"/>
        </w:rPr>
      </w:pPr>
      <w:r>
        <w:rPr>
          <w:rFonts w:hint="eastAsia" w:ascii="仿宋" w:hAnsi="仿宋" w:eastAsia="仿宋" w:cs="宋体"/>
          <w:kern w:val="0"/>
          <w:sz w:val="24"/>
          <w:szCs w:val="24"/>
        </w:rPr>
        <w:t>1、</w:t>
      </w:r>
      <w:r>
        <w:rPr>
          <w:rFonts w:hint="eastAsia" w:ascii="仿宋" w:hAnsi="仿宋" w:eastAsia="仿宋" w:cs="宋体"/>
          <w:sz w:val="24"/>
          <w:szCs w:val="24"/>
        </w:rPr>
        <w:t>有效容积≥530L，微电脑控制，</w:t>
      </w:r>
      <w:r>
        <w:rPr>
          <w:rFonts w:hint="eastAsia" w:ascii="仿宋" w:hAnsi="仿宋" w:eastAsia="仿宋" w:cs="宋体"/>
          <w:kern w:val="0"/>
          <w:sz w:val="24"/>
          <w:szCs w:val="24"/>
        </w:rPr>
        <w:t>温度范围-20℃～-40℃可调节,</w:t>
      </w:r>
      <w:r>
        <w:rPr>
          <w:rFonts w:hint="eastAsia" w:ascii="仿宋" w:hAnsi="仿宋" w:eastAsia="仿宋" w:cs="宋体"/>
          <w:sz w:val="24"/>
          <w:szCs w:val="24"/>
        </w:rPr>
        <w:t>显示精度0.1℃</w:t>
      </w:r>
      <w:r>
        <w:rPr>
          <w:rFonts w:hint="eastAsia" w:ascii="仿宋" w:hAnsi="仿宋" w:eastAsia="仿宋" w:cs="宋体"/>
          <w:kern w:val="0"/>
          <w:sz w:val="24"/>
          <w:szCs w:val="24"/>
        </w:rPr>
        <w:t>；</w:t>
      </w:r>
    </w:p>
    <w:p w14:paraId="6CFD382B">
      <w:pPr>
        <w:wordWrap w:val="0"/>
        <w:topLinePunct/>
        <w:autoSpaceDE w:val="0"/>
        <w:autoSpaceDN w:val="0"/>
        <w:adjustRightInd w:val="0"/>
        <w:spacing w:line="360" w:lineRule="auto"/>
        <w:jc w:val="left"/>
        <w:rPr>
          <w:rFonts w:ascii="仿宋" w:hAnsi="仿宋" w:eastAsia="仿宋" w:cs="宋体"/>
          <w:kern w:val="0"/>
          <w:sz w:val="24"/>
          <w:szCs w:val="24"/>
        </w:rPr>
      </w:pPr>
      <w:r>
        <w:rPr>
          <w:rFonts w:hint="eastAsia" w:ascii="仿宋" w:hAnsi="仿宋" w:eastAsia="仿宋" w:cs="宋体"/>
          <w:kern w:val="0"/>
          <w:sz w:val="24"/>
          <w:szCs w:val="24"/>
        </w:rPr>
        <w:t>2、</w:t>
      </w:r>
      <w:r>
        <w:rPr>
          <w:rFonts w:hint="eastAsia" w:ascii="仿宋" w:hAnsi="仿宋" w:eastAsia="仿宋" w:cs="宋体"/>
          <w:sz w:val="24"/>
          <w:szCs w:val="24"/>
        </w:rPr>
        <w:t>特性点温度均匀性</w:t>
      </w:r>
      <w:r>
        <w:rPr>
          <w:rFonts w:hint="eastAsia" w:ascii="仿宋" w:hAnsi="仿宋" w:eastAsia="仿宋" w:cs="宋体"/>
          <w:kern w:val="0"/>
          <w:sz w:val="24"/>
          <w:szCs w:val="24"/>
        </w:rPr>
        <w:t>≤</w:t>
      </w:r>
      <w:r>
        <w:rPr>
          <w:rFonts w:hint="eastAsia" w:ascii="仿宋" w:hAnsi="仿宋" w:eastAsia="仿宋" w:cs="宋体"/>
          <w:sz w:val="24"/>
          <w:szCs w:val="24"/>
        </w:rPr>
        <w:t>±3℃（提供国家认可的第三方检测机构（CMA或CNAS标识）出具的检测报告）；</w:t>
      </w:r>
    </w:p>
    <w:p w14:paraId="7FE8B808">
      <w:pPr>
        <w:wordWrap w:val="0"/>
        <w:topLinePunct/>
        <w:autoSpaceDE w:val="0"/>
        <w:autoSpaceDN w:val="0"/>
        <w:adjustRightInd w:val="0"/>
        <w:spacing w:line="360" w:lineRule="auto"/>
        <w:jc w:val="left"/>
        <w:rPr>
          <w:rFonts w:ascii="仿宋" w:hAnsi="仿宋" w:eastAsia="仿宋" w:cs="宋体"/>
          <w:kern w:val="0"/>
          <w:sz w:val="24"/>
          <w:szCs w:val="24"/>
        </w:rPr>
      </w:pPr>
      <w:r>
        <w:rPr>
          <w:rFonts w:hint="eastAsia" w:ascii="仿宋" w:hAnsi="仿宋" w:eastAsia="仿宋" w:cs="宋体"/>
          <w:sz w:val="24"/>
          <w:szCs w:val="24"/>
        </w:rPr>
        <w:t>3、</w:t>
      </w:r>
      <w:r>
        <w:rPr>
          <w:rFonts w:hint="eastAsia" w:ascii="仿宋" w:hAnsi="仿宋" w:eastAsia="仿宋" w:cs="宋体"/>
          <w:color w:val="000000"/>
          <w:kern w:val="0"/>
          <w:sz w:val="24"/>
          <w:szCs w:val="24"/>
        </w:rPr>
        <w:t>具有多种故障报警：</w:t>
      </w:r>
      <w:r>
        <w:rPr>
          <w:rFonts w:hint="eastAsia" w:ascii="仿宋" w:hAnsi="仿宋" w:eastAsia="仿宋" w:cs="宋体"/>
          <w:kern w:val="0"/>
          <w:sz w:val="24"/>
          <w:szCs w:val="24"/>
        </w:rPr>
        <w:t>高温报警、低温报警、传感器故障报警、环温高报警、断电报警、门开报警、电池报警；具有多种报警方式：声音蜂鸣报警、灯光闪烁报警，远程报警接口；具有多重保护功能：开机延时保护、停机间隔</w:t>
      </w:r>
      <w:r>
        <w:rPr>
          <w:rFonts w:hint="eastAsia" w:ascii="仿宋" w:hAnsi="仿宋" w:eastAsia="仿宋" w:cs="宋体"/>
          <w:sz w:val="24"/>
          <w:szCs w:val="24"/>
        </w:rPr>
        <w:t>保护、</w:t>
      </w:r>
      <w:r>
        <w:rPr>
          <w:rFonts w:hint="eastAsia" w:ascii="仿宋" w:hAnsi="仿宋" w:eastAsia="仿宋" w:cs="宋体"/>
          <w:kern w:val="0"/>
          <w:sz w:val="24"/>
          <w:szCs w:val="24"/>
        </w:rPr>
        <w:t>显示面板密码保护、断电记忆数据保护、传感器故障保护运行；</w:t>
      </w:r>
      <w:r>
        <w:rPr>
          <w:rFonts w:hint="eastAsia" w:ascii="仿宋" w:hAnsi="仿宋" w:eastAsia="仿宋" w:cs="宋体"/>
          <w:kern w:val="0"/>
          <w:sz w:val="24"/>
          <w:szCs w:val="24"/>
        </w:rPr>
        <w:br w:type="textWrapping"/>
      </w:r>
      <w:r>
        <w:rPr>
          <w:rFonts w:hint="eastAsia" w:ascii="仿宋" w:hAnsi="仿宋" w:eastAsia="仿宋" w:cs="宋体"/>
          <w:kern w:val="0"/>
          <w:sz w:val="24"/>
          <w:szCs w:val="24"/>
        </w:rPr>
        <w:t>★4、采用碳氢无氟制冷剂，制冷剂≤150g，耗电量≤5kwh/24h；（提供所投设备的铭牌实物图片予以证明）；</w:t>
      </w:r>
    </w:p>
    <w:p w14:paraId="05E6A71E">
      <w:pPr>
        <w:wordWrap w:val="0"/>
        <w:topLinePunct/>
        <w:spacing w:line="360" w:lineRule="auto"/>
        <w:jc w:val="left"/>
        <w:rPr>
          <w:rFonts w:ascii="仿宋" w:hAnsi="仿宋" w:eastAsia="仿宋" w:cs="宋体"/>
          <w:kern w:val="0"/>
          <w:sz w:val="24"/>
          <w:szCs w:val="24"/>
        </w:rPr>
      </w:pPr>
      <w:r>
        <w:rPr>
          <w:rFonts w:hint="eastAsia" w:ascii="仿宋" w:hAnsi="仿宋" w:eastAsia="仿宋" w:cs="宋体"/>
          <w:kern w:val="0"/>
          <w:sz w:val="24"/>
          <w:szCs w:val="24"/>
        </w:rPr>
        <w:t>5、</w:t>
      </w:r>
      <w:r>
        <w:rPr>
          <w:rFonts w:hint="eastAsia" w:ascii="仿宋" w:hAnsi="仿宋" w:eastAsia="仿宋" w:cs="宋体"/>
          <w:color w:val="000000"/>
          <w:kern w:val="0"/>
          <w:sz w:val="24"/>
          <w:szCs w:val="24"/>
        </w:rPr>
        <w:t>整机</w:t>
      </w:r>
      <w:r>
        <w:rPr>
          <w:rFonts w:hint="eastAsia" w:ascii="仿宋" w:hAnsi="仿宋" w:eastAsia="仿宋" w:cs="宋体"/>
          <w:sz w:val="24"/>
          <w:szCs w:val="24"/>
        </w:rPr>
        <w:t>噪音≤50dB；</w:t>
      </w:r>
    </w:p>
    <w:p w14:paraId="670C8450">
      <w:pPr>
        <w:wordWrap w:val="0"/>
        <w:topLinePunct/>
        <w:spacing w:line="360" w:lineRule="auto"/>
        <w:jc w:val="left"/>
        <w:rPr>
          <w:rFonts w:ascii="仿宋" w:hAnsi="仿宋" w:eastAsia="仿宋" w:cs="宋体"/>
          <w:kern w:val="0"/>
          <w:sz w:val="24"/>
          <w:szCs w:val="24"/>
        </w:rPr>
      </w:pPr>
      <w:r>
        <w:rPr>
          <w:rFonts w:hint="eastAsia" w:ascii="仿宋" w:hAnsi="仿宋" w:eastAsia="仿宋" w:cs="宋体"/>
          <w:sz w:val="24"/>
          <w:szCs w:val="24"/>
          <w:shd w:val="clear" w:color="auto" w:fill="FFFFFF"/>
        </w:rPr>
        <w:t>6</w:t>
      </w:r>
      <w:r>
        <w:rPr>
          <w:rFonts w:ascii="仿宋" w:hAnsi="仿宋" w:eastAsia="仿宋" w:cs="宋体"/>
          <w:sz w:val="24"/>
          <w:szCs w:val="24"/>
          <w:shd w:val="clear" w:color="auto" w:fill="FFFFFF"/>
        </w:rPr>
        <w:t>、</w:t>
      </w:r>
      <w:r>
        <w:rPr>
          <w:rFonts w:hint="eastAsia" w:ascii="仿宋" w:hAnsi="仿宋" w:eastAsia="仿宋" w:cs="宋体"/>
          <w:kern w:val="0"/>
          <w:sz w:val="24"/>
          <w:szCs w:val="24"/>
        </w:rPr>
        <w:t>立式双门结构，嵌入式可拆卸双密封条设计，三层密封,保温层≥80mm</w:t>
      </w:r>
      <w:r>
        <w:rPr>
          <w:rFonts w:hint="eastAsia" w:ascii="仿宋" w:hAnsi="仿宋" w:eastAsia="仿宋" w:cs="宋体"/>
          <w:sz w:val="24"/>
          <w:szCs w:val="24"/>
        </w:rPr>
        <w:t>；</w:t>
      </w:r>
    </w:p>
    <w:p w14:paraId="5AEE8588">
      <w:pPr>
        <w:wordWrap w:val="0"/>
        <w:topLinePunct/>
        <w:spacing w:line="360" w:lineRule="auto"/>
        <w:jc w:val="left"/>
        <w:rPr>
          <w:rFonts w:ascii="仿宋" w:hAnsi="仿宋" w:eastAsia="仿宋" w:cs="宋体"/>
          <w:kern w:val="0"/>
          <w:sz w:val="24"/>
          <w:szCs w:val="24"/>
        </w:rPr>
      </w:pPr>
      <w:r>
        <w:rPr>
          <w:rFonts w:hint="eastAsia" w:ascii="仿宋" w:hAnsi="仿宋" w:eastAsia="仿宋" w:cs="宋体"/>
          <w:kern w:val="0"/>
          <w:sz w:val="24"/>
          <w:szCs w:val="24"/>
        </w:rPr>
        <w:t>7、隐藏式蒸发器设计，金属喷粉内胆；搁架间距上下可调</w:t>
      </w:r>
      <w:r>
        <w:rPr>
          <w:rFonts w:hint="eastAsia" w:ascii="仿宋" w:hAnsi="仿宋" w:eastAsia="仿宋" w:cs="宋体"/>
          <w:sz w:val="24"/>
          <w:szCs w:val="24"/>
        </w:rPr>
        <w:t>；（提供冰箱内部搁架及搁架支撑位置实物照片）</w:t>
      </w:r>
    </w:p>
    <w:p w14:paraId="34C0D8C6">
      <w:pPr>
        <w:wordWrap w:val="0"/>
        <w:topLinePunct/>
        <w:spacing w:line="360" w:lineRule="auto"/>
        <w:jc w:val="left"/>
        <w:rPr>
          <w:rFonts w:ascii="仿宋" w:hAnsi="仿宋" w:eastAsia="仿宋" w:cs="宋体"/>
          <w:kern w:val="0"/>
          <w:sz w:val="24"/>
          <w:szCs w:val="24"/>
        </w:rPr>
      </w:pPr>
      <w:r>
        <w:rPr>
          <w:rFonts w:hint="eastAsia" w:ascii="仿宋" w:hAnsi="仿宋" w:eastAsia="仿宋" w:cs="宋体"/>
          <w:kern w:val="0"/>
          <w:sz w:val="24"/>
          <w:szCs w:val="24"/>
        </w:rPr>
        <w:t>8、门锁+锁鼻一体式手把门锁设计，脚轮+底脚设计，具有测试孔≥2个</w:t>
      </w:r>
    </w:p>
    <w:p w14:paraId="7DD40160">
      <w:pPr>
        <w:wordWrap w:val="0"/>
        <w:topLinePunct/>
        <w:spacing w:line="360" w:lineRule="auto"/>
        <w:jc w:val="left"/>
        <w:rPr>
          <w:rFonts w:ascii="仿宋" w:hAnsi="仿宋" w:eastAsia="仿宋" w:cs="宋体"/>
          <w:sz w:val="24"/>
          <w:szCs w:val="24"/>
        </w:rPr>
      </w:pPr>
      <w:r>
        <w:rPr>
          <w:rFonts w:hint="eastAsia" w:ascii="仿宋" w:hAnsi="仿宋" w:eastAsia="仿宋" w:cs="宋体"/>
          <w:sz w:val="24"/>
          <w:szCs w:val="24"/>
        </w:rPr>
        <w:t>9、后备电池设计，断电后持续报警并显示箱内实时温度≥20h。</w:t>
      </w:r>
    </w:p>
    <w:p w14:paraId="5E183822">
      <w:pPr>
        <w:wordWrap w:val="0"/>
        <w:topLinePunct/>
        <w:autoSpaceDE w:val="0"/>
        <w:autoSpaceDN w:val="0"/>
        <w:adjustRightInd w:val="0"/>
        <w:spacing w:after="160" w:line="360" w:lineRule="auto"/>
        <w:rPr>
          <w:rFonts w:ascii="仿宋" w:hAnsi="仿宋" w:eastAsia="仿宋" w:cs="华文楷体"/>
          <w:sz w:val="24"/>
          <w:szCs w:val="24"/>
        </w:rPr>
      </w:pPr>
    </w:p>
    <w:p w14:paraId="26C4B805">
      <w:pPr>
        <w:keepNext/>
        <w:keepLines/>
        <w:wordWrap w:val="0"/>
        <w:topLinePunct/>
        <w:spacing w:line="360" w:lineRule="auto"/>
        <w:outlineLvl w:val="2"/>
        <w:rPr>
          <w:rFonts w:ascii="仿宋" w:hAnsi="仿宋" w:eastAsia="仿宋" w:cs="Times New Roman"/>
          <w:b/>
          <w:bCs/>
          <w:sz w:val="24"/>
          <w:szCs w:val="24"/>
        </w:rPr>
      </w:pPr>
      <w:r>
        <w:rPr>
          <w:rFonts w:hint="eastAsia" w:ascii="仿宋" w:hAnsi="仿宋" w:eastAsia="仿宋" w:cs="Times New Roman"/>
          <w:b/>
          <w:bCs/>
          <w:sz w:val="24"/>
          <w:szCs w:val="24"/>
        </w:rPr>
        <w:t>品目号1-5：医用冷藏箱（配置一）</w:t>
      </w:r>
    </w:p>
    <w:p w14:paraId="17581BB4">
      <w:pPr>
        <w:wordWrap w:val="0"/>
        <w:topLinePunct/>
        <w:spacing w:line="360" w:lineRule="auto"/>
        <w:jc w:val="left"/>
        <w:rPr>
          <w:rFonts w:ascii="仿宋" w:hAnsi="仿宋" w:eastAsia="仿宋" w:cs="宋体"/>
          <w:bCs/>
          <w:kern w:val="0"/>
          <w:sz w:val="24"/>
          <w:szCs w:val="24"/>
        </w:rPr>
      </w:pPr>
      <w:r>
        <w:rPr>
          <w:rFonts w:hint="eastAsia" w:ascii="仿宋" w:hAnsi="仿宋" w:eastAsia="仿宋" w:cs="宋体"/>
          <w:bCs/>
          <w:kern w:val="0"/>
          <w:sz w:val="24"/>
          <w:szCs w:val="24"/>
        </w:rPr>
        <w:t>*1、箱内有效容积≥300L，外部高度≤1850mm；</w:t>
      </w:r>
    </w:p>
    <w:p w14:paraId="314818E7">
      <w:pPr>
        <w:wordWrap w:val="0"/>
        <w:topLinePunct/>
        <w:spacing w:line="360" w:lineRule="auto"/>
        <w:jc w:val="left"/>
        <w:rPr>
          <w:rFonts w:ascii="仿宋" w:hAnsi="仿宋" w:eastAsia="仿宋" w:cs="宋体"/>
          <w:bCs/>
          <w:kern w:val="0"/>
          <w:sz w:val="24"/>
          <w:szCs w:val="24"/>
        </w:rPr>
      </w:pPr>
      <w:r>
        <w:rPr>
          <w:rFonts w:hint="eastAsia" w:ascii="仿宋" w:hAnsi="仿宋" w:eastAsia="仿宋" w:cs="宋体"/>
          <w:bCs/>
          <w:kern w:val="0"/>
          <w:sz w:val="24"/>
          <w:szCs w:val="24"/>
        </w:rPr>
        <w:t>2、温度控制：微电脑控制，箱内控温范围2-8℃，LCD液晶显示，实时显示箱内温度；控温精度显示精度0.1℃；高精度传感器≥2路；</w:t>
      </w:r>
    </w:p>
    <w:p w14:paraId="3B83F8F5">
      <w:pPr>
        <w:wordWrap w:val="0"/>
        <w:topLinePunct/>
        <w:spacing w:line="360" w:lineRule="auto"/>
        <w:jc w:val="left"/>
        <w:rPr>
          <w:rFonts w:ascii="仿宋" w:hAnsi="仿宋" w:eastAsia="仿宋" w:cs="宋体"/>
          <w:bCs/>
          <w:kern w:val="0"/>
          <w:sz w:val="24"/>
          <w:szCs w:val="24"/>
        </w:rPr>
      </w:pPr>
      <w:r>
        <w:rPr>
          <w:rFonts w:hint="eastAsia" w:ascii="仿宋" w:hAnsi="仿宋" w:eastAsia="仿宋" w:cs="宋体"/>
          <w:bCs/>
          <w:kern w:val="0"/>
          <w:sz w:val="24"/>
          <w:szCs w:val="24"/>
        </w:rPr>
        <w:t>★3、具有双层LOW-E镀膜玻璃门体，无氟硬质聚氨酯发泡，外壳采用预涂钢板外壳，内板采用PS板；</w:t>
      </w:r>
    </w:p>
    <w:p w14:paraId="58B1190B">
      <w:pPr>
        <w:wordWrap w:val="0"/>
        <w:topLinePunct/>
        <w:spacing w:line="360" w:lineRule="auto"/>
        <w:jc w:val="left"/>
        <w:rPr>
          <w:rFonts w:ascii="仿宋" w:hAnsi="仿宋" w:eastAsia="仿宋" w:cs="宋体"/>
          <w:bCs/>
          <w:kern w:val="0"/>
          <w:sz w:val="24"/>
          <w:szCs w:val="24"/>
        </w:rPr>
      </w:pPr>
      <w:r>
        <w:rPr>
          <w:rFonts w:hint="eastAsia" w:ascii="仿宋" w:hAnsi="仿宋" w:eastAsia="仿宋" w:cs="宋体"/>
          <w:bCs/>
          <w:kern w:val="0"/>
          <w:sz w:val="24"/>
          <w:szCs w:val="24"/>
        </w:rPr>
        <w:t>4、具有多重故障报警：蜂鸣报警、灯光闪烁报警方式，可实现高低温报警、传感器故障报警、断电报警；温度监控：配有测试孔，可接入各式设备，对箱内温度进行监测；</w:t>
      </w:r>
    </w:p>
    <w:p w14:paraId="780020E6">
      <w:pPr>
        <w:wordWrap w:val="0"/>
        <w:topLinePunct/>
        <w:spacing w:line="360" w:lineRule="auto"/>
        <w:jc w:val="left"/>
        <w:rPr>
          <w:rFonts w:ascii="仿宋" w:hAnsi="仿宋" w:eastAsia="仿宋" w:cs="宋体"/>
          <w:bCs/>
          <w:kern w:val="0"/>
          <w:sz w:val="24"/>
          <w:szCs w:val="24"/>
        </w:rPr>
      </w:pPr>
      <w:r>
        <w:rPr>
          <w:rFonts w:hint="eastAsia" w:ascii="仿宋" w:hAnsi="仿宋" w:eastAsia="仿宋" w:cs="宋体"/>
          <w:bCs/>
          <w:kern w:val="0"/>
          <w:sz w:val="24"/>
          <w:szCs w:val="24"/>
        </w:rPr>
        <w:t>5、温度均匀性≤3℃，波动度≤3℃；</w:t>
      </w:r>
      <w:r>
        <w:rPr>
          <w:rFonts w:hint="eastAsia" w:ascii="仿宋" w:hAnsi="仿宋" w:eastAsia="仿宋" w:cs="宋体"/>
          <w:bCs/>
          <w:kern w:val="0"/>
          <w:sz w:val="24"/>
          <w:szCs w:val="24"/>
        </w:rPr>
        <w:br w:type="textWrapping"/>
      </w:r>
      <w:r>
        <w:rPr>
          <w:rFonts w:hint="eastAsia" w:ascii="仿宋" w:hAnsi="仿宋" w:eastAsia="仿宋" w:cs="宋体"/>
          <w:bCs/>
          <w:kern w:val="0"/>
          <w:sz w:val="24"/>
          <w:szCs w:val="24"/>
        </w:rPr>
        <w:t>6、配备4个万向脚轮、2个止动底脚；</w:t>
      </w:r>
    </w:p>
    <w:p w14:paraId="2E1FA4EA">
      <w:pPr>
        <w:wordWrap w:val="0"/>
        <w:topLinePunct/>
        <w:spacing w:line="360" w:lineRule="auto"/>
        <w:jc w:val="left"/>
        <w:rPr>
          <w:rFonts w:ascii="仿宋" w:hAnsi="仿宋" w:eastAsia="仿宋" w:cs="宋体"/>
          <w:bCs/>
          <w:kern w:val="0"/>
          <w:sz w:val="24"/>
          <w:szCs w:val="24"/>
        </w:rPr>
      </w:pPr>
      <w:r>
        <w:rPr>
          <w:rFonts w:hint="eastAsia" w:ascii="仿宋" w:hAnsi="仿宋" w:eastAsia="仿宋" w:cs="宋体"/>
          <w:bCs/>
          <w:kern w:val="0"/>
          <w:sz w:val="24"/>
          <w:szCs w:val="24"/>
        </w:rPr>
        <w:t>7、箱内配置：多层搁架设计，搁架间距可调，配置搁架≥6个；</w:t>
      </w:r>
    </w:p>
    <w:p w14:paraId="33843714">
      <w:pPr>
        <w:wordWrap w:val="0"/>
        <w:topLinePunct/>
        <w:spacing w:line="360" w:lineRule="auto"/>
        <w:jc w:val="left"/>
        <w:rPr>
          <w:rFonts w:ascii="仿宋" w:hAnsi="仿宋" w:eastAsia="仿宋" w:cs="宋体"/>
          <w:bCs/>
          <w:kern w:val="0"/>
          <w:sz w:val="24"/>
          <w:szCs w:val="24"/>
        </w:rPr>
      </w:pPr>
      <w:r>
        <w:rPr>
          <w:rFonts w:hint="eastAsia" w:ascii="仿宋" w:hAnsi="仿宋" w:eastAsia="仿宋" w:cs="宋体"/>
          <w:bCs/>
          <w:kern w:val="0"/>
          <w:sz w:val="24"/>
          <w:szCs w:val="24"/>
        </w:rPr>
        <w:t>8、节能降噪：噪音≤41分贝；</w:t>
      </w:r>
    </w:p>
    <w:p w14:paraId="200F3515">
      <w:pPr>
        <w:wordWrap w:val="0"/>
        <w:topLinePunct/>
        <w:spacing w:line="360" w:lineRule="auto"/>
        <w:jc w:val="left"/>
        <w:rPr>
          <w:rFonts w:ascii="仿宋" w:hAnsi="仿宋" w:eastAsia="仿宋" w:cs="宋体"/>
          <w:bCs/>
          <w:kern w:val="0"/>
          <w:sz w:val="24"/>
          <w:szCs w:val="24"/>
        </w:rPr>
      </w:pPr>
      <w:r>
        <w:rPr>
          <w:rFonts w:hint="eastAsia" w:ascii="仿宋" w:hAnsi="仿宋" w:eastAsia="仿宋" w:cs="宋体"/>
          <w:bCs/>
          <w:kern w:val="0"/>
          <w:sz w:val="24"/>
          <w:szCs w:val="24"/>
        </w:rPr>
        <w:t>9、采用碳氢制冷剂（提供所投设备的铭牌实物图片予以证明）。</w:t>
      </w:r>
    </w:p>
    <w:p w14:paraId="5E4DE240">
      <w:pPr>
        <w:autoSpaceDE w:val="0"/>
        <w:autoSpaceDN w:val="0"/>
        <w:adjustRightInd w:val="0"/>
        <w:spacing w:after="160" w:line="400" w:lineRule="exact"/>
        <w:rPr>
          <w:rFonts w:ascii="仿宋" w:hAnsi="仿宋" w:eastAsia="仿宋" w:cs="宋体"/>
          <w:bCs/>
          <w:sz w:val="24"/>
          <w:szCs w:val="24"/>
        </w:rPr>
      </w:pPr>
      <w:r>
        <w:rPr>
          <w:rFonts w:hint="eastAsia" w:ascii="仿宋" w:hAnsi="仿宋" w:eastAsia="仿宋" w:cs="宋体"/>
          <w:bCs/>
          <w:sz w:val="24"/>
          <w:szCs w:val="24"/>
        </w:rPr>
        <w:t>10、后期可根据采购人要求贴不透光的膜。</w:t>
      </w:r>
    </w:p>
    <w:p w14:paraId="177F5C2C">
      <w:pPr>
        <w:wordWrap w:val="0"/>
        <w:topLinePunct/>
        <w:autoSpaceDE w:val="0"/>
        <w:autoSpaceDN w:val="0"/>
        <w:adjustRightInd w:val="0"/>
        <w:spacing w:after="160" w:line="360" w:lineRule="auto"/>
        <w:rPr>
          <w:rFonts w:ascii="仿宋" w:hAnsi="仿宋" w:eastAsia="仿宋" w:cs="华文楷体"/>
          <w:sz w:val="24"/>
          <w:szCs w:val="24"/>
        </w:rPr>
      </w:pPr>
    </w:p>
    <w:p w14:paraId="2E4AFF8C">
      <w:pPr>
        <w:keepNext/>
        <w:keepLines/>
        <w:wordWrap w:val="0"/>
        <w:topLinePunct/>
        <w:spacing w:line="360" w:lineRule="auto"/>
        <w:outlineLvl w:val="2"/>
        <w:rPr>
          <w:rFonts w:ascii="仿宋" w:hAnsi="仿宋" w:eastAsia="仿宋" w:cs="Times New Roman"/>
          <w:b/>
          <w:bCs/>
          <w:sz w:val="24"/>
          <w:szCs w:val="24"/>
        </w:rPr>
      </w:pPr>
      <w:r>
        <w:rPr>
          <w:rFonts w:hint="eastAsia" w:ascii="仿宋" w:hAnsi="仿宋" w:eastAsia="仿宋" w:cs="Times New Roman"/>
          <w:b/>
          <w:bCs/>
          <w:sz w:val="24"/>
          <w:szCs w:val="24"/>
        </w:rPr>
        <w:t>品目号1-6：医用冷藏箱（配置二）</w:t>
      </w:r>
    </w:p>
    <w:p w14:paraId="08971565">
      <w:pPr>
        <w:wordWrap w:val="0"/>
        <w:topLinePunct/>
        <w:spacing w:line="360" w:lineRule="auto"/>
        <w:rPr>
          <w:rFonts w:ascii="仿宋" w:hAnsi="仿宋" w:eastAsia="仿宋" w:cs="宋体"/>
          <w:kern w:val="0"/>
          <w:sz w:val="24"/>
          <w:szCs w:val="24"/>
        </w:rPr>
      </w:pPr>
      <w:r>
        <w:rPr>
          <w:rFonts w:hint="eastAsia" w:ascii="仿宋" w:hAnsi="仿宋" w:eastAsia="仿宋" w:cs="宋体"/>
          <w:kern w:val="0"/>
          <w:sz w:val="24"/>
          <w:szCs w:val="24"/>
        </w:rPr>
        <w:t>*1、立式对开门设计，有效容积≥750L</w:t>
      </w:r>
    </w:p>
    <w:p w14:paraId="69B8A0B3">
      <w:pPr>
        <w:wordWrap w:val="0"/>
        <w:topLinePunct/>
        <w:spacing w:line="360" w:lineRule="auto"/>
        <w:rPr>
          <w:rFonts w:ascii="仿宋" w:hAnsi="仿宋" w:eastAsia="仿宋" w:cs="宋体"/>
          <w:kern w:val="0"/>
          <w:sz w:val="24"/>
          <w:szCs w:val="24"/>
        </w:rPr>
      </w:pPr>
      <w:r>
        <w:rPr>
          <w:rFonts w:hint="eastAsia" w:ascii="仿宋" w:hAnsi="仿宋" w:eastAsia="仿宋" w:cs="宋体"/>
          <w:kern w:val="0"/>
          <w:sz w:val="24"/>
          <w:szCs w:val="24"/>
        </w:rPr>
        <w:t>★2、微电脑控制，箱内温度范围2℃~8℃；LED温度显示，控制显示精度0.1℃；温度均匀度≤1.5℃；（提供国家认可的第三方检测机构（CMA或CNAS标识）出具的检测报告）</w:t>
      </w:r>
    </w:p>
    <w:p w14:paraId="43D23CA1">
      <w:pPr>
        <w:wordWrap w:val="0"/>
        <w:topLinePunct/>
        <w:spacing w:line="360" w:lineRule="auto"/>
        <w:jc w:val="left"/>
        <w:rPr>
          <w:rFonts w:ascii="仿宋" w:hAnsi="仿宋" w:eastAsia="仿宋" w:cs="宋体"/>
          <w:color w:val="000000"/>
          <w:kern w:val="0"/>
          <w:sz w:val="24"/>
          <w:szCs w:val="24"/>
        </w:rPr>
      </w:pPr>
      <w:r>
        <w:rPr>
          <w:rFonts w:hint="eastAsia" w:ascii="仿宋" w:hAnsi="仿宋" w:eastAsia="仿宋" w:cs="宋体"/>
          <w:kern w:val="0"/>
          <w:sz w:val="24"/>
          <w:szCs w:val="24"/>
        </w:rPr>
        <w:t>3、三层钢化镀</w:t>
      </w:r>
      <w:r>
        <w:rPr>
          <w:rFonts w:hint="eastAsia" w:ascii="仿宋" w:hAnsi="仿宋" w:eastAsia="仿宋" w:cs="宋体"/>
          <w:color w:val="000000"/>
          <w:kern w:val="0"/>
          <w:sz w:val="24"/>
          <w:szCs w:val="24"/>
        </w:rPr>
        <w:t>膜玻璃，边框电加热，智感除露（受环温控制），32℃环温85%湿度下门体无凝露；</w:t>
      </w:r>
    </w:p>
    <w:p w14:paraId="427D45DE">
      <w:pPr>
        <w:wordWrap w:val="0"/>
        <w:topLinePunct/>
        <w:spacing w:line="36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4、具备多种报警方式：至少包含声音蜂鸣报警、灯光闪烁报警、远程报警、云平台报警；具备多种故障报警：至少包含高温报警、低温报警、高环温报警、开门报警、断电报警、传感器故障报警、电池故障报警、冷凝器脏堵报警、通讯故障报警；</w:t>
      </w:r>
    </w:p>
    <w:p w14:paraId="7B376725">
      <w:pPr>
        <w:wordWrap w:val="0"/>
        <w:topLinePunct/>
        <w:spacing w:line="36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5、智能变频压缩机，碳氢制冷剂；直流静音冷凝风机；</w:t>
      </w:r>
    </w:p>
    <w:p w14:paraId="33989A4A">
      <w:pPr>
        <w:wordWrap w:val="0"/>
        <w:topLinePunct/>
        <w:spacing w:line="360" w:lineRule="auto"/>
        <w:jc w:val="left"/>
        <w:rPr>
          <w:rFonts w:ascii="仿宋" w:hAnsi="仿宋" w:eastAsia="仿宋" w:cs="宋体"/>
          <w:sz w:val="24"/>
          <w:szCs w:val="24"/>
          <w:shd w:val="clear" w:color="auto" w:fill="FFFFFF"/>
        </w:rPr>
      </w:pPr>
      <w:r>
        <w:rPr>
          <w:rFonts w:hint="eastAsia" w:ascii="仿宋" w:hAnsi="仿宋" w:eastAsia="仿宋" w:cs="宋体"/>
          <w:color w:val="000000"/>
          <w:kern w:val="0"/>
          <w:sz w:val="24"/>
          <w:szCs w:val="24"/>
        </w:rPr>
        <w:t>★6、整机噪音≤40dB(A) ，日能耗≤3kW·h/24h</w:t>
      </w:r>
      <w:r>
        <w:rPr>
          <w:rFonts w:ascii="仿宋" w:hAnsi="仿宋" w:eastAsia="仿宋" w:cs="宋体"/>
          <w:sz w:val="24"/>
          <w:szCs w:val="24"/>
          <w:shd w:val="clear" w:color="auto" w:fill="FFFFFF"/>
        </w:rPr>
        <w:t>（</w:t>
      </w:r>
      <w:r>
        <w:rPr>
          <w:rFonts w:hint="eastAsia" w:ascii="仿宋" w:hAnsi="仿宋" w:eastAsia="仿宋" w:cs="宋体"/>
          <w:sz w:val="24"/>
          <w:szCs w:val="24"/>
          <w:shd w:val="clear" w:color="auto" w:fill="FFFFFF"/>
        </w:rPr>
        <w:t>提供国家认可的第三方检测机构（CMA或CNAS标识）出具的检测报告）</w:t>
      </w:r>
      <w:r>
        <w:rPr>
          <w:rFonts w:hint="eastAsia" w:ascii="仿宋" w:hAnsi="仿宋" w:eastAsia="仿宋" w:cs="宋体"/>
          <w:color w:val="000000"/>
          <w:kern w:val="0"/>
          <w:sz w:val="24"/>
          <w:szCs w:val="24"/>
        </w:rPr>
        <w:t>；</w:t>
      </w:r>
    </w:p>
    <w:p w14:paraId="5F98B1D8">
      <w:pPr>
        <w:wordWrap w:val="0"/>
        <w:topLinePunct/>
        <w:spacing w:line="36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7、传感器≥6路，整机配备测试孔≥2个；</w:t>
      </w:r>
    </w:p>
    <w:p w14:paraId="64D9C8DE">
      <w:pPr>
        <w:wordWrap w:val="0"/>
        <w:topLinePunct/>
        <w:spacing w:line="36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8、配USB模块，可输出PDF格式文件；可记录十年的温度数据；</w:t>
      </w:r>
    </w:p>
    <w:p w14:paraId="0D6045B7">
      <w:pPr>
        <w:wordWrap w:val="0"/>
        <w:topLinePunct/>
        <w:spacing w:line="36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★9、内置WIFI物联模块，手机APP远程监控设备状态，查看温度情况及报警情况。</w:t>
      </w:r>
    </w:p>
    <w:p w14:paraId="75EA7B94">
      <w:pPr>
        <w:wordWrap w:val="0"/>
        <w:topLinePunct/>
        <w:spacing w:line="360" w:lineRule="auto"/>
        <w:jc w:val="left"/>
        <w:rPr>
          <w:rFonts w:ascii="仿宋" w:hAnsi="仿宋" w:eastAsia="仿宋" w:cs="宋体"/>
          <w:color w:val="000000"/>
          <w:kern w:val="0"/>
          <w:sz w:val="24"/>
          <w:szCs w:val="24"/>
        </w:rPr>
      </w:pPr>
    </w:p>
    <w:p w14:paraId="7E37E8B0">
      <w:pPr>
        <w:keepNext/>
        <w:keepLines/>
        <w:wordWrap w:val="0"/>
        <w:topLinePunct/>
        <w:spacing w:line="360" w:lineRule="auto"/>
        <w:outlineLvl w:val="2"/>
        <w:rPr>
          <w:rFonts w:ascii="仿宋" w:hAnsi="仿宋" w:eastAsia="仿宋" w:cs="Times New Roman"/>
          <w:b/>
          <w:bCs/>
          <w:sz w:val="24"/>
          <w:szCs w:val="24"/>
        </w:rPr>
      </w:pPr>
      <w:r>
        <w:rPr>
          <w:rFonts w:hint="eastAsia" w:ascii="仿宋" w:hAnsi="仿宋" w:eastAsia="仿宋" w:cs="Times New Roman"/>
          <w:b/>
          <w:bCs/>
          <w:sz w:val="24"/>
          <w:szCs w:val="24"/>
        </w:rPr>
        <w:t>品目号1-7：层析柜</w:t>
      </w:r>
    </w:p>
    <w:p w14:paraId="24671B73">
      <w:pPr>
        <w:widowControl/>
        <w:wordWrap w:val="0"/>
        <w:topLinePunct/>
        <w:adjustRightInd w:val="0"/>
        <w:snapToGrid w:val="0"/>
        <w:spacing w:line="360" w:lineRule="auto"/>
        <w:rPr>
          <w:rFonts w:ascii="仿宋" w:hAnsi="仿宋" w:eastAsia="仿宋" w:cs="宋体"/>
          <w:bCs/>
          <w:kern w:val="0"/>
          <w:sz w:val="24"/>
          <w:szCs w:val="24"/>
        </w:rPr>
      </w:pPr>
      <w:r>
        <w:rPr>
          <w:rFonts w:hint="eastAsia" w:ascii="仿宋" w:hAnsi="仿宋" w:eastAsia="仿宋" w:cs="宋体"/>
          <w:bCs/>
          <w:kern w:val="0"/>
          <w:sz w:val="24"/>
          <w:szCs w:val="24"/>
        </w:rPr>
        <w:t>*1、有效容积≥1050L；</w:t>
      </w:r>
    </w:p>
    <w:p w14:paraId="1DDDC1F6">
      <w:pPr>
        <w:wordWrap w:val="0"/>
        <w:topLinePunct/>
        <w:spacing w:line="360" w:lineRule="auto"/>
        <w:rPr>
          <w:rFonts w:ascii="仿宋" w:hAnsi="仿宋" w:eastAsia="仿宋" w:cs="宋体"/>
          <w:bCs/>
          <w:kern w:val="0"/>
          <w:sz w:val="24"/>
          <w:szCs w:val="24"/>
        </w:rPr>
      </w:pPr>
      <w:r>
        <w:rPr>
          <w:rFonts w:hint="eastAsia" w:ascii="仿宋" w:hAnsi="仿宋" w:eastAsia="仿宋" w:cs="宋体"/>
          <w:bCs/>
          <w:kern w:val="0"/>
          <w:sz w:val="24"/>
          <w:szCs w:val="24"/>
        </w:rPr>
        <w:t>2、温度控制:</w:t>
      </w:r>
      <w:r>
        <w:rPr>
          <w:rFonts w:hint="eastAsia" w:ascii="仿宋" w:hAnsi="仿宋" w:eastAsia="仿宋" w:cs="宋体"/>
          <w:bCs/>
          <w:color w:val="000000"/>
          <w:sz w:val="24"/>
          <w:szCs w:val="24"/>
        </w:rPr>
        <w:t>微电脑控制，</w:t>
      </w:r>
      <w:r>
        <w:rPr>
          <w:rFonts w:hint="eastAsia" w:ascii="仿宋" w:hAnsi="仿宋" w:eastAsia="仿宋" w:cs="宋体"/>
          <w:bCs/>
          <w:kern w:val="0"/>
          <w:sz w:val="24"/>
          <w:szCs w:val="24"/>
        </w:rPr>
        <w:t>箱内控温范围2-8℃，LED数码管显示，实时显示箱内温度；控温精度显示精度0.1℃；箱体温度均匀度≤3℃；</w:t>
      </w:r>
    </w:p>
    <w:p w14:paraId="0D288BF0">
      <w:pPr>
        <w:widowControl/>
        <w:wordWrap w:val="0"/>
        <w:topLinePunct/>
        <w:adjustRightInd w:val="0"/>
        <w:snapToGrid w:val="0"/>
        <w:spacing w:line="360" w:lineRule="auto"/>
        <w:rPr>
          <w:rFonts w:ascii="仿宋" w:hAnsi="仿宋" w:eastAsia="仿宋" w:cs="宋体"/>
          <w:bCs/>
          <w:kern w:val="0"/>
          <w:sz w:val="24"/>
          <w:szCs w:val="24"/>
        </w:rPr>
      </w:pPr>
      <w:r>
        <w:rPr>
          <w:rFonts w:hint="eastAsia" w:ascii="仿宋" w:hAnsi="仿宋" w:eastAsia="仿宋" w:cs="宋体"/>
          <w:bCs/>
          <w:kern w:val="0"/>
          <w:sz w:val="24"/>
          <w:szCs w:val="24"/>
        </w:rPr>
        <w:t>3、整体结构：立式，无氟硬质聚氨酯发泡双开双层钢化玻璃门体；电极式加热防凝露设计；内部带防水插座2个；</w:t>
      </w:r>
    </w:p>
    <w:p w14:paraId="3942DE99">
      <w:pPr>
        <w:widowControl/>
        <w:wordWrap w:val="0"/>
        <w:topLinePunct/>
        <w:adjustRightInd w:val="0"/>
        <w:snapToGrid w:val="0"/>
        <w:spacing w:line="360" w:lineRule="auto"/>
        <w:rPr>
          <w:rFonts w:ascii="仿宋" w:hAnsi="仿宋" w:eastAsia="仿宋" w:cs="宋体"/>
          <w:bCs/>
          <w:kern w:val="0"/>
          <w:sz w:val="24"/>
          <w:szCs w:val="24"/>
        </w:rPr>
      </w:pPr>
      <w:r>
        <w:rPr>
          <w:rFonts w:hint="eastAsia" w:ascii="仿宋" w:hAnsi="仿宋" w:eastAsia="仿宋" w:cs="宋体"/>
          <w:bCs/>
          <w:kern w:val="0"/>
          <w:sz w:val="24"/>
          <w:szCs w:val="24"/>
        </w:rPr>
        <w:t>4、内外材质：外壳和内胆使用喷涂钢板；</w:t>
      </w:r>
    </w:p>
    <w:p w14:paraId="0CFBEFFE">
      <w:pPr>
        <w:widowControl/>
        <w:wordWrap w:val="0"/>
        <w:topLinePunct/>
        <w:adjustRightInd w:val="0"/>
        <w:snapToGrid w:val="0"/>
        <w:spacing w:line="360" w:lineRule="auto"/>
        <w:rPr>
          <w:rFonts w:ascii="仿宋" w:hAnsi="仿宋" w:eastAsia="仿宋" w:cs="宋体"/>
          <w:bCs/>
          <w:kern w:val="0"/>
          <w:sz w:val="24"/>
          <w:szCs w:val="24"/>
        </w:rPr>
      </w:pPr>
      <w:r>
        <w:rPr>
          <w:rFonts w:hint="eastAsia" w:ascii="仿宋" w:hAnsi="仿宋" w:eastAsia="仿宋" w:cs="宋体"/>
          <w:bCs/>
          <w:kern w:val="0"/>
          <w:sz w:val="24"/>
          <w:szCs w:val="24"/>
        </w:rPr>
        <w:t>★5、碳氢制冷剂，耗电量≤9KW·h/24h；（提供所投设备的铭牌实物图片予以证明）；</w:t>
      </w:r>
    </w:p>
    <w:p w14:paraId="4AF13AB7">
      <w:pPr>
        <w:widowControl/>
        <w:wordWrap w:val="0"/>
        <w:topLinePunct/>
        <w:adjustRightInd w:val="0"/>
        <w:snapToGrid w:val="0"/>
        <w:spacing w:line="360" w:lineRule="auto"/>
        <w:rPr>
          <w:rFonts w:ascii="仿宋" w:hAnsi="仿宋" w:eastAsia="仿宋" w:cs="宋体"/>
          <w:bCs/>
          <w:sz w:val="24"/>
          <w:szCs w:val="24"/>
        </w:rPr>
      </w:pPr>
      <w:r>
        <w:rPr>
          <w:rFonts w:hint="eastAsia" w:ascii="仿宋" w:hAnsi="仿宋" w:eastAsia="仿宋" w:cs="宋体"/>
          <w:bCs/>
          <w:kern w:val="0"/>
          <w:sz w:val="24"/>
          <w:szCs w:val="24"/>
        </w:rPr>
        <w:t>6、采用翅片式蒸发器设计，丝管式冷凝器设计；</w:t>
      </w:r>
      <w:r>
        <w:rPr>
          <w:rFonts w:hint="eastAsia" w:ascii="仿宋" w:hAnsi="仿宋" w:eastAsia="仿宋" w:cs="宋体"/>
          <w:bCs/>
          <w:sz w:val="24"/>
          <w:szCs w:val="24"/>
        </w:rPr>
        <w:t>高精度传感器≥3路；</w:t>
      </w:r>
    </w:p>
    <w:p w14:paraId="20FA6053">
      <w:pPr>
        <w:wordWrap w:val="0"/>
        <w:topLinePunct/>
        <w:adjustRightInd w:val="0"/>
        <w:snapToGrid w:val="0"/>
        <w:spacing w:line="360" w:lineRule="auto"/>
        <w:rPr>
          <w:rFonts w:ascii="仿宋" w:hAnsi="仿宋" w:eastAsia="仿宋" w:cs="宋体"/>
          <w:bCs/>
          <w:kern w:val="0"/>
          <w:sz w:val="24"/>
          <w:szCs w:val="24"/>
        </w:rPr>
      </w:pPr>
      <w:r>
        <w:rPr>
          <w:rFonts w:hint="eastAsia" w:ascii="仿宋" w:hAnsi="仿宋" w:eastAsia="仿宋" w:cs="宋体"/>
          <w:bCs/>
          <w:kern w:val="0"/>
          <w:sz w:val="24"/>
          <w:szCs w:val="24"/>
        </w:rPr>
        <w:t>7、安全系统：多重故障报警，具有蜂鸣报警、灯光闪烁、远程报警；≥五种报警方式，可实现高低温报警、传感器故障报警、断电报警、电池电量低报警、开门报警。</w:t>
      </w:r>
    </w:p>
    <w:p w14:paraId="378024BB">
      <w:pPr>
        <w:keepNext/>
        <w:keepLines/>
        <w:spacing w:line="360" w:lineRule="auto"/>
        <w:outlineLvl w:val="2"/>
        <w:rPr>
          <w:rFonts w:ascii="仿宋" w:hAnsi="仿宋" w:eastAsia="仿宋" w:cs="仿宋"/>
          <w:b/>
          <w:bCs/>
          <w:sz w:val="24"/>
          <w:szCs w:val="24"/>
        </w:rPr>
      </w:pPr>
      <w:r>
        <w:rPr>
          <w:rFonts w:hint="eastAsia" w:ascii="仿宋" w:hAnsi="仿宋" w:eastAsia="仿宋" w:cs="仿宋"/>
          <w:b/>
          <w:bCs/>
          <w:sz w:val="24"/>
          <w:szCs w:val="24"/>
        </w:rPr>
        <w:t>02包：</w:t>
      </w:r>
    </w:p>
    <w:p w14:paraId="5E1E0AD9">
      <w:pPr>
        <w:spacing w:after="160" w:line="259" w:lineRule="auto"/>
        <w:outlineLvl w:val="2"/>
        <w:rPr>
          <w:rFonts w:ascii="仿宋" w:hAnsi="仿宋" w:eastAsia="仿宋" w:cs="仿宋"/>
          <w:b/>
          <w:bCs/>
          <w:sz w:val="24"/>
          <w:szCs w:val="24"/>
          <w:lang w:bidi="ar"/>
        </w:rPr>
      </w:pPr>
      <w:r>
        <w:rPr>
          <w:rFonts w:hint="eastAsia" w:ascii="仿宋" w:hAnsi="仿宋" w:eastAsia="仿宋" w:cs="仿宋"/>
          <w:b/>
          <w:bCs/>
          <w:sz w:val="24"/>
          <w:szCs w:val="24"/>
          <w:lang w:bidi="ar"/>
        </w:rPr>
        <w:t>品目号2-1： 双人生物安全柜</w:t>
      </w:r>
    </w:p>
    <w:p w14:paraId="6C54DA9D">
      <w:pPr>
        <w:snapToGrid w:val="0"/>
        <w:spacing w:line="360" w:lineRule="auto"/>
        <w:ind w:firstLine="480" w:firstLineChars="200"/>
        <w:jc w:val="left"/>
        <w:rPr>
          <w:rFonts w:ascii="仿宋" w:hAnsi="仿宋" w:eastAsia="仿宋" w:cs="宋体"/>
          <w:sz w:val="24"/>
          <w:szCs w:val="24"/>
        </w:rPr>
      </w:pPr>
      <w:bookmarkStart w:id="5" w:name="_Hlk191930016"/>
      <w:r>
        <w:rPr>
          <w:rFonts w:hint="eastAsia" w:ascii="仿宋" w:hAnsi="仿宋" w:eastAsia="仿宋" w:cs="宋体"/>
          <w:sz w:val="24"/>
          <w:szCs w:val="24"/>
        </w:rPr>
        <w:t>1.类型：A2型，排气特性：70%气体循环，30%气体排放室内。HEPA过滤模块：包含至少两个HEPA过滤模块，分别实现外排风和下降风的过滤。HEPA过滤效率：过滤器最易穿透颗粒（MPPS）过滤效率高于99.995%，0.3微米颗粒的截留效率高于99.999%。</w:t>
      </w:r>
    </w:p>
    <w:p w14:paraId="331AE606">
      <w:pPr>
        <w:snapToGrid w:val="0"/>
        <w:spacing w:line="360" w:lineRule="auto"/>
        <w:ind w:firstLine="420" w:firstLineChars="200"/>
        <w:jc w:val="left"/>
        <w:rPr>
          <w:rFonts w:ascii="仿宋" w:hAnsi="仿宋" w:eastAsia="仿宋" w:cs="宋体"/>
          <w:sz w:val="24"/>
          <w:szCs w:val="24"/>
        </w:rPr>
      </w:pPr>
      <w:r>
        <w:rPr>
          <w:rFonts w:hint="eastAsia" w:ascii="Times New Roman" w:hAnsi="Times New Roman" w:eastAsia="宋体" w:cs="Times New Roman"/>
          <w:szCs w:val="24"/>
        </w:rPr>
        <w:t>★</w:t>
      </w:r>
      <w:r>
        <w:rPr>
          <w:rFonts w:hint="eastAsia" w:ascii="仿宋" w:hAnsi="仿宋" w:eastAsia="仿宋" w:cs="宋体"/>
          <w:sz w:val="24"/>
          <w:szCs w:val="24"/>
        </w:rPr>
        <w:t>2. 工作台面材料:不锈钢一体成型，工作台面表面承重≥20kg，工作台面最高承重≥50Kg。噪音: ≤ 65 dB，照明度：＞1200 Lux，正常工作功耗≤400W，节能模式下功耗≤120W。</w:t>
      </w:r>
    </w:p>
    <w:p w14:paraId="6973A9FC">
      <w:pPr>
        <w:snapToGrid w:val="0"/>
        <w:spacing w:line="360" w:lineRule="auto"/>
        <w:ind w:firstLine="420" w:firstLineChars="200"/>
        <w:jc w:val="left"/>
        <w:rPr>
          <w:rFonts w:ascii="仿宋" w:hAnsi="仿宋" w:eastAsia="仿宋" w:cs="宋体"/>
          <w:sz w:val="24"/>
          <w:szCs w:val="24"/>
        </w:rPr>
      </w:pPr>
      <w:bookmarkStart w:id="6" w:name="_Hlk191931934"/>
      <w:r>
        <w:rPr>
          <w:rFonts w:hint="eastAsia" w:ascii="Times New Roman" w:hAnsi="Times New Roman" w:eastAsia="宋体" w:cs="Times New Roman"/>
          <w:szCs w:val="24"/>
        </w:rPr>
        <w:t>★</w:t>
      </w:r>
      <w:bookmarkEnd w:id="6"/>
      <w:r>
        <w:rPr>
          <w:rFonts w:hint="eastAsia" w:ascii="仿宋" w:hAnsi="仿宋" w:eastAsia="仿宋" w:cs="宋体"/>
          <w:sz w:val="24"/>
          <w:szCs w:val="24"/>
        </w:rPr>
        <w:t>3. 前窗在无需拆卸任何附件下可整块下移动至前窗中部，清洁前窗时无须身体探入安全柜内部。前窗玻璃至少采用双层玻璃，前窗玻璃采用左右两侧全金属固定方式。</w:t>
      </w:r>
      <w:r>
        <w:rPr>
          <w:rFonts w:hint="eastAsia" w:ascii="仿宋" w:hAnsi="仿宋" w:eastAsia="仿宋" w:cs="宋体"/>
          <w:b/>
          <w:bCs/>
          <w:sz w:val="24"/>
          <w:szCs w:val="24"/>
        </w:rPr>
        <w:t>（</w:t>
      </w:r>
      <w:bookmarkStart w:id="7" w:name="_Hlk191927069"/>
      <w:r>
        <w:rPr>
          <w:rFonts w:hint="eastAsia" w:ascii="仿宋" w:hAnsi="仿宋" w:eastAsia="仿宋" w:cs="宋体"/>
          <w:b/>
          <w:bCs/>
          <w:sz w:val="24"/>
          <w:szCs w:val="24"/>
        </w:rPr>
        <w:t>须提供实物图片予以佐证</w:t>
      </w:r>
      <w:bookmarkEnd w:id="7"/>
      <w:r>
        <w:rPr>
          <w:rFonts w:hint="eastAsia" w:ascii="仿宋" w:hAnsi="仿宋" w:eastAsia="仿宋" w:cs="宋体"/>
          <w:b/>
          <w:bCs/>
          <w:sz w:val="24"/>
          <w:szCs w:val="24"/>
        </w:rPr>
        <w:t>）</w:t>
      </w:r>
    </w:p>
    <w:p w14:paraId="43CDD166">
      <w:pPr>
        <w:snapToGrid w:val="0"/>
        <w:spacing w:line="360" w:lineRule="auto"/>
        <w:ind w:firstLine="480" w:firstLineChars="200"/>
        <w:jc w:val="left"/>
        <w:rPr>
          <w:rFonts w:ascii="仿宋" w:hAnsi="仿宋" w:eastAsia="仿宋" w:cs="宋体"/>
          <w:b/>
          <w:bCs/>
          <w:sz w:val="24"/>
          <w:szCs w:val="24"/>
        </w:rPr>
      </w:pPr>
      <w:r>
        <w:rPr>
          <w:rFonts w:hint="eastAsia" w:ascii="仿宋" w:hAnsi="仿宋" w:eastAsia="仿宋" w:cs="宋体"/>
          <w:sz w:val="24"/>
          <w:szCs w:val="24"/>
        </w:rPr>
        <w:t>4. 配备高度可调支架，支架高度至少可从68~88cm范围内可调</w:t>
      </w:r>
      <w:r>
        <w:rPr>
          <w:rFonts w:hint="eastAsia" w:ascii="仿宋" w:hAnsi="仿宋" w:eastAsia="仿宋" w:cs="宋体"/>
          <w:b/>
          <w:bCs/>
          <w:sz w:val="24"/>
          <w:szCs w:val="24"/>
        </w:rPr>
        <w:t>（须提供实物丈量尺寸予以佐证）</w:t>
      </w:r>
      <w:r>
        <w:rPr>
          <w:rFonts w:hint="eastAsia" w:ascii="仿宋" w:hAnsi="仿宋" w:eastAsia="仿宋" w:cs="宋体"/>
          <w:sz w:val="24"/>
          <w:szCs w:val="24"/>
        </w:rPr>
        <w:t>；配置搁手架长度为20-40cm，搁手架分布于安全柜内前进气格栅左、右两侧，卡入式设计。</w:t>
      </w:r>
      <w:r>
        <w:rPr>
          <w:rFonts w:hint="eastAsia" w:ascii="仿宋" w:hAnsi="仿宋" w:eastAsia="仿宋" w:cs="宋体"/>
          <w:b/>
          <w:bCs/>
          <w:sz w:val="24"/>
          <w:szCs w:val="24"/>
        </w:rPr>
        <w:t>（提供实物图片予以佐证）</w:t>
      </w:r>
    </w:p>
    <w:p w14:paraId="3BBC7EFA">
      <w:pPr>
        <w:snapToGrid w:val="0"/>
        <w:spacing w:line="360" w:lineRule="auto"/>
        <w:ind w:firstLine="420" w:firstLineChars="200"/>
        <w:jc w:val="left"/>
        <w:rPr>
          <w:rFonts w:ascii="仿宋" w:hAnsi="仿宋" w:eastAsia="仿宋" w:cs="宋体"/>
          <w:sz w:val="24"/>
          <w:szCs w:val="24"/>
        </w:rPr>
      </w:pPr>
      <w:r>
        <w:rPr>
          <w:rFonts w:hint="eastAsia" w:ascii="Times New Roman" w:hAnsi="Times New Roman" w:eastAsia="宋体" w:cs="Times New Roman"/>
          <w:szCs w:val="24"/>
        </w:rPr>
        <w:t>★</w:t>
      </w:r>
      <w:r>
        <w:rPr>
          <w:rFonts w:hint="eastAsia" w:ascii="仿宋" w:hAnsi="仿宋" w:eastAsia="仿宋" w:cs="宋体"/>
          <w:sz w:val="24"/>
          <w:szCs w:val="24"/>
        </w:rPr>
        <w:t>5. 至少采用四风机设计，排气风机数量≥2个，下降流风机≥2个，分别独立控制进风和出风，无须使用节气阀来手动调节。</w:t>
      </w:r>
      <w:r>
        <w:rPr>
          <w:rFonts w:hint="eastAsia" w:ascii="仿宋" w:hAnsi="仿宋" w:eastAsia="仿宋" w:cs="宋体"/>
          <w:b/>
          <w:bCs/>
          <w:sz w:val="24"/>
          <w:szCs w:val="24"/>
        </w:rPr>
        <w:t>（提供仪器内部风机实物图片予以佐证）</w:t>
      </w:r>
      <w:r>
        <w:rPr>
          <w:rFonts w:hint="eastAsia" w:ascii="仿宋" w:hAnsi="仿宋" w:eastAsia="仿宋" w:cs="宋体"/>
          <w:sz w:val="24"/>
          <w:szCs w:val="24"/>
        </w:rPr>
        <w:t>。</w:t>
      </w:r>
    </w:p>
    <w:p w14:paraId="565340CB">
      <w:pPr>
        <w:snapToGrid w:val="0"/>
        <w:spacing w:line="360" w:lineRule="auto"/>
        <w:ind w:firstLine="480" w:firstLineChars="200"/>
        <w:jc w:val="left"/>
        <w:rPr>
          <w:rFonts w:ascii="仿宋" w:hAnsi="仿宋" w:eastAsia="仿宋" w:cs="宋体"/>
          <w:sz w:val="24"/>
          <w:szCs w:val="24"/>
        </w:rPr>
      </w:pPr>
      <w:r>
        <w:rPr>
          <w:rFonts w:hint="eastAsia" w:ascii="仿宋" w:hAnsi="仿宋" w:eastAsia="仿宋" w:cs="宋体"/>
          <w:sz w:val="24"/>
          <w:szCs w:val="24"/>
        </w:rPr>
        <w:t>6. 控制面板信息:时间显示，风速显示(下降风速,进风风速)，总工作时间显示，定时器，UV灯工作时间，实时显示整个柜体的状态（包括运行是否安全，是否需要检修）</w:t>
      </w:r>
    </w:p>
    <w:p w14:paraId="7D7C45A2">
      <w:pPr>
        <w:snapToGrid w:val="0"/>
        <w:spacing w:line="360" w:lineRule="auto"/>
        <w:ind w:firstLine="420" w:firstLineChars="200"/>
        <w:jc w:val="left"/>
        <w:rPr>
          <w:rFonts w:ascii="仿宋" w:hAnsi="仿宋" w:eastAsia="仿宋" w:cs="宋体"/>
          <w:b/>
          <w:bCs/>
          <w:sz w:val="24"/>
          <w:szCs w:val="24"/>
        </w:rPr>
      </w:pPr>
      <w:r>
        <w:rPr>
          <w:rFonts w:hint="eastAsia" w:ascii="Times New Roman" w:hAnsi="Times New Roman" w:eastAsia="宋体" w:cs="Times New Roman"/>
          <w:szCs w:val="24"/>
        </w:rPr>
        <w:t>★</w:t>
      </w:r>
      <w:r>
        <w:rPr>
          <w:rFonts w:hint="eastAsia" w:ascii="仿宋" w:hAnsi="仿宋" w:eastAsia="仿宋" w:cs="宋体"/>
          <w:sz w:val="24"/>
          <w:szCs w:val="24"/>
        </w:rPr>
        <w:t>7. 前窗完全关闭时，自动将风机输出比率降低至1</w:t>
      </w:r>
      <w:r>
        <w:rPr>
          <w:rFonts w:ascii="仿宋" w:hAnsi="仿宋" w:eastAsia="仿宋" w:cs="宋体"/>
          <w:sz w:val="24"/>
          <w:szCs w:val="24"/>
        </w:rPr>
        <w:t>0%—</w:t>
      </w:r>
      <w:r>
        <w:rPr>
          <w:rFonts w:hint="eastAsia" w:ascii="仿宋" w:hAnsi="仿宋" w:eastAsia="仿宋" w:cs="宋体"/>
          <w:sz w:val="24"/>
          <w:szCs w:val="24"/>
        </w:rPr>
        <w:t>30%。</w:t>
      </w:r>
      <w:r>
        <w:rPr>
          <w:rFonts w:hint="eastAsia" w:ascii="仿宋" w:hAnsi="仿宋" w:eastAsia="仿宋" w:cs="宋体"/>
          <w:b/>
          <w:bCs/>
          <w:sz w:val="24"/>
          <w:szCs w:val="24"/>
        </w:rPr>
        <w:t>（提供产品说明书或实物演示图片予以佐证）</w:t>
      </w:r>
    </w:p>
    <w:p w14:paraId="0BCCAAC7">
      <w:pPr>
        <w:snapToGrid w:val="0"/>
        <w:spacing w:line="360" w:lineRule="auto"/>
        <w:ind w:firstLine="480" w:firstLineChars="200"/>
        <w:jc w:val="left"/>
        <w:rPr>
          <w:rFonts w:ascii="仿宋" w:hAnsi="仿宋" w:eastAsia="仿宋" w:cs="宋体"/>
          <w:sz w:val="24"/>
          <w:szCs w:val="24"/>
        </w:rPr>
      </w:pPr>
      <w:r>
        <w:rPr>
          <w:rFonts w:hint="eastAsia" w:ascii="仿宋" w:hAnsi="仿宋" w:eastAsia="仿宋" w:cs="宋体"/>
          <w:sz w:val="24"/>
          <w:szCs w:val="24"/>
        </w:rPr>
        <w:t>8. 前窗倾角：≥10°倾角。</w:t>
      </w:r>
    </w:p>
    <w:p w14:paraId="732ED1FA">
      <w:pPr>
        <w:snapToGrid w:val="0"/>
        <w:spacing w:line="360" w:lineRule="auto"/>
        <w:ind w:firstLine="480" w:firstLineChars="200"/>
        <w:jc w:val="left"/>
        <w:rPr>
          <w:rFonts w:ascii="仿宋" w:hAnsi="仿宋" w:eastAsia="仿宋" w:cs="宋体"/>
          <w:b/>
          <w:bCs/>
          <w:sz w:val="24"/>
          <w:szCs w:val="24"/>
        </w:rPr>
      </w:pPr>
      <w:r>
        <w:rPr>
          <w:rFonts w:hint="eastAsia" w:ascii="仿宋" w:hAnsi="仿宋" w:eastAsia="仿宋" w:cs="宋体"/>
          <w:sz w:val="24"/>
          <w:szCs w:val="24"/>
        </w:rPr>
        <w:t>9. 风速报警：至少两个独立式压力传感器用于检测排气和下降气流强制通风时的压力变化。当进气/排气或下降气流速度变化量≥20%时，将发出声音和视觉报警提醒用户。</w:t>
      </w:r>
      <w:r>
        <w:rPr>
          <w:rFonts w:hint="eastAsia" w:ascii="仿宋" w:hAnsi="仿宋" w:eastAsia="仿宋" w:cs="宋体"/>
          <w:b/>
          <w:bCs/>
          <w:sz w:val="24"/>
          <w:szCs w:val="24"/>
        </w:rPr>
        <w:t>（提供仪器内部压力传感器实物图片予以佐证）</w:t>
      </w:r>
    </w:p>
    <w:p w14:paraId="2EAACF70">
      <w:pPr>
        <w:snapToGrid w:val="0"/>
        <w:spacing w:line="360" w:lineRule="auto"/>
        <w:ind w:firstLine="480" w:firstLineChars="200"/>
        <w:jc w:val="left"/>
        <w:rPr>
          <w:rFonts w:ascii="仿宋" w:hAnsi="仿宋" w:eastAsia="仿宋" w:cs="宋体"/>
          <w:b/>
          <w:bCs/>
          <w:sz w:val="24"/>
          <w:szCs w:val="24"/>
        </w:rPr>
      </w:pPr>
      <w:r>
        <w:rPr>
          <w:rFonts w:hint="eastAsia" w:ascii="仿宋" w:hAnsi="仿宋" w:eastAsia="仿宋" w:cs="宋体"/>
          <w:sz w:val="24"/>
          <w:szCs w:val="24"/>
        </w:rPr>
        <w:t>10.工作台下方的集液槽应采用不锈钢制成，并带有排污阀。不应有支撑工作托盘重量的水平金属条。气道内工作托盘下具备纸屑捕获网格，纸屑捕获网格可阻止较大物质如纸巾和薄纸等进入工作气室，损坏风机或过滤器，纸屑捕获网格便于拆除清洁。</w:t>
      </w:r>
      <w:r>
        <w:rPr>
          <w:rFonts w:hint="eastAsia" w:ascii="仿宋" w:hAnsi="仿宋" w:eastAsia="仿宋" w:cs="宋体"/>
          <w:b/>
          <w:bCs/>
          <w:sz w:val="24"/>
          <w:szCs w:val="24"/>
        </w:rPr>
        <w:t>（须提供实物图片予以佐证）</w:t>
      </w:r>
    </w:p>
    <w:p w14:paraId="35577D6A">
      <w:pPr>
        <w:snapToGrid w:val="0"/>
        <w:spacing w:line="360" w:lineRule="auto"/>
        <w:ind w:firstLine="480" w:firstLineChars="200"/>
        <w:jc w:val="left"/>
        <w:rPr>
          <w:rFonts w:ascii="仿宋" w:hAnsi="仿宋" w:eastAsia="仿宋" w:cs="宋体"/>
          <w:b/>
          <w:bCs/>
          <w:sz w:val="24"/>
          <w:szCs w:val="24"/>
        </w:rPr>
      </w:pPr>
      <w:r>
        <w:rPr>
          <w:rFonts w:hint="eastAsia" w:ascii="仿宋" w:hAnsi="仿宋" w:eastAsia="仿宋" w:cs="宋体"/>
          <w:sz w:val="24"/>
          <w:szCs w:val="24"/>
        </w:rPr>
        <w:t>11. 柜体前端底部采用硅胶条覆盖前部缝隙</w:t>
      </w:r>
      <w:r>
        <w:rPr>
          <w:rFonts w:ascii="仿宋" w:hAnsi="仿宋" w:eastAsia="仿宋" w:cs="宋体"/>
          <w:sz w:val="24"/>
          <w:szCs w:val="24"/>
        </w:rPr>
        <w:t>。</w:t>
      </w:r>
      <w:r>
        <w:rPr>
          <w:rFonts w:hint="eastAsia" w:ascii="仿宋" w:hAnsi="仿宋" w:eastAsia="仿宋" w:cs="宋体"/>
          <w:b/>
          <w:bCs/>
          <w:sz w:val="24"/>
          <w:szCs w:val="24"/>
        </w:rPr>
        <w:t>（提供实物图片予以佐证）</w:t>
      </w:r>
    </w:p>
    <w:p w14:paraId="3EF00911">
      <w:pPr>
        <w:snapToGrid w:val="0"/>
        <w:spacing w:line="360" w:lineRule="auto"/>
        <w:ind w:firstLine="480" w:firstLineChars="200"/>
        <w:jc w:val="left"/>
        <w:rPr>
          <w:rFonts w:ascii="仿宋" w:hAnsi="仿宋" w:eastAsia="仿宋" w:cs="宋体"/>
          <w:sz w:val="24"/>
          <w:szCs w:val="24"/>
        </w:rPr>
      </w:pPr>
      <w:r>
        <w:rPr>
          <w:rFonts w:hint="eastAsia" w:ascii="仿宋" w:hAnsi="仿宋" w:eastAsia="仿宋" w:cs="宋体"/>
          <w:sz w:val="24"/>
          <w:szCs w:val="24"/>
        </w:rPr>
        <w:t>12. 侧壁每侧至少包含两个服务阀口，用于安装气阀、水阀和真空阀。</w:t>
      </w:r>
    </w:p>
    <w:p w14:paraId="1BA04408">
      <w:pPr>
        <w:snapToGrid w:val="0"/>
        <w:spacing w:line="360" w:lineRule="auto"/>
        <w:ind w:firstLine="420" w:firstLineChars="200"/>
        <w:jc w:val="left"/>
        <w:rPr>
          <w:rFonts w:ascii="仿宋" w:hAnsi="仿宋" w:eastAsia="仿宋" w:cs="宋体"/>
          <w:sz w:val="24"/>
          <w:szCs w:val="24"/>
        </w:rPr>
      </w:pPr>
      <w:r>
        <w:rPr>
          <w:rFonts w:hint="eastAsia" w:ascii="Times New Roman" w:hAnsi="Times New Roman" w:eastAsia="宋体" w:cs="Times New Roman"/>
          <w:szCs w:val="24"/>
        </w:rPr>
        <w:t>★</w:t>
      </w:r>
      <w:r>
        <w:rPr>
          <w:rFonts w:hint="eastAsia" w:ascii="仿宋" w:hAnsi="仿宋" w:eastAsia="仿宋" w:cs="宋体"/>
          <w:sz w:val="24"/>
          <w:szCs w:val="24"/>
        </w:rPr>
        <w:t>13. 前窗工作开口高度：≥250mm；前窗最高开口高度：≥535mm</w:t>
      </w:r>
      <w:r>
        <w:rPr>
          <w:rFonts w:hint="eastAsia" w:ascii="仿宋" w:hAnsi="仿宋" w:eastAsia="仿宋" w:cs="宋体"/>
          <w:b/>
          <w:bCs/>
          <w:sz w:val="24"/>
          <w:szCs w:val="24"/>
        </w:rPr>
        <w:t>（须提供实物丈量尺寸予以佐证）</w:t>
      </w:r>
      <w:r>
        <w:rPr>
          <w:rFonts w:hint="eastAsia" w:ascii="仿宋" w:hAnsi="仿宋" w:eastAsia="仿宋" w:cs="宋体"/>
          <w:sz w:val="24"/>
          <w:szCs w:val="24"/>
        </w:rPr>
        <w:t>；内部尺寸要求:宽度≥1800mm，深度≥630mm，高度≥780mm；外部尺寸要求:宽度≤1900mm，深度≤800mm。</w:t>
      </w:r>
    </w:p>
    <w:p w14:paraId="11AD6F5C">
      <w:pPr>
        <w:snapToGrid w:val="0"/>
        <w:spacing w:line="360" w:lineRule="auto"/>
        <w:ind w:firstLine="420" w:firstLineChars="200"/>
        <w:jc w:val="left"/>
        <w:rPr>
          <w:rFonts w:ascii="仿宋" w:hAnsi="仿宋" w:eastAsia="仿宋" w:cs="宋体"/>
          <w:sz w:val="24"/>
          <w:szCs w:val="24"/>
        </w:rPr>
      </w:pPr>
      <w:r>
        <w:rPr>
          <w:rFonts w:hint="eastAsia" w:ascii="Times New Roman" w:hAnsi="Times New Roman" w:eastAsia="宋体" w:cs="Times New Roman"/>
          <w:szCs w:val="24"/>
        </w:rPr>
        <w:t>★</w:t>
      </w:r>
      <w:r>
        <w:rPr>
          <w:rFonts w:hint="eastAsia" w:ascii="仿宋" w:hAnsi="仿宋" w:eastAsia="仿宋" w:cs="宋体"/>
          <w:sz w:val="24"/>
          <w:szCs w:val="24"/>
        </w:rPr>
        <w:t>14. 符合YY0569-2011标准，设备使用期限≥10年</w:t>
      </w:r>
      <w:r>
        <w:rPr>
          <w:rFonts w:hint="eastAsia" w:ascii="仿宋" w:hAnsi="仿宋" w:eastAsia="仿宋" w:cs="宋体"/>
          <w:b/>
          <w:bCs/>
          <w:sz w:val="24"/>
          <w:szCs w:val="24"/>
        </w:rPr>
        <w:t>（提供国家认可的第三方检测机构出具的产品检测报告或实物铭牌予以佐证）</w:t>
      </w:r>
    </w:p>
    <w:p w14:paraId="31890355">
      <w:pPr>
        <w:snapToGrid w:val="0"/>
        <w:spacing w:line="360" w:lineRule="auto"/>
        <w:ind w:firstLine="480" w:firstLineChars="200"/>
        <w:jc w:val="left"/>
        <w:rPr>
          <w:rFonts w:ascii="仿宋" w:hAnsi="仿宋" w:eastAsia="仿宋" w:cs="宋体"/>
          <w:sz w:val="24"/>
          <w:szCs w:val="24"/>
        </w:rPr>
      </w:pPr>
      <w:r>
        <w:rPr>
          <w:rFonts w:hint="eastAsia" w:ascii="仿宋" w:hAnsi="仿宋" w:eastAsia="仿宋" w:cs="仿宋"/>
          <w:kern w:val="0"/>
          <w:sz w:val="24"/>
          <w:szCs w:val="24"/>
        </w:rPr>
        <w:t>*</w:t>
      </w:r>
      <w:r>
        <w:rPr>
          <w:rFonts w:hint="eastAsia" w:ascii="仿宋" w:hAnsi="仿宋" w:eastAsia="仿宋" w:cs="宋体"/>
          <w:sz w:val="24"/>
          <w:szCs w:val="24"/>
        </w:rPr>
        <w:t>15. 提供配置：主机1台，紫外灯1套，照明灯1套，搁手架2个，可调高度支架1套。</w:t>
      </w:r>
    </w:p>
    <w:bookmarkEnd w:id="5"/>
    <w:p w14:paraId="0D7556E3">
      <w:pPr>
        <w:snapToGrid w:val="0"/>
        <w:spacing w:line="360" w:lineRule="auto"/>
        <w:ind w:firstLine="480" w:firstLineChars="200"/>
        <w:jc w:val="left"/>
        <w:rPr>
          <w:rFonts w:ascii="仿宋" w:hAnsi="仿宋" w:eastAsia="仿宋" w:cs="宋体"/>
          <w:sz w:val="24"/>
          <w:szCs w:val="24"/>
        </w:rPr>
      </w:pPr>
    </w:p>
    <w:p w14:paraId="72D2AA59">
      <w:pPr>
        <w:spacing w:after="160" w:line="259" w:lineRule="auto"/>
        <w:outlineLvl w:val="2"/>
        <w:rPr>
          <w:rFonts w:ascii="仿宋" w:hAnsi="仿宋" w:eastAsia="仿宋" w:cs="仿宋"/>
          <w:b/>
          <w:bCs/>
          <w:sz w:val="24"/>
          <w:szCs w:val="24"/>
          <w:lang w:bidi="ar"/>
        </w:rPr>
      </w:pPr>
      <w:r>
        <w:rPr>
          <w:rFonts w:hint="eastAsia" w:ascii="仿宋" w:hAnsi="仿宋" w:eastAsia="仿宋" w:cs="仿宋"/>
          <w:b/>
          <w:bCs/>
          <w:sz w:val="24"/>
          <w:szCs w:val="24"/>
          <w:lang w:bidi="ar"/>
        </w:rPr>
        <w:t>品目号2-2：单人生物安全柜</w:t>
      </w:r>
    </w:p>
    <w:p w14:paraId="4CF2BDC4">
      <w:pPr>
        <w:snapToGrid w:val="0"/>
        <w:spacing w:line="360" w:lineRule="auto"/>
        <w:ind w:firstLine="480" w:firstLineChars="200"/>
        <w:jc w:val="left"/>
        <w:rPr>
          <w:rFonts w:ascii="仿宋" w:hAnsi="仿宋" w:eastAsia="仿宋" w:cs="宋体"/>
          <w:sz w:val="24"/>
          <w:szCs w:val="24"/>
        </w:rPr>
      </w:pPr>
      <w:r>
        <w:rPr>
          <w:rFonts w:hint="eastAsia" w:ascii="仿宋" w:hAnsi="仿宋" w:eastAsia="仿宋" w:cs="宋体"/>
          <w:sz w:val="24"/>
          <w:szCs w:val="24"/>
        </w:rPr>
        <w:t>1. 类型：A2型，排气特性：70%气体循环，30%气体排放室内。HEPA过滤模块：包含至少两个HEPA过滤模块，分别实现外排风和下降风的过滤。HEPA过滤效率：过滤器最易穿透颗粒（MPPS）过滤效率高于99.995%。0.3微米颗粒的截留效率高于99.999%。</w:t>
      </w:r>
    </w:p>
    <w:p w14:paraId="768175FE">
      <w:pPr>
        <w:snapToGrid w:val="0"/>
        <w:spacing w:line="360" w:lineRule="auto"/>
        <w:ind w:firstLine="480" w:firstLineChars="200"/>
        <w:jc w:val="left"/>
        <w:rPr>
          <w:rFonts w:ascii="仿宋" w:hAnsi="仿宋" w:eastAsia="仿宋" w:cs="宋体"/>
          <w:sz w:val="24"/>
          <w:szCs w:val="24"/>
        </w:rPr>
      </w:pPr>
      <w:r>
        <w:rPr>
          <w:rFonts w:hint="eastAsia" w:ascii="仿宋" w:hAnsi="仿宋" w:eastAsia="仿宋" w:cs="宋体"/>
          <w:sz w:val="24"/>
          <w:szCs w:val="24"/>
        </w:rPr>
        <w:t>2. 工作台面材料:不锈钢一体成型，工作台面表面承重≥20kg，工作台面最高承重≥50Kg，噪音: ≤ 65 dB，照明度：＞1200 Lux，正常工作功耗≤200W，节能模式下功耗≤70W。</w:t>
      </w:r>
    </w:p>
    <w:p w14:paraId="2DC4B9AF">
      <w:pPr>
        <w:snapToGrid w:val="0"/>
        <w:spacing w:line="360" w:lineRule="auto"/>
        <w:ind w:firstLine="480" w:firstLineChars="200"/>
        <w:jc w:val="left"/>
        <w:rPr>
          <w:rFonts w:ascii="仿宋" w:hAnsi="仿宋" w:eastAsia="仿宋" w:cs="宋体"/>
          <w:b/>
          <w:bCs/>
          <w:sz w:val="24"/>
          <w:szCs w:val="24"/>
        </w:rPr>
      </w:pPr>
      <w:r>
        <w:rPr>
          <w:rFonts w:hint="eastAsia" w:ascii="仿宋" w:hAnsi="仿宋" w:eastAsia="仿宋" w:cs="宋体"/>
          <w:sz w:val="24"/>
          <w:szCs w:val="24"/>
        </w:rPr>
        <w:t>3. 前窗在无需拆卸任何附件下可整块下移动至前窗中部，清洁前窗时无须身体探入安全柜内部。前窗玻璃至少采用双层玻璃，前窗玻璃采用左右两侧全金属固定方式。</w:t>
      </w:r>
      <w:r>
        <w:rPr>
          <w:rFonts w:hint="eastAsia" w:ascii="仿宋" w:hAnsi="仿宋" w:eastAsia="仿宋" w:cs="宋体"/>
          <w:b/>
          <w:bCs/>
          <w:sz w:val="24"/>
          <w:szCs w:val="24"/>
        </w:rPr>
        <w:t>（提供实物图片予以佐证）</w:t>
      </w:r>
    </w:p>
    <w:p w14:paraId="44EC9B25">
      <w:pPr>
        <w:snapToGrid w:val="0"/>
        <w:spacing w:line="360" w:lineRule="auto"/>
        <w:ind w:firstLine="420" w:firstLineChars="200"/>
        <w:jc w:val="left"/>
        <w:rPr>
          <w:rFonts w:ascii="仿宋" w:hAnsi="仿宋" w:eastAsia="仿宋" w:cs="宋体"/>
          <w:b/>
          <w:bCs/>
          <w:sz w:val="24"/>
          <w:szCs w:val="24"/>
        </w:rPr>
      </w:pPr>
      <w:r>
        <w:rPr>
          <w:rFonts w:hint="eastAsia" w:ascii="Times New Roman" w:hAnsi="Times New Roman" w:eastAsia="宋体" w:cs="Times New Roman"/>
          <w:szCs w:val="24"/>
        </w:rPr>
        <w:t>★</w:t>
      </w:r>
      <w:r>
        <w:rPr>
          <w:rFonts w:hint="eastAsia" w:ascii="仿宋" w:hAnsi="仿宋" w:eastAsia="仿宋" w:cs="宋体"/>
          <w:sz w:val="24"/>
          <w:szCs w:val="24"/>
        </w:rPr>
        <w:t>4. 配备高度可调支架，支架高度至少可从68~88cm范围内可调</w:t>
      </w:r>
      <w:r>
        <w:rPr>
          <w:rFonts w:hint="eastAsia" w:ascii="仿宋" w:hAnsi="仿宋" w:eastAsia="仿宋" w:cs="宋体"/>
          <w:b/>
          <w:bCs/>
          <w:sz w:val="24"/>
          <w:szCs w:val="24"/>
        </w:rPr>
        <w:t>（须提供实物丈量尺寸予以佐证）</w:t>
      </w:r>
      <w:r>
        <w:rPr>
          <w:rFonts w:hint="eastAsia" w:ascii="仿宋" w:hAnsi="仿宋" w:eastAsia="仿宋" w:cs="宋体"/>
          <w:sz w:val="24"/>
          <w:szCs w:val="24"/>
        </w:rPr>
        <w:t>；配置搁手架长度为20-40cm，搁手架分布于安全柜内前进气格栅左、右两侧，卡入式设计。</w:t>
      </w:r>
      <w:r>
        <w:rPr>
          <w:rFonts w:hint="eastAsia" w:ascii="仿宋" w:hAnsi="仿宋" w:eastAsia="仿宋" w:cs="宋体"/>
          <w:b/>
          <w:bCs/>
          <w:sz w:val="24"/>
          <w:szCs w:val="24"/>
        </w:rPr>
        <w:t>（提供实物图片予以佐证）</w:t>
      </w:r>
    </w:p>
    <w:p w14:paraId="0D823AD3">
      <w:pPr>
        <w:snapToGrid w:val="0"/>
        <w:spacing w:line="360" w:lineRule="auto"/>
        <w:ind w:firstLine="480" w:firstLineChars="200"/>
        <w:jc w:val="left"/>
        <w:rPr>
          <w:rFonts w:ascii="仿宋" w:hAnsi="仿宋" w:eastAsia="仿宋" w:cs="宋体"/>
          <w:b/>
          <w:bCs/>
          <w:sz w:val="24"/>
          <w:szCs w:val="24"/>
        </w:rPr>
      </w:pPr>
      <w:r>
        <w:rPr>
          <w:rFonts w:hint="eastAsia" w:ascii="仿宋" w:hAnsi="仿宋" w:eastAsia="仿宋" w:cs="宋体"/>
          <w:sz w:val="24"/>
          <w:szCs w:val="24"/>
        </w:rPr>
        <w:t>5. 至少采用双风机设计，排气风机数量≥1个，下降流风机≥1个，分别独立控制进风和出风，无须使用节气阀来手动调节。</w:t>
      </w:r>
      <w:r>
        <w:rPr>
          <w:rFonts w:hint="eastAsia" w:ascii="仿宋" w:hAnsi="仿宋" w:eastAsia="仿宋" w:cs="宋体"/>
          <w:b/>
          <w:bCs/>
          <w:sz w:val="24"/>
          <w:szCs w:val="24"/>
        </w:rPr>
        <w:t>（提供仪器内部风机实物图片予以佐证）。</w:t>
      </w:r>
    </w:p>
    <w:p w14:paraId="09F45A5C">
      <w:pPr>
        <w:snapToGrid w:val="0"/>
        <w:spacing w:line="360" w:lineRule="auto"/>
        <w:ind w:firstLine="480" w:firstLineChars="200"/>
        <w:jc w:val="left"/>
        <w:rPr>
          <w:rFonts w:ascii="仿宋" w:hAnsi="仿宋" w:eastAsia="仿宋" w:cs="宋体"/>
          <w:sz w:val="24"/>
          <w:szCs w:val="24"/>
        </w:rPr>
      </w:pPr>
      <w:r>
        <w:rPr>
          <w:rFonts w:hint="eastAsia" w:ascii="仿宋" w:hAnsi="仿宋" w:eastAsia="仿宋" w:cs="宋体"/>
          <w:sz w:val="24"/>
          <w:szCs w:val="24"/>
        </w:rPr>
        <w:t>6. 控制面板信息:时间显示，风速显示(下降风速,进风风速)，总工作时间显示，定时器，UV灯工作时间，实时显示整个柜体的状态（包括运行是否安全，是否需要检修）</w:t>
      </w:r>
    </w:p>
    <w:p w14:paraId="2880E1F6">
      <w:pPr>
        <w:snapToGrid w:val="0"/>
        <w:spacing w:line="360" w:lineRule="auto"/>
        <w:ind w:firstLine="480" w:firstLineChars="200"/>
        <w:jc w:val="left"/>
        <w:rPr>
          <w:rFonts w:ascii="仿宋" w:hAnsi="仿宋" w:eastAsia="仿宋" w:cs="宋体"/>
          <w:b/>
          <w:bCs/>
          <w:sz w:val="24"/>
          <w:szCs w:val="24"/>
        </w:rPr>
      </w:pPr>
      <w:r>
        <w:rPr>
          <w:rFonts w:hint="eastAsia" w:ascii="仿宋" w:hAnsi="仿宋" w:eastAsia="仿宋" w:cs="宋体"/>
          <w:sz w:val="24"/>
          <w:szCs w:val="24"/>
        </w:rPr>
        <w:t>7. 前窗完全关闭时，自动将风机输出比率降低至1</w:t>
      </w:r>
      <w:r>
        <w:rPr>
          <w:rFonts w:ascii="仿宋" w:hAnsi="仿宋" w:eastAsia="仿宋" w:cs="宋体"/>
          <w:sz w:val="24"/>
          <w:szCs w:val="24"/>
        </w:rPr>
        <w:t>0%—</w:t>
      </w:r>
      <w:r>
        <w:rPr>
          <w:rFonts w:hint="eastAsia" w:ascii="仿宋" w:hAnsi="仿宋" w:eastAsia="仿宋" w:cs="宋体"/>
          <w:sz w:val="24"/>
          <w:szCs w:val="24"/>
        </w:rPr>
        <w:t>30%</w:t>
      </w:r>
      <w:r>
        <w:rPr>
          <w:rFonts w:ascii="仿宋" w:hAnsi="仿宋" w:eastAsia="仿宋" w:cs="宋体"/>
          <w:sz w:val="24"/>
          <w:szCs w:val="24"/>
        </w:rPr>
        <w:t>。</w:t>
      </w:r>
      <w:r>
        <w:rPr>
          <w:rFonts w:hint="eastAsia" w:ascii="仿宋" w:hAnsi="仿宋" w:eastAsia="仿宋" w:cs="宋体"/>
          <w:b/>
          <w:bCs/>
          <w:sz w:val="24"/>
          <w:szCs w:val="24"/>
        </w:rPr>
        <w:t>（提供产品说明书或实物演示图片予以佐证）</w:t>
      </w:r>
    </w:p>
    <w:p w14:paraId="3D5A1582">
      <w:pPr>
        <w:snapToGrid w:val="0"/>
        <w:spacing w:line="360" w:lineRule="auto"/>
        <w:ind w:firstLine="480" w:firstLineChars="200"/>
        <w:jc w:val="left"/>
        <w:rPr>
          <w:rFonts w:ascii="仿宋" w:hAnsi="仿宋" w:eastAsia="仿宋" w:cs="宋体"/>
          <w:sz w:val="24"/>
          <w:szCs w:val="24"/>
        </w:rPr>
      </w:pPr>
      <w:r>
        <w:rPr>
          <w:rFonts w:hint="eastAsia" w:ascii="仿宋" w:hAnsi="仿宋" w:eastAsia="仿宋" w:cs="宋体"/>
          <w:sz w:val="24"/>
          <w:szCs w:val="24"/>
        </w:rPr>
        <w:t>8. 前窗倾角：≥10°倾角。</w:t>
      </w:r>
    </w:p>
    <w:p w14:paraId="352B6994">
      <w:pPr>
        <w:snapToGrid w:val="0"/>
        <w:spacing w:line="360" w:lineRule="auto"/>
        <w:ind w:firstLine="420" w:firstLineChars="200"/>
        <w:jc w:val="left"/>
        <w:rPr>
          <w:rFonts w:ascii="仿宋" w:hAnsi="仿宋" w:eastAsia="仿宋" w:cs="宋体"/>
          <w:b/>
          <w:bCs/>
          <w:sz w:val="24"/>
          <w:szCs w:val="24"/>
        </w:rPr>
      </w:pPr>
      <w:r>
        <w:rPr>
          <w:rFonts w:hint="eastAsia" w:ascii="Times New Roman" w:hAnsi="Times New Roman" w:eastAsia="宋体" w:cs="Times New Roman"/>
          <w:szCs w:val="24"/>
        </w:rPr>
        <w:t>★</w:t>
      </w:r>
      <w:r>
        <w:rPr>
          <w:rFonts w:hint="eastAsia" w:ascii="仿宋" w:hAnsi="仿宋" w:eastAsia="仿宋" w:cs="宋体"/>
          <w:sz w:val="24"/>
          <w:szCs w:val="24"/>
        </w:rPr>
        <w:t>9. 风速报警：至少两个独立式压力传感器用于检测排气和下降气流强制通风时的压力变化。当进气/排气或下降气流速度变化量≥20%时，将发出声音和视觉报警提醒用户。</w:t>
      </w:r>
      <w:r>
        <w:rPr>
          <w:rFonts w:hint="eastAsia" w:ascii="仿宋" w:hAnsi="仿宋" w:eastAsia="仿宋" w:cs="宋体"/>
          <w:b/>
          <w:bCs/>
          <w:sz w:val="24"/>
          <w:szCs w:val="24"/>
        </w:rPr>
        <w:t>（提供仪器内部压力传感器实物图片予以佐证）</w:t>
      </w:r>
    </w:p>
    <w:p w14:paraId="31A9F556">
      <w:pPr>
        <w:snapToGrid w:val="0"/>
        <w:spacing w:line="360" w:lineRule="auto"/>
        <w:ind w:firstLine="420" w:firstLineChars="200"/>
        <w:jc w:val="left"/>
        <w:rPr>
          <w:rFonts w:ascii="仿宋" w:hAnsi="仿宋" w:eastAsia="仿宋" w:cs="宋体"/>
          <w:b/>
          <w:bCs/>
          <w:sz w:val="24"/>
          <w:szCs w:val="24"/>
        </w:rPr>
      </w:pPr>
      <w:r>
        <w:rPr>
          <w:rFonts w:hint="eastAsia" w:ascii="Times New Roman" w:hAnsi="Times New Roman" w:eastAsia="宋体" w:cs="Times New Roman"/>
          <w:szCs w:val="24"/>
        </w:rPr>
        <w:t>★</w:t>
      </w:r>
      <w:r>
        <w:rPr>
          <w:rFonts w:hint="eastAsia" w:ascii="仿宋" w:hAnsi="仿宋" w:eastAsia="仿宋" w:cs="宋体"/>
          <w:sz w:val="24"/>
          <w:szCs w:val="24"/>
        </w:rPr>
        <w:t>10.工作台下方的集液槽应采用不锈钢制成，并带有排污阀。不应有支撑工作托盘重量的水平金属条。气道内工作托盘下具备纸屑捕获网格。纸屑捕获网格可阻止较大物质如纸巾和薄纸等进入工作气室，损坏风机或过滤器。纸屑捕获网格便于拆除清洁。</w:t>
      </w:r>
      <w:r>
        <w:rPr>
          <w:rFonts w:hint="eastAsia" w:ascii="仿宋" w:hAnsi="仿宋" w:eastAsia="仿宋" w:cs="宋体"/>
          <w:b/>
          <w:bCs/>
          <w:sz w:val="24"/>
          <w:szCs w:val="24"/>
        </w:rPr>
        <w:t>（须提供实物图片予以佐证）</w:t>
      </w:r>
    </w:p>
    <w:p w14:paraId="507815F8">
      <w:pPr>
        <w:snapToGrid w:val="0"/>
        <w:spacing w:line="360" w:lineRule="auto"/>
        <w:ind w:firstLine="420" w:firstLineChars="200"/>
        <w:jc w:val="left"/>
        <w:rPr>
          <w:rFonts w:ascii="仿宋" w:hAnsi="仿宋" w:eastAsia="仿宋" w:cs="宋体"/>
          <w:b/>
          <w:bCs/>
          <w:sz w:val="24"/>
          <w:szCs w:val="24"/>
        </w:rPr>
      </w:pPr>
      <w:r>
        <w:rPr>
          <w:rFonts w:hint="eastAsia" w:ascii="Times New Roman" w:hAnsi="Times New Roman" w:eastAsia="宋体" w:cs="Times New Roman"/>
          <w:szCs w:val="24"/>
        </w:rPr>
        <w:t>★</w:t>
      </w:r>
      <w:r>
        <w:rPr>
          <w:rFonts w:hint="eastAsia" w:ascii="仿宋" w:hAnsi="仿宋" w:eastAsia="仿宋" w:cs="宋体"/>
          <w:sz w:val="24"/>
          <w:szCs w:val="24"/>
        </w:rPr>
        <w:t>11. 柜体前端底部采用硅胶条覆盖前部缝隙。</w:t>
      </w:r>
      <w:r>
        <w:rPr>
          <w:rFonts w:hint="eastAsia" w:ascii="仿宋" w:hAnsi="仿宋" w:eastAsia="仿宋" w:cs="宋体"/>
          <w:b/>
          <w:bCs/>
          <w:sz w:val="24"/>
          <w:szCs w:val="24"/>
        </w:rPr>
        <w:t>（提供实物图片予以佐证）</w:t>
      </w:r>
    </w:p>
    <w:p w14:paraId="4B205222">
      <w:pPr>
        <w:snapToGrid w:val="0"/>
        <w:spacing w:line="360" w:lineRule="auto"/>
        <w:ind w:firstLine="480" w:firstLineChars="200"/>
        <w:jc w:val="left"/>
        <w:rPr>
          <w:rFonts w:ascii="仿宋" w:hAnsi="仿宋" w:eastAsia="仿宋" w:cs="宋体"/>
          <w:sz w:val="24"/>
          <w:szCs w:val="24"/>
        </w:rPr>
      </w:pPr>
      <w:r>
        <w:rPr>
          <w:rFonts w:hint="eastAsia" w:ascii="仿宋" w:hAnsi="仿宋" w:eastAsia="仿宋" w:cs="宋体"/>
          <w:sz w:val="24"/>
          <w:szCs w:val="24"/>
        </w:rPr>
        <w:t>12. 侧壁每侧至少包含两个服务阀口，用于安装气阀、水阀和真空阀。</w:t>
      </w:r>
    </w:p>
    <w:p w14:paraId="66475574">
      <w:pPr>
        <w:snapToGrid w:val="0"/>
        <w:spacing w:line="360" w:lineRule="auto"/>
        <w:ind w:firstLine="420" w:firstLineChars="200"/>
        <w:jc w:val="left"/>
        <w:rPr>
          <w:rFonts w:ascii="仿宋" w:hAnsi="仿宋" w:eastAsia="仿宋" w:cs="宋体"/>
          <w:sz w:val="24"/>
          <w:szCs w:val="24"/>
        </w:rPr>
      </w:pPr>
      <w:r>
        <w:rPr>
          <w:rFonts w:hint="eastAsia" w:ascii="Times New Roman" w:hAnsi="Times New Roman" w:eastAsia="宋体" w:cs="Times New Roman"/>
          <w:szCs w:val="24"/>
        </w:rPr>
        <w:t>★</w:t>
      </w:r>
      <w:r>
        <w:rPr>
          <w:rFonts w:hint="eastAsia" w:ascii="仿宋" w:hAnsi="仿宋" w:eastAsia="仿宋" w:cs="宋体"/>
          <w:sz w:val="24"/>
          <w:szCs w:val="24"/>
        </w:rPr>
        <w:t>13. 前窗工作开口高度：≥250mm；前窗最高开口高度：≥535mm</w:t>
      </w:r>
      <w:r>
        <w:rPr>
          <w:rFonts w:hint="eastAsia" w:ascii="仿宋" w:hAnsi="仿宋" w:eastAsia="仿宋" w:cs="宋体"/>
          <w:b/>
          <w:bCs/>
          <w:sz w:val="24"/>
          <w:szCs w:val="24"/>
        </w:rPr>
        <w:t>（须提供实物丈量尺寸予以佐证）</w:t>
      </w:r>
      <w:r>
        <w:rPr>
          <w:rFonts w:hint="eastAsia" w:ascii="仿宋" w:hAnsi="仿宋" w:eastAsia="仿宋" w:cs="宋体"/>
          <w:sz w:val="24"/>
          <w:szCs w:val="24"/>
        </w:rPr>
        <w:t>；内部尺寸要求:宽度≥1200mm，深度≥630mm，高度≥780mm；外部尺寸要求:宽度≤1300mm，深度≤800mm。</w:t>
      </w:r>
    </w:p>
    <w:p w14:paraId="2A8BEF49">
      <w:pPr>
        <w:snapToGrid w:val="0"/>
        <w:spacing w:line="360" w:lineRule="auto"/>
        <w:ind w:firstLine="420" w:firstLineChars="200"/>
        <w:jc w:val="left"/>
        <w:rPr>
          <w:rFonts w:ascii="仿宋" w:hAnsi="仿宋" w:eastAsia="仿宋" w:cs="宋体"/>
          <w:b/>
          <w:bCs/>
          <w:sz w:val="24"/>
          <w:szCs w:val="24"/>
        </w:rPr>
      </w:pPr>
      <w:r>
        <w:rPr>
          <w:rFonts w:hint="eastAsia" w:ascii="Times New Roman" w:hAnsi="Times New Roman" w:eastAsia="宋体" w:cs="Times New Roman"/>
          <w:szCs w:val="24"/>
        </w:rPr>
        <w:t>★</w:t>
      </w:r>
      <w:r>
        <w:rPr>
          <w:rFonts w:hint="eastAsia" w:ascii="仿宋" w:hAnsi="仿宋" w:eastAsia="仿宋" w:cs="宋体"/>
          <w:sz w:val="24"/>
          <w:szCs w:val="24"/>
        </w:rPr>
        <w:t>14. 符合YY0569-2011标准，设备使用期限≥10年</w:t>
      </w:r>
      <w:r>
        <w:rPr>
          <w:rFonts w:hint="eastAsia" w:ascii="仿宋" w:hAnsi="仿宋" w:eastAsia="仿宋" w:cs="宋体"/>
          <w:b/>
          <w:bCs/>
          <w:sz w:val="24"/>
          <w:szCs w:val="24"/>
        </w:rPr>
        <w:t>（提供国家认可的第三方检测机构出具的产品检测报告或实物铭牌予以佐证）</w:t>
      </w:r>
    </w:p>
    <w:p w14:paraId="77DA1B0A">
      <w:pPr>
        <w:snapToGrid w:val="0"/>
        <w:spacing w:line="360" w:lineRule="auto"/>
        <w:ind w:firstLine="480" w:firstLineChars="200"/>
        <w:jc w:val="left"/>
        <w:rPr>
          <w:rFonts w:ascii="仿宋" w:hAnsi="仿宋" w:eastAsia="仿宋" w:cs="宋体"/>
          <w:sz w:val="24"/>
          <w:szCs w:val="24"/>
        </w:rPr>
      </w:pPr>
      <w:r>
        <w:rPr>
          <w:rFonts w:hint="eastAsia" w:ascii="仿宋" w:hAnsi="仿宋" w:eastAsia="仿宋" w:cs="仿宋"/>
          <w:kern w:val="0"/>
          <w:sz w:val="24"/>
          <w:szCs w:val="24"/>
        </w:rPr>
        <w:t>*</w:t>
      </w:r>
      <w:r>
        <w:rPr>
          <w:rFonts w:hint="eastAsia" w:ascii="仿宋" w:hAnsi="仿宋" w:eastAsia="仿宋" w:cs="宋体"/>
          <w:sz w:val="24"/>
          <w:szCs w:val="24"/>
        </w:rPr>
        <w:t>15. 提供配置：主机1台，紫外灯1套，照明灯1套，搁手架2个，可调高度支架1套。</w:t>
      </w:r>
    </w:p>
    <w:p w14:paraId="4B9270B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A54E9D"/>
    <w:multiLevelType w:val="singleLevel"/>
    <w:tmpl w:val="42A54E9D"/>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0D8"/>
    <w:rsid w:val="0047644B"/>
    <w:rsid w:val="006928D2"/>
    <w:rsid w:val="00B030D8"/>
    <w:rsid w:val="00EC2EEC"/>
    <w:rsid w:val="39F267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99"/>
    <w:rPr>
      <w:sz w:val="18"/>
      <w:szCs w:val="18"/>
    </w:rPr>
  </w:style>
  <w:style w:type="character" w:customStyle="1" w:styleId="7">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8300</Words>
  <Characters>9173</Characters>
  <Lines>67</Lines>
  <Paragraphs>19</Paragraphs>
  <TotalTime>0</TotalTime>
  <ScaleCrop>false</ScaleCrop>
  <LinksUpToDate>false</LinksUpToDate>
  <CharactersWithSpaces>9222</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2025-05-21T09:01:00Z</dcterms:created>
  <dc:creator>zhangjing</dc:creator>
  <cp:lastModifiedBy>清</cp:lastModifiedBy>
  <dcterms:modified xsi:type="dcterms:W3CDTF">2025-05-22T01:04:52Z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1570BE42F3584D2799C693111653BB49_13</vt:lpwstr>
  </property>
</Properties>
</file>