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F380C">
      <w:pPr>
        <w:adjustRightInd w:val="0"/>
        <w:snapToGrid w:val="0"/>
        <w:spacing w:after="156" w:afterLines="50" w:line="360" w:lineRule="auto"/>
        <w:jc w:val="center"/>
        <w:outlineLvl w:val="0"/>
        <w:rPr>
          <w:rFonts w:hint="eastAsia" w:ascii="黑体" w:eastAsia="黑体"/>
          <w:b/>
          <w:color w:val="000000"/>
          <w:kern w:val="44"/>
          <w:sz w:val="48"/>
          <w:szCs w:val="20"/>
          <w:highlight w:val="none"/>
        </w:rPr>
      </w:pPr>
      <w:bookmarkStart w:id="2" w:name="_GoBack"/>
      <w:bookmarkEnd w:id="2"/>
      <w:r>
        <w:rPr>
          <w:rFonts w:hint="eastAsia" w:ascii="宋体" w:hAnsi="宋体"/>
          <w:b/>
          <w:color w:val="000000"/>
          <w:sz w:val="30"/>
          <w:szCs w:val="30"/>
          <w:highlight w:val="none"/>
        </w:rPr>
        <w:t>采购需求</w:t>
      </w:r>
    </w:p>
    <w:p w14:paraId="4D401D60">
      <w:pPr>
        <w:adjustRightInd w:val="0"/>
        <w:snapToGrid w:val="0"/>
        <w:spacing w:before="156" w:beforeLines="50" w:after="156" w:afterLines="50" w:line="360" w:lineRule="auto"/>
        <w:jc w:val="center"/>
        <w:rPr>
          <w:rFonts w:hint="eastAsia" w:ascii="宋体" w:hAnsi="宋体"/>
          <w:b/>
          <w:color w:val="000000"/>
          <w:sz w:val="24"/>
          <w:highlight w:val="none"/>
        </w:rPr>
      </w:pPr>
    </w:p>
    <w:p w14:paraId="4733E6CB">
      <w:pPr>
        <w:adjustRightInd w:val="0"/>
        <w:snapToGrid w:val="0"/>
        <w:spacing w:before="156" w:beforeLines="50" w:after="156" w:afterLines="50" w:line="360" w:lineRule="auto"/>
        <w:jc w:val="center"/>
        <w:rPr>
          <w:rFonts w:hint="eastAsia" w:ascii="宋体" w:hAnsi="宋体"/>
          <w:b/>
          <w:color w:val="000000"/>
          <w:sz w:val="24"/>
          <w:highlight w:val="none"/>
        </w:rPr>
      </w:pPr>
      <w:r>
        <w:rPr>
          <w:rFonts w:hint="eastAsia" w:ascii="宋体" w:hAnsi="宋体"/>
          <w:b/>
          <w:color w:val="000000"/>
          <w:sz w:val="24"/>
          <w:highlight w:val="none"/>
        </w:rPr>
        <w:t>货物需求一览表</w:t>
      </w:r>
    </w:p>
    <w:p w14:paraId="171AC4CD">
      <w:pPr>
        <w:adjustRightInd w:val="0"/>
        <w:snapToGrid w:val="0"/>
        <w:jc w:val="center"/>
        <w:rPr>
          <w:rFonts w:hint="eastAsia" w:ascii="宋体" w:hAnsi="宋体"/>
          <w:b/>
          <w:color w:val="000000"/>
          <w:sz w:val="30"/>
          <w:szCs w:val="30"/>
          <w:highlight w:val="none"/>
        </w:rPr>
      </w:pPr>
    </w:p>
    <w:tbl>
      <w:tblPr>
        <w:tblStyle w:val="9"/>
        <w:tblW w:w="73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63"/>
        <w:gridCol w:w="2840"/>
        <w:gridCol w:w="1473"/>
        <w:gridCol w:w="2116"/>
      </w:tblGrid>
      <w:tr w14:paraId="674D2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3" w:hRule="atLeast"/>
          <w:jc w:val="center"/>
        </w:trPr>
        <w:tc>
          <w:tcPr>
            <w:tcW w:w="963" w:type="dxa"/>
            <w:noWrap w:val="0"/>
            <w:vAlign w:val="center"/>
          </w:tcPr>
          <w:p w14:paraId="68446DA3">
            <w:pPr>
              <w:jc w:val="center"/>
              <w:rPr>
                <w:rFonts w:ascii="宋体" w:hAnsi="Bookman Old Style"/>
                <w:color w:val="000000"/>
                <w:sz w:val="24"/>
                <w:highlight w:val="none"/>
              </w:rPr>
            </w:pPr>
            <w:r>
              <w:rPr>
                <w:rFonts w:hint="eastAsia" w:ascii="宋体" w:hAnsi="Bookman Old Style"/>
                <w:color w:val="000000"/>
                <w:sz w:val="24"/>
                <w:highlight w:val="none"/>
              </w:rPr>
              <w:t>包号</w:t>
            </w:r>
          </w:p>
        </w:tc>
        <w:tc>
          <w:tcPr>
            <w:tcW w:w="2840" w:type="dxa"/>
            <w:noWrap w:val="0"/>
            <w:vAlign w:val="center"/>
          </w:tcPr>
          <w:p w14:paraId="6409B5F5">
            <w:pPr>
              <w:jc w:val="center"/>
              <w:rPr>
                <w:rFonts w:ascii="宋体" w:hAnsi="Bookman Old Style"/>
                <w:color w:val="000000"/>
                <w:sz w:val="24"/>
                <w:highlight w:val="none"/>
              </w:rPr>
            </w:pPr>
            <w:r>
              <w:rPr>
                <w:rFonts w:hint="eastAsia" w:ascii="宋体" w:hAnsi="Bookman Old Style"/>
                <w:color w:val="000000"/>
                <w:sz w:val="24"/>
                <w:highlight w:val="none"/>
              </w:rPr>
              <w:t>货物名称</w:t>
            </w:r>
          </w:p>
        </w:tc>
        <w:tc>
          <w:tcPr>
            <w:tcW w:w="1473" w:type="dxa"/>
            <w:noWrap w:val="0"/>
            <w:vAlign w:val="center"/>
          </w:tcPr>
          <w:p w14:paraId="2A127B0D">
            <w:pPr>
              <w:jc w:val="center"/>
              <w:rPr>
                <w:rFonts w:ascii="宋体" w:hAnsi="Bookman Old Style"/>
                <w:color w:val="000000"/>
                <w:sz w:val="24"/>
                <w:highlight w:val="none"/>
              </w:rPr>
            </w:pPr>
            <w:r>
              <w:rPr>
                <w:rFonts w:hint="eastAsia" w:ascii="宋体" w:hAnsi="Bookman Old Style"/>
                <w:color w:val="000000"/>
                <w:sz w:val="24"/>
                <w:highlight w:val="none"/>
              </w:rPr>
              <w:t>数量</w:t>
            </w:r>
          </w:p>
        </w:tc>
        <w:tc>
          <w:tcPr>
            <w:tcW w:w="2116" w:type="dxa"/>
            <w:noWrap w:val="0"/>
            <w:vAlign w:val="center"/>
          </w:tcPr>
          <w:p w14:paraId="4FE1AC96">
            <w:pPr>
              <w:jc w:val="center"/>
              <w:rPr>
                <w:rFonts w:ascii="宋体" w:hAnsi="Bookman Old Style"/>
                <w:color w:val="000000"/>
                <w:sz w:val="24"/>
                <w:highlight w:val="none"/>
              </w:rPr>
            </w:pPr>
            <w:r>
              <w:rPr>
                <w:rFonts w:hint="eastAsia" w:ascii="宋体" w:hAnsi="Bookman Old Style"/>
                <w:color w:val="000000"/>
                <w:sz w:val="24"/>
                <w:highlight w:val="none"/>
              </w:rPr>
              <w:t>是否接受进口</w:t>
            </w:r>
          </w:p>
        </w:tc>
      </w:tr>
      <w:tr w14:paraId="4C0F7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63" w:type="dxa"/>
            <w:noWrap w:val="0"/>
            <w:vAlign w:val="center"/>
          </w:tcPr>
          <w:p w14:paraId="66403108">
            <w:pPr>
              <w:jc w:val="center"/>
              <w:rPr>
                <w:rFonts w:hint="eastAsia" w:ascii="宋体"/>
                <w:color w:val="000000"/>
                <w:sz w:val="24"/>
                <w:highlight w:val="none"/>
              </w:rPr>
            </w:pPr>
            <w:r>
              <w:rPr>
                <w:rFonts w:hint="eastAsia" w:ascii="宋体"/>
                <w:color w:val="000000"/>
                <w:sz w:val="24"/>
                <w:highlight w:val="none"/>
              </w:rPr>
              <w:t>1</w:t>
            </w:r>
          </w:p>
        </w:tc>
        <w:tc>
          <w:tcPr>
            <w:tcW w:w="2840" w:type="dxa"/>
            <w:noWrap w:val="0"/>
            <w:vAlign w:val="center"/>
          </w:tcPr>
          <w:p w14:paraId="4037369C">
            <w:pPr>
              <w:jc w:val="center"/>
              <w:rPr>
                <w:rFonts w:hint="eastAsia" w:ascii="Bookman Old Style" w:hAnsi="Bookman Old Style"/>
                <w:color w:val="000000"/>
                <w:sz w:val="24"/>
                <w:highlight w:val="none"/>
              </w:rPr>
            </w:pPr>
            <w:r>
              <w:rPr>
                <w:rFonts w:hint="eastAsia" w:ascii="宋体" w:hAnsi="宋体"/>
                <w:color w:val="000000"/>
                <w:sz w:val="24"/>
                <w:highlight w:val="none"/>
              </w:rPr>
              <w:t>矢量网络分析仪</w:t>
            </w:r>
          </w:p>
        </w:tc>
        <w:tc>
          <w:tcPr>
            <w:tcW w:w="1473" w:type="dxa"/>
            <w:noWrap w:val="0"/>
            <w:vAlign w:val="center"/>
          </w:tcPr>
          <w:p w14:paraId="375635EE">
            <w:pPr>
              <w:jc w:val="center"/>
              <w:rPr>
                <w:rFonts w:ascii="宋体" w:hAnsi="Bookman Old Style"/>
                <w:color w:val="000000"/>
                <w:sz w:val="24"/>
                <w:highlight w:val="none"/>
              </w:rPr>
            </w:pPr>
            <w:r>
              <w:rPr>
                <w:rFonts w:hint="eastAsia" w:ascii="宋体" w:hAnsi="Bookman Old Style"/>
                <w:color w:val="000000"/>
                <w:sz w:val="24"/>
                <w:highlight w:val="none"/>
              </w:rPr>
              <w:t>1套</w:t>
            </w:r>
          </w:p>
        </w:tc>
        <w:tc>
          <w:tcPr>
            <w:tcW w:w="2116" w:type="dxa"/>
            <w:noWrap w:val="0"/>
            <w:vAlign w:val="center"/>
          </w:tcPr>
          <w:p w14:paraId="39968386">
            <w:pPr>
              <w:jc w:val="center"/>
              <w:rPr>
                <w:rFonts w:hint="eastAsia" w:ascii="宋体" w:hAnsi="Bookman Old Style"/>
                <w:color w:val="000000"/>
                <w:sz w:val="24"/>
                <w:highlight w:val="none"/>
              </w:rPr>
            </w:pPr>
            <w:r>
              <w:rPr>
                <w:rFonts w:hint="eastAsia" w:ascii="宋体" w:hAnsi="Bookman Old Style"/>
                <w:color w:val="000000"/>
                <w:sz w:val="24"/>
                <w:highlight w:val="none"/>
              </w:rPr>
              <w:t>否</w:t>
            </w:r>
          </w:p>
        </w:tc>
      </w:tr>
    </w:tbl>
    <w:p w14:paraId="70E42D97">
      <w:pPr>
        <w:adjustRightInd w:val="0"/>
        <w:snapToGrid w:val="0"/>
        <w:jc w:val="center"/>
        <w:rPr>
          <w:rFonts w:hint="eastAsia" w:ascii="宋体" w:hAnsi="宋体"/>
          <w:b/>
          <w:color w:val="000000"/>
          <w:sz w:val="30"/>
          <w:szCs w:val="30"/>
          <w:highlight w:val="none"/>
        </w:rPr>
      </w:pPr>
    </w:p>
    <w:p w14:paraId="5AE4269A">
      <w:pPr>
        <w:adjustRightInd w:val="0"/>
        <w:snapToGrid w:val="0"/>
        <w:jc w:val="center"/>
        <w:rPr>
          <w:rFonts w:hint="eastAsia" w:ascii="宋体" w:hAnsi="宋体"/>
          <w:b/>
          <w:color w:val="000000"/>
          <w:sz w:val="30"/>
          <w:szCs w:val="30"/>
          <w:highlight w:val="none"/>
        </w:rPr>
      </w:pPr>
    </w:p>
    <w:p w14:paraId="403DCE55">
      <w:pPr>
        <w:spacing w:line="360" w:lineRule="auto"/>
        <w:jc w:val="left"/>
        <w:rPr>
          <w:rFonts w:ascii="宋体" w:hAnsi="宋体"/>
          <w:b/>
          <w:color w:val="000000"/>
          <w:sz w:val="28"/>
          <w:szCs w:val="28"/>
          <w:highlight w:val="none"/>
        </w:rPr>
      </w:pPr>
      <w:r>
        <w:rPr>
          <w:rFonts w:hint="eastAsia"/>
          <w:color w:val="000000"/>
          <w:sz w:val="24"/>
          <w:highlight w:val="none"/>
        </w:rPr>
        <w:t>注：投标人须对上述投标内容中完整的一包或几包进行投标，</w:t>
      </w:r>
      <w:r>
        <w:rPr>
          <w:rFonts w:hint="eastAsia" w:ascii="Bookman Old Style" w:hAnsi="Bookman Old Style"/>
          <w:color w:val="000000"/>
          <w:sz w:val="24"/>
          <w:highlight w:val="none"/>
        </w:rPr>
        <w:t>不完整的投标将视为非响应性投标予以拒绝。</w:t>
      </w:r>
      <w:r>
        <w:rPr>
          <w:rFonts w:hint="eastAsia" w:ascii="Bookman Old Style" w:hAnsi="Bookman Old Style"/>
          <w:color w:val="000000"/>
          <w:sz w:val="24"/>
          <w:highlight w:val="none"/>
        </w:rPr>
        <w:br w:type="page"/>
      </w:r>
      <w:r>
        <w:rPr>
          <w:rFonts w:hint="eastAsia" w:ascii="宋体" w:hAnsi="宋体"/>
          <w:b/>
          <w:color w:val="000000"/>
          <w:sz w:val="28"/>
          <w:szCs w:val="28"/>
          <w:highlight w:val="none"/>
        </w:rPr>
        <w:t>一、总则</w:t>
      </w:r>
    </w:p>
    <w:p w14:paraId="47707065">
      <w:pPr>
        <w:spacing w:before="156" w:beforeLines="50" w:after="156" w:afterLines="50" w:line="360" w:lineRule="auto"/>
        <w:rPr>
          <w:rFonts w:hint="eastAsia" w:ascii="宋体" w:hAnsi="宋体" w:cs="宋体"/>
          <w:b/>
          <w:color w:val="000000"/>
          <w:sz w:val="24"/>
          <w:highlight w:val="none"/>
        </w:rPr>
      </w:pPr>
      <w:r>
        <w:rPr>
          <w:rFonts w:hint="eastAsia" w:ascii="宋体" w:hAnsi="宋体" w:cs="宋体"/>
          <w:b/>
          <w:color w:val="000000"/>
          <w:sz w:val="24"/>
          <w:highlight w:val="none"/>
        </w:rPr>
        <w:t>1、投标要求</w:t>
      </w:r>
    </w:p>
    <w:p w14:paraId="2F78F518">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1.1  投标人在准备投标书时，务必在所提供的商品的技术规格文件中，标明型号、商标名称、目录号。</w:t>
      </w:r>
    </w:p>
    <w:p w14:paraId="2F692D2C">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8C8C73F">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1.3  投标人提供的产品样本，必须是“原件”而非复印件，图表、简图、电路图以及印刷电路板图等都应清晰易读。买方有权不付任何附加费用复制这些资料以供参考。</w:t>
      </w:r>
    </w:p>
    <w:p w14:paraId="4B515660">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A758576">
      <w:pPr>
        <w:spacing w:before="156" w:beforeLines="50" w:after="156" w:afterLines="50" w:line="360" w:lineRule="auto"/>
        <w:rPr>
          <w:rFonts w:hint="eastAsia" w:ascii="宋体" w:hAnsi="宋体" w:cs="宋体"/>
          <w:b/>
          <w:color w:val="000000"/>
          <w:sz w:val="24"/>
          <w:highlight w:val="none"/>
        </w:rPr>
      </w:pPr>
      <w:r>
        <w:rPr>
          <w:rFonts w:hint="eastAsia" w:ascii="宋体" w:hAnsi="宋体" w:cs="宋体"/>
          <w:b/>
          <w:color w:val="000000"/>
          <w:sz w:val="24"/>
          <w:highlight w:val="none"/>
        </w:rPr>
        <w:t>2、评标标准</w:t>
      </w:r>
    </w:p>
    <w:p w14:paraId="72331DBA">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5E82041A">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1BA1FCF5">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2.3  为便于用户进行接收仪器的准备工作，卖方应在合同生效后</w:t>
      </w:r>
      <w:r>
        <w:rPr>
          <w:rFonts w:hint="eastAsia" w:ascii="宋体" w:hAnsi="宋体" w:cs="宋体"/>
          <w:b/>
          <w:color w:val="000000"/>
          <w:sz w:val="24"/>
          <w:highlight w:val="none"/>
        </w:rPr>
        <w:t>60</w:t>
      </w:r>
      <w:r>
        <w:rPr>
          <w:rFonts w:hint="eastAsia" w:ascii="宋体" w:hAnsi="宋体" w:cs="宋体"/>
          <w:color w:val="000000"/>
          <w:sz w:val="24"/>
          <w:highlight w:val="none"/>
        </w:rPr>
        <w:t>天内向用户提供一套完整的使用说明书、操作手册、维修及安装说明等文件。另一套完整上述资料应在交货时随货包装提供给用户，这些费用应计入投标价中。</w:t>
      </w:r>
    </w:p>
    <w:p w14:paraId="294D4004">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2.4  关于设备的安装调试，如果有必要的安装准备条件，卖方应在合同生效后一个月内向买方提出详细的要求或计划。安装调试的费用应计入投标价中，并应单独列出，供评标使用。</w:t>
      </w:r>
    </w:p>
    <w:p w14:paraId="71214F0D">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2.5  制造厂家提供的培训指的是涉及货物的基本原理、操作使用和保养维修等有关内容的培训。培训教员的培训费、旅费、食宿费等费用和培训场地费及培训资料费均应由卖方支付。</w:t>
      </w:r>
    </w:p>
    <w:p w14:paraId="64899B05">
      <w:pPr>
        <w:spacing w:before="156" w:beforeLines="50" w:after="156" w:afterLines="50" w:line="360" w:lineRule="auto"/>
        <w:rPr>
          <w:rFonts w:hint="eastAsia" w:ascii="宋体" w:hAnsi="宋体" w:cs="宋体"/>
          <w:b/>
          <w:color w:val="000000"/>
          <w:sz w:val="24"/>
          <w:highlight w:val="none"/>
        </w:rPr>
      </w:pPr>
      <w:r>
        <w:rPr>
          <w:rFonts w:hint="eastAsia" w:ascii="宋体" w:hAnsi="宋体" w:cs="宋体"/>
          <w:b/>
          <w:color w:val="000000"/>
          <w:sz w:val="24"/>
          <w:highlight w:val="none"/>
        </w:rPr>
        <w:t>3、工作条件</w:t>
      </w:r>
    </w:p>
    <w:p w14:paraId="21B87E1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除非在技术规格中另有说明，所有仪器、设备和系统都应符合下列要求： </w:t>
      </w:r>
    </w:p>
    <w:p w14:paraId="56CA7E13">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3.1  适于在气温为摄氏</w:t>
      </w:r>
      <w:r>
        <w:rPr>
          <w:rFonts w:hint="eastAsia" w:ascii="宋体" w:hAnsi="宋体" w:cs="宋体"/>
          <w:b/>
          <w:color w:val="000000"/>
          <w:sz w:val="24"/>
          <w:highlight w:val="none"/>
        </w:rPr>
        <w:t>-40℃～＋50℃</w:t>
      </w:r>
      <w:r>
        <w:rPr>
          <w:rFonts w:hint="eastAsia" w:ascii="宋体" w:hAnsi="宋体" w:cs="宋体"/>
          <w:color w:val="000000"/>
          <w:sz w:val="24"/>
          <w:highlight w:val="none"/>
        </w:rPr>
        <w:t>和相对湿度为</w:t>
      </w:r>
      <w:r>
        <w:rPr>
          <w:rFonts w:hint="eastAsia" w:ascii="宋体" w:hAnsi="宋体" w:cs="宋体"/>
          <w:b/>
          <w:color w:val="000000"/>
          <w:sz w:val="24"/>
          <w:highlight w:val="none"/>
        </w:rPr>
        <w:t>90％</w:t>
      </w:r>
      <w:r>
        <w:rPr>
          <w:rFonts w:hint="eastAsia" w:ascii="宋体" w:hAnsi="宋体" w:cs="宋体"/>
          <w:color w:val="000000"/>
          <w:sz w:val="24"/>
          <w:highlight w:val="none"/>
        </w:rPr>
        <w:t>的环境条件下运输和贮存。</w:t>
      </w:r>
    </w:p>
    <w:p w14:paraId="718CD1E7">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3.2  适于在电源</w:t>
      </w:r>
      <w:r>
        <w:rPr>
          <w:rFonts w:hint="eastAsia" w:ascii="宋体" w:hAnsi="宋体" w:cs="宋体"/>
          <w:b/>
          <w:color w:val="000000"/>
          <w:sz w:val="24"/>
          <w:highlight w:val="none"/>
        </w:rPr>
        <w:t>220V（</w:t>
      </w:r>
      <w:r>
        <w:rPr>
          <w:rFonts w:hint="eastAsia" w:ascii="宋体" w:hAnsi="宋体" w:cs="宋体"/>
          <w:b/>
          <w:color w:val="000000"/>
          <w:sz w:val="24"/>
          <w:highlight w:val="none"/>
        </w:rPr>
        <w:sym w:font="Symbol" w:char="F0B1"/>
      </w:r>
      <w:r>
        <w:rPr>
          <w:rFonts w:hint="eastAsia" w:ascii="宋体" w:hAnsi="宋体" w:cs="宋体"/>
          <w:b/>
          <w:color w:val="000000"/>
          <w:sz w:val="24"/>
          <w:highlight w:val="none"/>
        </w:rPr>
        <w:t>10％）/50Hz</w:t>
      </w:r>
      <w:r>
        <w:rPr>
          <w:rFonts w:hint="eastAsia" w:ascii="宋体" w:hAnsi="宋体" w:cs="宋体"/>
          <w:color w:val="000000"/>
          <w:sz w:val="24"/>
          <w:highlight w:val="none"/>
        </w:rPr>
        <w:t>、气温摄氏</w:t>
      </w:r>
      <w:r>
        <w:rPr>
          <w:rFonts w:hint="eastAsia" w:ascii="宋体" w:hAnsi="宋体" w:cs="宋体"/>
          <w:b/>
          <w:color w:val="000000"/>
          <w:sz w:val="24"/>
          <w:highlight w:val="none"/>
        </w:rPr>
        <w:t>+15℃～＋30℃</w:t>
      </w:r>
      <w:r>
        <w:rPr>
          <w:rFonts w:hint="eastAsia" w:ascii="宋体" w:hAnsi="宋体" w:cs="宋体"/>
          <w:color w:val="000000"/>
          <w:sz w:val="24"/>
          <w:highlight w:val="none"/>
        </w:rPr>
        <w:t>和相对湿度小于</w:t>
      </w:r>
      <w:r>
        <w:rPr>
          <w:rFonts w:hint="eastAsia" w:ascii="宋体" w:hAnsi="宋体" w:cs="宋体"/>
          <w:b/>
          <w:color w:val="000000"/>
          <w:sz w:val="24"/>
          <w:highlight w:val="none"/>
        </w:rPr>
        <w:t>80％</w:t>
      </w:r>
      <w:r>
        <w:rPr>
          <w:rFonts w:hint="eastAsia" w:ascii="宋体" w:hAnsi="宋体" w:cs="宋体"/>
          <w:color w:val="000000"/>
          <w:sz w:val="24"/>
          <w:highlight w:val="none"/>
        </w:rPr>
        <w:t>的环境条件下运行。</w:t>
      </w:r>
      <w:r>
        <w:rPr>
          <w:rFonts w:hint="eastAsia" w:ascii="宋体" w:hAnsi="宋体" w:cs="宋体"/>
          <w:b/>
          <w:color w:val="000000"/>
          <w:sz w:val="24"/>
          <w:highlight w:val="none"/>
        </w:rPr>
        <w:t>能够连续正常工作。</w:t>
      </w:r>
    </w:p>
    <w:p w14:paraId="1BBAA03E">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3.3  配置符合中国有关标准要求的插头，如果没有这样的插头，则需提供适当的转换插座。</w:t>
      </w:r>
    </w:p>
    <w:p w14:paraId="636D5E87">
      <w:pPr>
        <w:spacing w:line="360" w:lineRule="auto"/>
        <w:ind w:left="554" w:hanging="554" w:hangingChars="231"/>
        <w:rPr>
          <w:rFonts w:hint="eastAsia" w:ascii="宋体" w:hAnsi="宋体" w:cs="宋体"/>
          <w:b/>
          <w:bCs/>
          <w:color w:val="000000"/>
          <w:kern w:val="44"/>
          <w:sz w:val="24"/>
          <w:highlight w:val="none"/>
        </w:rPr>
      </w:pPr>
      <w:r>
        <w:rPr>
          <w:rFonts w:hint="eastAsia" w:ascii="宋体" w:hAnsi="宋体" w:cs="宋体"/>
          <w:color w:val="000000"/>
          <w:sz w:val="24"/>
          <w:highlight w:val="none"/>
        </w:rPr>
        <w:t>3.4  如产品达不到上述要求，投标人应注明其偏差。如仪器设备需要特殊工作条件（如水、电源、磁场强度、温度、湿度、动强度等）投标人应在投标书中加以说明。</w:t>
      </w:r>
    </w:p>
    <w:p w14:paraId="7261114E">
      <w:pPr>
        <w:spacing w:before="156" w:beforeLines="50" w:after="156" w:afterLines="50" w:line="360" w:lineRule="auto"/>
        <w:rPr>
          <w:rFonts w:hint="eastAsia" w:ascii="宋体" w:hAnsi="宋体" w:cs="宋体"/>
          <w:b/>
          <w:color w:val="000000"/>
          <w:sz w:val="24"/>
          <w:highlight w:val="none"/>
        </w:rPr>
      </w:pPr>
      <w:r>
        <w:rPr>
          <w:rFonts w:hint="eastAsia" w:ascii="宋体" w:hAnsi="宋体" w:cs="宋体"/>
          <w:b/>
          <w:color w:val="000000"/>
          <w:sz w:val="24"/>
          <w:highlight w:val="none"/>
        </w:rPr>
        <w:t>4、验收标准</w:t>
      </w:r>
    </w:p>
    <w:p w14:paraId="5D201CB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除非在技术规格中另有说明，所有仪器、设备和系统按下列要求进行验收： </w:t>
      </w:r>
    </w:p>
    <w:p w14:paraId="745DA69F">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4.1  仪器设备运抵安装现场后，买方将与卖方共同开箱验收, 如卖方届时不派人来, 则验收结果应以买方的验收报告为最终验收结果。验收时发现短缺、破损, 买方有权要求卖方负责更换。</w:t>
      </w:r>
    </w:p>
    <w:p w14:paraId="297EF730">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5C40CF74">
      <w:pPr>
        <w:spacing w:line="360" w:lineRule="auto"/>
        <w:ind w:left="554" w:hanging="554" w:hangingChars="231"/>
        <w:rPr>
          <w:rFonts w:hint="eastAsia" w:ascii="宋体" w:hAnsi="宋体" w:cs="宋体"/>
          <w:color w:val="000000"/>
          <w:sz w:val="24"/>
          <w:highlight w:val="none"/>
        </w:rPr>
      </w:pPr>
      <w:r>
        <w:rPr>
          <w:rFonts w:hint="eastAsia" w:ascii="宋体" w:hAnsi="宋体" w:cs="宋体"/>
          <w:color w:val="000000"/>
          <w:sz w:val="24"/>
          <w:highlight w:val="none"/>
        </w:rPr>
        <w:t>4.3  验收由采购人、中标人及相关人员依国家有关标准、合同及有关附件要求进行，验收完毕由采购人及中标人在验收报告上签名。</w:t>
      </w:r>
    </w:p>
    <w:p w14:paraId="4F830D33">
      <w:pPr>
        <w:rPr>
          <w:rFonts w:hint="eastAsia"/>
          <w:color w:val="000000"/>
          <w:highlight w:val="none"/>
        </w:rPr>
      </w:pPr>
    </w:p>
    <w:p w14:paraId="7AEF496A">
      <w:pPr>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5、本采购需求书中标注“★”号技术条款的为实质性要求，不满足其投标将视为无效投标被拒绝。</w:t>
      </w:r>
    </w:p>
    <w:p w14:paraId="5D40A00F">
      <w:pPr>
        <w:rPr>
          <w:rFonts w:hint="eastAsia"/>
          <w:color w:val="000000"/>
          <w:highlight w:val="none"/>
        </w:rPr>
      </w:pPr>
    </w:p>
    <w:p w14:paraId="67BAE57E">
      <w:pPr>
        <w:spacing w:line="360" w:lineRule="auto"/>
        <w:rPr>
          <w:rFonts w:hint="eastAsia" w:ascii="宋体" w:hAnsi="宋体"/>
          <w:color w:val="000000"/>
          <w:szCs w:val="21"/>
          <w:highlight w:val="none"/>
        </w:rPr>
      </w:pPr>
      <w:r>
        <w:rPr>
          <w:rFonts w:hint="eastAsia" w:ascii="宋体" w:hAnsi="宋体" w:cs="宋体"/>
          <w:b/>
          <w:color w:val="000000"/>
          <w:sz w:val="24"/>
          <w:highlight w:val="none"/>
        </w:rPr>
        <w:t>6、如在具体技术规格中有本总则不一致之处，以具体技术规格中的要求为准。</w:t>
      </w:r>
    </w:p>
    <w:p w14:paraId="7E8E02F2">
      <w:pPr>
        <w:adjustRightInd w:val="0"/>
        <w:snapToGrid w:val="0"/>
        <w:rPr>
          <w:rFonts w:hint="eastAsia" w:ascii="宋体" w:hAnsi="宋体"/>
          <w:color w:val="000000"/>
          <w:szCs w:val="21"/>
          <w:highlight w:val="none"/>
        </w:rPr>
      </w:pPr>
    </w:p>
    <w:p w14:paraId="1256C9AA">
      <w:pPr>
        <w:adjustRightInd w:val="0"/>
        <w:snapToGrid w:val="0"/>
        <w:rPr>
          <w:rFonts w:hint="eastAsia" w:ascii="宋体" w:hAnsi="宋体"/>
          <w:color w:val="000000"/>
          <w:szCs w:val="21"/>
          <w:highlight w:val="none"/>
        </w:rPr>
      </w:pPr>
    </w:p>
    <w:p w14:paraId="70450D9F">
      <w:pPr>
        <w:rPr>
          <w:rFonts w:hint="eastAsia"/>
          <w:color w:val="000000"/>
          <w:highlight w:val="none"/>
        </w:rPr>
      </w:pPr>
    </w:p>
    <w:p w14:paraId="1927EF32">
      <w:pPr>
        <w:adjustRightInd w:val="0"/>
        <w:snapToGrid w:val="0"/>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二、具体技术规格</w:t>
      </w:r>
    </w:p>
    <w:p w14:paraId="7190CB1C">
      <w:pPr>
        <w:rPr>
          <w:rFonts w:hint="eastAsia"/>
          <w:color w:val="000000"/>
          <w:highlight w:val="none"/>
        </w:rPr>
      </w:pPr>
    </w:p>
    <w:p w14:paraId="74E523D7">
      <w:pPr>
        <w:jc w:val="center"/>
        <w:rPr>
          <w:rFonts w:hint="eastAsia"/>
          <w:b/>
          <w:color w:val="000000"/>
          <w:sz w:val="24"/>
          <w:highlight w:val="none"/>
        </w:rPr>
      </w:pPr>
      <w:r>
        <w:rPr>
          <w:rFonts w:hint="eastAsia"/>
          <w:b/>
          <w:color w:val="000000"/>
          <w:sz w:val="24"/>
          <w:highlight w:val="none"/>
        </w:rPr>
        <w:t>矢量网络分析仪</w:t>
      </w:r>
    </w:p>
    <w:p w14:paraId="5E029B08">
      <w:pPr>
        <w:rPr>
          <w:rFonts w:hint="eastAsia"/>
          <w:b/>
          <w:color w:val="000000"/>
          <w:sz w:val="24"/>
          <w:highlight w:val="none"/>
        </w:rPr>
      </w:pPr>
    </w:p>
    <w:p w14:paraId="3DDDC8C1">
      <w:pPr>
        <w:rPr>
          <w:rFonts w:hint="eastAsia"/>
          <w:b/>
          <w:color w:val="000000"/>
          <w:sz w:val="24"/>
          <w:highlight w:val="none"/>
        </w:rPr>
      </w:pPr>
      <w:r>
        <w:rPr>
          <w:rFonts w:hint="eastAsia"/>
          <w:b/>
          <w:color w:val="000000"/>
          <w:sz w:val="24"/>
          <w:highlight w:val="none"/>
        </w:rPr>
        <w:t>（一）技术要求：</w:t>
      </w:r>
    </w:p>
    <w:p w14:paraId="67E642C5">
      <w:pPr>
        <w:rPr>
          <w:b/>
          <w:color w:val="000000"/>
          <w:sz w:val="24"/>
          <w:highlight w:val="none"/>
        </w:rPr>
      </w:pPr>
    </w:p>
    <w:p w14:paraId="6C65AE39">
      <w:pPr>
        <w:pStyle w:val="2"/>
        <w:spacing w:before="156" w:beforeLines="50" w:line="360" w:lineRule="auto"/>
        <w:ind w:left="0" w:leftChars="0" w:firstLine="0" w:firstLineChars="0"/>
        <w:rPr>
          <w:rFonts w:hint="eastAsia"/>
          <w:b/>
          <w:color w:val="000000"/>
          <w:sz w:val="24"/>
          <w:highlight w:val="none"/>
        </w:rPr>
      </w:pPr>
      <w:r>
        <w:rPr>
          <w:b/>
          <w:color w:val="000000"/>
          <w:sz w:val="24"/>
          <w:highlight w:val="none"/>
        </w:rPr>
        <w:t>1、工作条件</w:t>
      </w:r>
      <w:r>
        <w:rPr>
          <w:rFonts w:hint="eastAsia"/>
          <w:b/>
          <w:color w:val="000000"/>
          <w:sz w:val="24"/>
          <w:highlight w:val="none"/>
        </w:rPr>
        <w:t>：</w:t>
      </w:r>
    </w:p>
    <w:p w14:paraId="6C2A8EAF">
      <w:pPr>
        <w:spacing w:line="360" w:lineRule="auto"/>
        <w:ind w:left="425"/>
        <w:rPr>
          <w:rFonts w:ascii="宋体" w:hAnsi="宋体" w:cs="宋体"/>
          <w:color w:val="000000"/>
          <w:sz w:val="24"/>
          <w:highlight w:val="none"/>
        </w:rPr>
      </w:pPr>
      <w:r>
        <w:rPr>
          <w:rFonts w:hint="eastAsia" w:ascii="宋体" w:hAnsi="宋体" w:cs="宋体"/>
          <w:color w:val="000000"/>
          <w:sz w:val="24"/>
          <w:highlight w:val="none"/>
        </w:rPr>
        <w:t>1.1 供电要求：AC220V；</w:t>
      </w:r>
    </w:p>
    <w:p w14:paraId="4A056CCA">
      <w:pPr>
        <w:spacing w:line="360" w:lineRule="auto"/>
        <w:ind w:left="425"/>
        <w:rPr>
          <w:rFonts w:ascii="宋体" w:hAnsi="宋体" w:cs="宋体"/>
          <w:color w:val="000000"/>
          <w:sz w:val="24"/>
          <w:highlight w:val="none"/>
        </w:rPr>
      </w:pPr>
      <w:r>
        <w:rPr>
          <w:rFonts w:hint="eastAsia" w:ascii="宋体" w:hAnsi="宋体" w:cs="宋体"/>
          <w:color w:val="000000"/>
          <w:sz w:val="24"/>
          <w:highlight w:val="none"/>
        </w:rPr>
        <w:t>1.2 净化间温度：18~24℃；</w:t>
      </w:r>
    </w:p>
    <w:p w14:paraId="72416543">
      <w:pPr>
        <w:spacing w:line="360" w:lineRule="auto"/>
        <w:ind w:left="425"/>
        <w:rPr>
          <w:rFonts w:ascii="宋体" w:hAnsi="宋体" w:cs="宋体"/>
          <w:color w:val="000000"/>
          <w:sz w:val="24"/>
          <w:highlight w:val="none"/>
        </w:rPr>
      </w:pPr>
      <w:r>
        <w:rPr>
          <w:rFonts w:hint="eastAsia" w:ascii="宋体" w:hAnsi="宋体" w:cs="宋体"/>
          <w:color w:val="000000"/>
          <w:sz w:val="24"/>
          <w:highlight w:val="none"/>
        </w:rPr>
        <w:t>1.3 净化间湿度：50%±10%RH；</w:t>
      </w:r>
    </w:p>
    <w:p w14:paraId="52CC9CFF">
      <w:pPr>
        <w:spacing w:line="360" w:lineRule="auto"/>
        <w:ind w:left="425"/>
        <w:rPr>
          <w:rFonts w:ascii="宋体" w:hAnsi="宋体" w:cs="宋体"/>
          <w:color w:val="000000"/>
          <w:sz w:val="24"/>
          <w:highlight w:val="none"/>
        </w:rPr>
      </w:pPr>
      <w:r>
        <w:rPr>
          <w:rFonts w:hint="eastAsia" w:ascii="宋体" w:hAnsi="宋体" w:cs="宋体"/>
          <w:color w:val="000000"/>
          <w:sz w:val="24"/>
          <w:highlight w:val="none"/>
        </w:rPr>
        <w:t>1.4 净化间洁净度：万级；</w:t>
      </w:r>
    </w:p>
    <w:p w14:paraId="3257DC07">
      <w:pPr>
        <w:pStyle w:val="11"/>
        <w:spacing w:after="0" w:line="360" w:lineRule="auto"/>
        <w:ind w:firstLine="0" w:firstLineChars="0"/>
        <w:rPr>
          <w:rFonts w:hint="eastAsia"/>
          <w:color w:val="000000"/>
          <w:sz w:val="24"/>
          <w:highlight w:val="none"/>
        </w:rPr>
      </w:pPr>
      <w:r>
        <w:rPr>
          <w:rFonts w:hint="eastAsia" w:ascii="宋体" w:hAnsi="宋体" w:cs="宋体"/>
          <w:color w:val="000000"/>
          <w:sz w:val="24"/>
          <w:highlight w:val="none"/>
        </w:rPr>
        <w:t>1.5 防静电要求：有；</w:t>
      </w:r>
    </w:p>
    <w:p w14:paraId="0111E987">
      <w:pPr>
        <w:pStyle w:val="2"/>
        <w:spacing w:before="156" w:beforeLines="50" w:line="360" w:lineRule="auto"/>
        <w:ind w:left="0" w:leftChars="0" w:firstLine="0" w:firstLineChars="0"/>
        <w:rPr>
          <w:rFonts w:hint="eastAsia"/>
          <w:b/>
          <w:color w:val="000000"/>
          <w:sz w:val="24"/>
          <w:highlight w:val="none"/>
        </w:rPr>
      </w:pPr>
      <w:r>
        <w:rPr>
          <w:b/>
          <w:color w:val="000000"/>
          <w:sz w:val="24"/>
          <w:highlight w:val="none"/>
        </w:rPr>
        <w:t>2、购置理由及用途</w:t>
      </w:r>
      <w:r>
        <w:rPr>
          <w:rFonts w:hint="eastAsia"/>
          <w:b/>
          <w:color w:val="000000"/>
          <w:sz w:val="24"/>
          <w:highlight w:val="none"/>
        </w:rPr>
        <w:t>：</w:t>
      </w:r>
    </w:p>
    <w:p w14:paraId="1326A9CC">
      <w:pPr>
        <w:widowControl/>
        <w:tabs>
          <w:tab w:val="left" w:pos="8010"/>
        </w:tabs>
        <w:spacing w:line="360" w:lineRule="auto"/>
        <w:ind w:firstLine="480" w:firstLineChars="200"/>
        <w:rPr>
          <w:rFonts w:hint="eastAsia"/>
          <w:bCs/>
          <w:color w:val="000000"/>
          <w:sz w:val="24"/>
          <w:highlight w:val="none"/>
        </w:rPr>
      </w:pPr>
      <w:r>
        <w:rPr>
          <w:rFonts w:hint="eastAsia"/>
          <w:bCs/>
          <w:color w:val="000000"/>
          <w:sz w:val="24"/>
          <w:highlight w:val="none"/>
        </w:rPr>
        <w:t>主要用来进行器件及电路射频特性的量化表征，实现晶圆级射频性能提参建模能力，保障制高点项目的顺利实施。</w:t>
      </w:r>
    </w:p>
    <w:p w14:paraId="3921647D">
      <w:pPr>
        <w:pStyle w:val="2"/>
        <w:spacing w:before="156" w:beforeLines="50" w:line="360" w:lineRule="auto"/>
        <w:ind w:left="0" w:leftChars="0" w:firstLine="0" w:firstLineChars="0"/>
        <w:rPr>
          <w:b/>
          <w:color w:val="000000"/>
          <w:sz w:val="24"/>
          <w:highlight w:val="none"/>
        </w:rPr>
      </w:pPr>
      <w:r>
        <w:rPr>
          <w:b/>
          <w:color w:val="000000"/>
          <w:sz w:val="24"/>
          <w:highlight w:val="none"/>
        </w:rPr>
        <w:t>3、技术要求及参数：</w:t>
      </w:r>
    </w:p>
    <w:p w14:paraId="450FB4CE">
      <w:pPr>
        <w:pStyle w:val="6"/>
        <w:spacing w:line="360" w:lineRule="auto"/>
        <w:rPr>
          <w:color w:val="000000"/>
          <w:sz w:val="24"/>
          <w:highlight w:val="none"/>
        </w:rPr>
      </w:pPr>
      <w:r>
        <w:rPr>
          <w:rFonts w:hint="eastAsia"/>
          <w:color w:val="000000"/>
          <w:sz w:val="24"/>
          <w:highlight w:val="none"/>
        </w:rPr>
        <w:t>矢量网络分析仪设备总体技术要求：</w:t>
      </w:r>
    </w:p>
    <w:p w14:paraId="50796819">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 xml:space="preserve">★3.1 </w:t>
      </w:r>
      <w:r>
        <w:rPr>
          <w:rFonts w:ascii="宋体" w:hAnsi="宋体" w:cs="宋体"/>
          <w:color w:val="000000"/>
          <w:sz w:val="24"/>
          <w:highlight w:val="none"/>
        </w:rPr>
        <w:t>四个端口，</w:t>
      </w:r>
      <w:r>
        <w:rPr>
          <w:rFonts w:hint="eastAsia" w:ascii="宋体" w:hAnsi="宋体" w:cs="宋体"/>
          <w:color w:val="000000"/>
          <w:sz w:val="24"/>
          <w:highlight w:val="none"/>
        </w:rPr>
        <w:t>2个信号源</w:t>
      </w:r>
      <w:r>
        <w:rPr>
          <w:rFonts w:ascii="宋体" w:hAnsi="宋体" w:cs="宋体"/>
          <w:color w:val="000000"/>
          <w:sz w:val="24"/>
          <w:highlight w:val="none"/>
        </w:rPr>
        <w:t>，内置双源，内部带源和接收机衰减器、内置合路器以及Bias-T</w:t>
      </w:r>
      <w:r>
        <w:rPr>
          <w:rFonts w:hint="eastAsia" w:ascii="宋体" w:hAnsi="宋体" w:cs="宋体"/>
          <w:color w:val="000000"/>
          <w:sz w:val="24"/>
          <w:highlight w:val="none"/>
        </w:rPr>
        <w:t>，</w:t>
      </w:r>
      <w:r>
        <w:rPr>
          <w:rFonts w:ascii="宋体" w:hAnsi="宋体" w:cs="宋体"/>
          <w:color w:val="000000"/>
          <w:sz w:val="24"/>
          <w:highlight w:val="none"/>
        </w:rPr>
        <w:t>四端口S参数测试；</w:t>
      </w:r>
    </w:p>
    <w:p w14:paraId="72773C62">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★3.2 频率范围：覆盖10MHz至43.5GHz(搭配低频噪声测试系统覆盖40Hz至43.5GHz)；</w:t>
      </w:r>
    </w:p>
    <w:p w14:paraId="7175E491">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★3.3 系统</w:t>
      </w:r>
      <w:r>
        <w:rPr>
          <w:rFonts w:ascii="宋体" w:hAnsi="宋体" w:cs="宋体"/>
          <w:color w:val="000000"/>
          <w:sz w:val="24"/>
          <w:highlight w:val="none"/>
        </w:rPr>
        <w:t>动态范围</w:t>
      </w:r>
      <w:r>
        <w:rPr>
          <w:rFonts w:hint="eastAsia" w:ascii="宋体" w:hAnsi="宋体" w:cs="宋体"/>
          <w:color w:val="000000"/>
          <w:sz w:val="24"/>
          <w:highlight w:val="none"/>
        </w:rPr>
        <w:t>：</w:t>
      </w:r>
      <w:r>
        <w:rPr>
          <w:rFonts w:ascii="宋体" w:hAnsi="宋体" w:cs="宋体"/>
          <w:color w:val="000000"/>
          <w:sz w:val="24"/>
          <w:highlight w:val="none"/>
        </w:rPr>
        <w:t>≥ 119dB@40GHz， ≥ 131dB@15GHz， ≥127dB@2.5GHz， ≥ 90dB@10MHz</w:t>
      </w:r>
      <w:r>
        <w:rPr>
          <w:rFonts w:hint="eastAsia" w:ascii="宋体" w:hAnsi="宋体" w:cs="宋体"/>
          <w:color w:val="000000"/>
          <w:sz w:val="24"/>
          <w:highlight w:val="none"/>
        </w:rPr>
        <w:t>；</w:t>
      </w:r>
    </w:p>
    <w:p w14:paraId="2A0865B4">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 xml:space="preserve">★3.4 </w:t>
      </w:r>
      <w:r>
        <w:rPr>
          <w:rFonts w:ascii="宋体" w:hAnsi="宋体" w:cs="宋体"/>
          <w:color w:val="000000"/>
          <w:sz w:val="24"/>
          <w:highlight w:val="none"/>
        </w:rPr>
        <w:t>输出端口频率稳定度：±0.5ppm</w:t>
      </w:r>
      <w:r>
        <w:rPr>
          <w:rFonts w:hint="eastAsia" w:ascii="宋体" w:hAnsi="宋体" w:cs="宋体"/>
          <w:color w:val="000000"/>
          <w:sz w:val="24"/>
          <w:highlight w:val="none"/>
        </w:rPr>
        <w:t>；</w:t>
      </w:r>
    </w:p>
    <w:p w14:paraId="66BA4E22">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★3.5 两端口67GHz电子校准件，四端口S参数测试；</w:t>
      </w:r>
    </w:p>
    <w:p w14:paraId="792DACB1">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▲3.6 二次谐波失真（dBc）：≤-40dBc@2GHz至16GHz；</w:t>
      </w:r>
    </w:p>
    <w:p w14:paraId="77CB575C">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▲3.7 相位噪声（dBc/Hz）：1GHz，频偏：10kHz, 100KHz，1MHz，相位噪声≤-125；-122；-135；</w:t>
      </w:r>
    </w:p>
    <w:p w14:paraId="77A30F6C">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▲3.8 端口</w:t>
      </w:r>
      <w:r>
        <w:rPr>
          <w:rFonts w:ascii="宋体" w:hAnsi="宋体" w:cs="宋体"/>
          <w:color w:val="000000"/>
          <w:sz w:val="24"/>
          <w:highlight w:val="none"/>
        </w:rPr>
        <w:t>1</w:t>
      </w:r>
      <w:r>
        <w:rPr>
          <w:rFonts w:hint="eastAsia" w:ascii="宋体" w:hAnsi="宋体" w:cs="宋体"/>
          <w:color w:val="000000"/>
          <w:sz w:val="24"/>
          <w:highlight w:val="none"/>
        </w:rPr>
        <w:t>和</w:t>
      </w:r>
      <w:r>
        <w:rPr>
          <w:rFonts w:ascii="宋体" w:hAnsi="宋体" w:cs="宋体"/>
          <w:color w:val="000000"/>
          <w:sz w:val="24"/>
          <w:highlight w:val="none"/>
        </w:rPr>
        <w:t>3最大输出功率（典型值）：</w:t>
      </w:r>
      <w:r>
        <w:rPr>
          <w:rFonts w:hint="eastAsia" w:ascii="宋体" w:hAnsi="宋体" w:cs="宋体"/>
          <w:color w:val="000000"/>
          <w:sz w:val="24"/>
          <w:highlight w:val="none"/>
        </w:rPr>
        <w:t>19</w:t>
      </w:r>
      <w:r>
        <w:rPr>
          <w:rFonts w:ascii="宋体" w:hAnsi="宋体" w:cs="宋体"/>
          <w:color w:val="000000"/>
          <w:sz w:val="24"/>
          <w:highlight w:val="none"/>
        </w:rPr>
        <w:t>dBm@4GHz</w:t>
      </w:r>
      <w:r>
        <w:rPr>
          <w:rFonts w:hint="eastAsia" w:ascii="宋体" w:hAnsi="宋体" w:cs="宋体"/>
          <w:color w:val="000000"/>
          <w:sz w:val="24"/>
          <w:highlight w:val="none"/>
        </w:rPr>
        <w:t>；</w:t>
      </w:r>
      <w:r>
        <w:rPr>
          <w:rFonts w:ascii="宋体" w:hAnsi="宋体" w:cs="宋体"/>
          <w:color w:val="000000"/>
          <w:sz w:val="24"/>
          <w:highlight w:val="none"/>
        </w:rPr>
        <w:t>1</w:t>
      </w:r>
      <w:r>
        <w:rPr>
          <w:rFonts w:hint="eastAsia" w:ascii="宋体" w:hAnsi="宋体" w:cs="宋体"/>
          <w:color w:val="000000"/>
          <w:sz w:val="24"/>
          <w:highlight w:val="none"/>
        </w:rPr>
        <w:t>4</w:t>
      </w:r>
      <w:r>
        <w:rPr>
          <w:rFonts w:ascii="宋体" w:hAnsi="宋体" w:cs="宋体"/>
          <w:color w:val="000000"/>
          <w:sz w:val="24"/>
          <w:highlight w:val="none"/>
        </w:rPr>
        <w:t>dBm@20GHz</w:t>
      </w:r>
      <w:r>
        <w:rPr>
          <w:rFonts w:hint="eastAsia" w:ascii="宋体" w:hAnsi="宋体" w:cs="宋体"/>
          <w:color w:val="000000"/>
          <w:sz w:val="24"/>
          <w:highlight w:val="none"/>
        </w:rPr>
        <w:t>；</w:t>
      </w:r>
      <w:r>
        <w:rPr>
          <w:rFonts w:ascii="宋体" w:hAnsi="宋体" w:cs="宋体"/>
          <w:color w:val="000000"/>
          <w:sz w:val="24"/>
          <w:highlight w:val="none"/>
        </w:rPr>
        <w:t>1</w:t>
      </w:r>
      <w:r>
        <w:rPr>
          <w:rFonts w:hint="eastAsia" w:ascii="宋体" w:hAnsi="宋体" w:cs="宋体"/>
          <w:color w:val="000000"/>
          <w:sz w:val="24"/>
          <w:highlight w:val="none"/>
        </w:rPr>
        <w:t>0</w:t>
      </w:r>
      <w:r>
        <w:rPr>
          <w:rFonts w:ascii="宋体" w:hAnsi="宋体" w:cs="宋体"/>
          <w:color w:val="000000"/>
          <w:sz w:val="24"/>
          <w:highlight w:val="none"/>
        </w:rPr>
        <w:t>dBm@30GHz</w:t>
      </w:r>
      <w:r>
        <w:rPr>
          <w:rFonts w:hint="eastAsia" w:ascii="宋体" w:hAnsi="宋体" w:cs="宋体"/>
          <w:color w:val="000000"/>
          <w:sz w:val="24"/>
          <w:highlight w:val="none"/>
        </w:rPr>
        <w:t>；6</w:t>
      </w:r>
      <w:r>
        <w:rPr>
          <w:rFonts w:ascii="宋体" w:hAnsi="宋体" w:cs="宋体"/>
          <w:color w:val="000000"/>
          <w:sz w:val="24"/>
          <w:highlight w:val="none"/>
        </w:rPr>
        <w:t>dBm@40GHz</w:t>
      </w:r>
      <w:r>
        <w:rPr>
          <w:rFonts w:hint="eastAsia" w:ascii="宋体" w:hAnsi="宋体" w:cs="宋体"/>
          <w:color w:val="000000"/>
          <w:sz w:val="24"/>
          <w:highlight w:val="none"/>
        </w:rPr>
        <w:t>；</w:t>
      </w:r>
    </w:p>
    <w:p w14:paraId="139DD899">
      <w:pPr>
        <w:spacing w:line="360" w:lineRule="auto"/>
        <w:ind w:left="690" w:leftChars="100" w:hanging="480" w:hangingChars="200"/>
        <w:jc w:val="left"/>
        <w:rPr>
          <w:rFonts w:ascii="宋体" w:hAnsi="宋体" w:cs="宋体"/>
          <w:color w:val="000000"/>
          <w:sz w:val="24"/>
          <w:highlight w:val="none"/>
        </w:rPr>
      </w:pPr>
      <w:r>
        <w:rPr>
          <w:rFonts w:hint="eastAsia" w:ascii="宋体" w:hAnsi="宋体" w:cs="宋体"/>
          <w:color w:val="000000"/>
          <w:sz w:val="24"/>
          <w:highlight w:val="none"/>
        </w:rPr>
        <w:t>3.9 最小输出功率：≤-118dBm。</w:t>
      </w:r>
    </w:p>
    <w:p w14:paraId="415A1934">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 xml:space="preserve">▲3.10 </w:t>
      </w:r>
      <w:r>
        <w:rPr>
          <w:rFonts w:ascii="宋体" w:hAnsi="宋体" w:cs="宋体"/>
          <w:color w:val="000000"/>
          <w:sz w:val="24"/>
          <w:highlight w:val="none"/>
        </w:rPr>
        <w:t>噪声电平（1kHz IF带宽，归一化到1Hz</w:t>
      </w:r>
      <w:r>
        <w:rPr>
          <w:rFonts w:hint="eastAsia" w:ascii="宋体" w:hAnsi="宋体" w:cs="宋体"/>
          <w:color w:val="000000"/>
          <w:sz w:val="24"/>
          <w:highlight w:val="none"/>
        </w:rPr>
        <w:t>，典型值</w:t>
      </w:r>
      <w:r>
        <w:rPr>
          <w:rFonts w:ascii="宋体" w:hAnsi="宋体" w:cs="宋体"/>
          <w:color w:val="000000"/>
          <w:sz w:val="24"/>
          <w:highlight w:val="none"/>
        </w:rPr>
        <w:t>）：</w:t>
      </w:r>
      <w:r>
        <w:rPr>
          <w:rFonts w:hint="eastAsia" w:ascii="宋体" w:hAnsi="宋体" w:cs="宋体"/>
          <w:color w:val="000000"/>
          <w:sz w:val="24"/>
          <w:highlight w:val="none"/>
        </w:rPr>
        <w:t>≤</w:t>
      </w:r>
      <w:r>
        <w:rPr>
          <w:rFonts w:ascii="宋体" w:hAnsi="宋体" w:cs="宋体"/>
          <w:color w:val="000000"/>
          <w:sz w:val="24"/>
          <w:highlight w:val="none"/>
        </w:rPr>
        <w:t>-1</w:t>
      </w:r>
      <w:r>
        <w:rPr>
          <w:rFonts w:hint="eastAsia" w:ascii="宋体" w:hAnsi="宋体" w:cs="宋体"/>
          <w:color w:val="000000"/>
          <w:sz w:val="24"/>
          <w:highlight w:val="none"/>
        </w:rPr>
        <w:t>30</w:t>
      </w:r>
      <w:r>
        <w:rPr>
          <w:rFonts w:ascii="宋体" w:hAnsi="宋体" w:cs="宋体"/>
          <w:color w:val="000000"/>
          <w:sz w:val="24"/>
          <w:highlight w:val="none"/>
        </w:rPr>
        <w:t>dBm@1GHz</w:t>
      </w:r>
      <w:r>
        <w:rPr>
          <w:rFonts w:hint="eastAsia" w:ascii="宋体" w:hAnsi="宋体" w:cs="宋体"/>
          <w:color w:val="000000"/>
          <w:sz w:val="24"/>
          <w:highlight w:val="none"/>
        </w:rPr>
        <w:t>；≤</w:t>
      </w:r>
      <w:r>
        <w:rPr>
          <w:rFonts w:ascii="宋体" w:hAnsi="宋体" w:cs="宋体"/>
          <w:color w:val="000000"/>
          <w:sz w:val="24"/>
          <w:highlight w:val="none"/>
        </w:rPr>
        <w:t>-1</w:t>
      </w:r>
      <w:r>
        <w:rPr>
          <w:rFonts w:hint="eastAsia" w:ascii="宋体" w:hAnsi="宋体" w:cs="宋体"/>
          <w:color w:val="000000"/>
          <w:sz w:val="24"/>
          <w:highlight w:val="none"/>
        </w:rPr>
        <w:t>28</w:t>
      </w:r>
      <w:r>
        <w:rPr>
          <w:rFonts w:ascii="宋体" w:hAnsi="宋体" w:cs="宋体"/>
          <w:color w:val="000000"/>
          <w:sz w:val="24"/>
          <w:highlight w:val="none"/>
        </w:rPr>
        <w:t>dBm@30GHz</w:t>
      </w:r>
      <w:r>
        <w:rPr>
          <w:rFonts w:hint="eastAsia" w:ascii="宋体" w:hAnsi="宋体" w:cs="宋体"/>
          <w:color w:val="000000"/>
          <w:sz w:val="24"/>
          <w:highlight w:val="none"/>
        </w:rPr>
        <w:t>；</w:t>
      </w:r>
      <w:r>
        <w:rPr>
          <w:rFonts w:ascii="宋体" w:hAnsi="宋体" w:cs="宋体"/>
          <w:color w:val="000000"/>
          <w:sz w:val="24"/>
          <w:highlight w:val="none"/>
        </w:rPr>
        <w:t>-1</w:t>
      </w:r>
      <w:r>
        <w:rPr>
          <w:rFonts w:hint="eastAsia" w:ascii="宋体" w:hAnsi="宋体" w:cs="宋体"/>
          <w:color w:val="000000"/>
          <w:sz w:val="24"/>
          <w:highlight w:val="none"/>
        </w:rPr>
        <w:t>25</w:t>
      </w:r>
      <w:r>
        <w:rPr>
          <w:rFonts w:ascii="宋体" w:hAnsi="宋体" w:cs="宋体"/>
          <w:color w:val="000000"/>
          <w:sz w:val="24"/>
          <w:highlight w:val="none"/>
        </w:rPr>
        <w:t>dBm@40GHz</w:t>
      </w:r>
      <w:r>
        <w:rPr>
          <w:rFonts w:hint="eastAsia" w:ascii="宋体" w:hAnsi="宋体" w:cs="宋体"/>
          <w:color w:val="000000"/>
          <w:sz w:val="24"/>
          <w:highlight w:val="none"/>
        </w:rPr>
        <w:t>；</w:t>
      </w:r>
    </w:p>
    <w:p w14:paraId="5F7F52C1">
      <w:pPr>
        <w:spacing w:line="360" w:lineRule="auto"/>
        <w:ind w:left="720" w:hanging="720" w:hangingChars="300"/>
        <w:rPr>
          <w:rFonts w:ascii="宋体" w:hAnsi="宋体" w:cs="宋体"/>
          <w:color w:val="000000"/>
          <w:sz w:val="24"/>
          <w:highlight w:val="none"/>
        </w:rPr>
      </w:pPr>
      <w:r>
        <w:rPr>
          <w:rFonts w:hint="eastAsia" w:ascii="宋体" w:hAnsi="宋体" w:cs="宋体"/>
          <w:color w:val="000000"/>
          <w:sz w:val="24"/>
          <w:highlight w:val="none"/>
        </w:rPr>
        <w:t xml:space="preserve">▲3.11 </w:t>
      </w:r>
      <w:r>
        <w:rPr>
          <w:rFonts w:ascii="宋体" w:hAnsi="宋体" w:cs="宋体"/>
          <w:color w:val="000000"/>
          <w:sz w:val="24"/>
          <w:highlight w:val="none"/>
        </w:rPr>
        <w:t>迹线噪声（1kHz IF带宽，150MHz至40GHz，测量值）：≤0.001</w:t>
      </w:r>
      <w:r>
        <w:rPr>
          <w:rFonts w:hint="eastAsia" w:ascii="宋体" w:hAnsi="宋体" w:cs="宋体"/>
          <w:color w:val="000000"/>
          <w:sz w:val="24"/>
          <w:highlight w:val="none"/>
        </w:rPr>
        <w:t>5</w:t>
      </w:r>
      <w:r>
        <w:rPr>
          <w:rFonts w:ascii="宋体" w:hAnsi="宋体" w:cs="宋体"/>
          <w:color w:val="000000"/>
          <w:sz w:val="24"/>
          <w:highlight w:val="none"/>
        </w:rPr>
        <w:t>dB，0.02°</w:t>
      </w:r>
      <w:r>
        <w:rPr>
          <w:rFonts w:hint="eastAsia" w:ascii="宋体" w:hAnsi="宋体" w:cs="宋体"/>
          <w:color w:val="000000"/>
          <w:sz w:val="24"/>
          <w:highlight w:val="none"/>
        </w:rPr>
        <w:t>；</w:t>
      </w:r>
    </w:p>
    <w:p w14:paraId="1E6F8156">
      <w:pPr>
        <w:spacing w:line="360" w:lineRule="auto"/>
        <w:ind w:left="720" w:hanging="720" w:hangingChars="300"/>
        <w:jc w:val="left"/>
        <w:rPr>
          <w:rFonts w:ascii="宋体" w:hAnsi="宋体" w:cs="宋体"/>
          <w:color w:val="000000"/>
          <w:sz w:val="24"/>
          <w:highlight w:val="none"/>
        </w:rPr>
      </w:pPr>
      <w:r>
        <w:rPr>
          <w:rFonts w:hint="eastAsia" w:ascii="宋体" w:hAnsi="宋体" w:cs="宋体"/>
          <w:color w:val="000000"/>
          <w:sz w:val="24"/>
          <w:highlight w:val="none"/>
        </w:rPr>
        <w:t xml:space="preserve">▲3.12 </w:t>
      </w:r>
      <w:r>
        <w:rPr>
          <w:rFonts w:ascii="宋体" w:hAnsi="宋体" w:cs="宋体"/>
          <w:color w:val="000000"/>
          <w:sz w:val="24"/>
          <w:highlight w:val="none"/>
        </w:rPr>
        <w:t>扫描速度（10MHz至43.5GHz，500kHz测量带宽，</w:t>
      </w:r>
      <w:r>
        <w:rPr>
          <w:rFonts w:hint="eastAsia" w:ascii="宋体" w:hAnsi="宋体" w:cs="宋体"/>
          <w:color w:val="000000"/>
          <w:sz w:val="24"/>
          <w:highlight w:val="none"/>
        </w:rPr>
        <w:t>四</w:t>
      </w:r>
      <w:r>
        <w:rPr>
          <w:rFonts w:ascii="宋体" w:hAnsi="宋体" w:cs="宋体"/>
          <w:color w:val="000000"/>
          <w:sz w:val="24"/>
          <w:highlight w:val="none"/>
        </w:rPr>
        <w:t>端口</w:t>
      </w:r>
      <w:bookmarkStart w:id="0" w:name="_Hlk175053073"/>
      <w:r>
        <w:rPr>
          <w:rFonts w:ascii="宋体" w:hAnsi="宋体" w:cs="宋体"/>
          <w:color w:val="000000"/>
          <w:sz w:val="24"/>
          <w:highlight w:val="none"/>
        </w:rPr>
        <w:t>TSOM</w:t>
      </w:r>
      <w:bookmarkEnd w:id="0"/>
      <w:r>
        <w:rPr>
          <w:rFonts w:ascii="宋体" w:hAnsi="宋体" w:cs="宋体"/>
          <w:color w:val="000000"/>
          <w:sz w:val="24"/>
          <w:highlight w:val="none"/>
        </w:rPr>
        <w:t>校准，扫描201点）：≤</w:t>
      </w:r>
      <w:r>
        <w:rPr>
          <w:rFonts w:hint="eastAsia" w:ascii="宋体" w:hAnsi="宋体" w:cs="宋体"/>
          <w:color w:val="000000"/>
          <w:sz w:val="24"/>
          <w:highlight w:val="none"/>
        </w:rPr>
        <w:t>72</w:t>
      </w:r>
      <w:r>
        <w:rPr>
          <w:rFonts w:ascii="宋体" w:hAnsi="宋体" w:cs="宋体"/>
          <w:color w:val="000000"/>
          <w:sz w:val="24"/>
          <w:highlight w:val="none"/>
        </w:rPr>
        <w:t>.5ms</w:t>
      </w:r>
      <w:r>
        <w:rPr>
          <w:rFonts w:hint="eastAsia" w:ascii="宋体" w:hAnsi="宋体" w:cs="宋体"/>
          <w:color w:val="000000"/>
          <w:sz w:val="24"/>
          <w:highlight w:val="none"/>
        </w:rPr>
        <w:t>；</w:t>
      </w:r>
    </w:p>
    <w:p w14:paraId="5642FB0B">
      <w:pPr>
        <w:spacing w:line="360" w:lineRule="auto"/>
        <w:ind w:left="720" w:hanging="720" w:hangingChars="300"/>
        <w:rPr>
          <w:rFonts w:ascii="宋体" w:hAnsi="宋体" w:cs="宋体"/>
          <w:color w:val="000000"/>
          <w:sz w:val="24"/>
          <w:highlight w:val="none"/>
        </w:rPr>
      </w:pPr>
      <w:r>
        <w:rPr>
          <w:rFonts w:hint="eastAsia" w:ascii="宋体" w:hAnsi="宋体" w:cs="宋体"/>
          <w:color w:val="000000"/>
          <w:sz w:val="24"/>
          <w:highlight w:val="none"/>
        </w:rPr>
        <w:t>▲3.13 有效方向性（典型值）：≥</w:t>
      </w:r>
      <w:r>
        <w:rPr>
          <w:rFonts w:ascii="宋体" w:hAnsi="宋体" w:cs="宋体"/>
          <w:color w:val="000000"/>
          <w:sz w:val="24"/>
          <w:highlight w:val="none"/>
        </w:rPr>
        <w:t>48dB@10GHz</w:t>
      </w:r>
      <w:r>
        <w:rPr>
          <w:rFonts w:hint="eastAsia" w:ascii="宋体" w:hAnsi="宋体" w:cs="宋体"/>
          <w:color w:val="000000"/>
          <w:sz w:val="24"/>
          <w:highlight w:val="none"/>
        </w:rPr>
        <w:t>；≥</w:t>
      </w:r>
      <w:r>
        <w:rPr>
          <w:rFonts w:ascii="宋体" w:hAnsi="宋体" w:cs="宋体"/>
          <w:color w:val="000000"/>
          <w:sz w:val="24"/>
          <w:highlight w:val="none"/>
        </w:rPr>
        <w:t>40dB@40GHz</w:t>
      </w:r>
      <w:r>
        <w:rPr>
          <w:rFonts w:hint="eastAsia" w:ascii="宋体" w:hAnsi="宋体" w:cs="宋体"/>
          <w:color w:val="000000"/>
          <w:sz w:val="24"/>
          <w:highlight w:val="none"/>
        </w:rPr>
        <w:t>；</w:t>
      </w:r>
    </w:p>
    <w:p w14:paraId="041C42D1">
      <w:pPr>
        <w:spacing w:line="360" w:lineRule="auto"/>
        <w:ind w:left="720" w:hanging="720" w:hangingChars="300"/>
        <w:rPr>
          <w:rFonts w:ascii="宋体" w:hAnsi="宋体" w:cs="宋体"/>
          <w:color w:val="000000"/>
          <w:sz w:val="24"/>
          <w:highlight w:val="none"/>
        </w:rPr>
      </w:pPr>
      <w:r>
        <w:rPr>
          <w:rFonts w:hint="eastAsia" w:ascii="宋体" w:hAnsi="宋体" w:cs="宋体"/>
          <w:color w:val="000000"/>
          <w:sz w:val="24"/>
          <w:highlight w:val="none"/>
        </w:rPr>
        <w:t>▲3.14 有效源匹配（典型值）：≥</w:t>
      </w:r>
      <w:r>
        <w:rPr>
          <w:rFonts w:ascii="宋体" w:hAnsi="宋体" w:cs="宋体"/>
          <w:color w:val="000000"/>
          <w:sz w:val="24"/>
          <w:highlight w:val="none"/>
        </w:rPr>
        <w:t>4</w:t>
      </w:r>
      <w:r>
        <w:rPr>
          <w:rFonts w:hint="eastAsia" w:ascii="宋体" w:hAnsi="宋体" w:cs="宋体"/>
          <w:color w:val="000000"/>
          <w:sz w:val="24"/>
          <w:highlight w:val="none"/>
        </w:rPr>
        <w:t>3</w:t>
      </w:r>
      <w:r>
        <w:rPr>
          <w:rFonts w:ascii="宋体" w:hAnsi="宋体" w:cs="宋体"/>
          <w:color w:val="000000"/>
          <w:sz w:val="24"/>
          <w:highlight w:val="none"/>
        </w:rPr>
        <w:t>dB@10GHz</w:t>
      </w: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8</w:t>
      </w:r>
      <w:r>
        <w:rPr>
          <w:rFonts w:ascii="宋体" w:hAnsi="宋体" w:cs="宋体"/>
          <w:color w:val="000000"/>
          <w:sz w:val="24"/>
          <w:highlight w:val="none"/>
        </w:rPr>
        <w:t>dB@40GHz</w:t>
      </w:r>
      <w:r>
        <w:rPr>
          <w:rFonts w:hint="eastAsia" w:ascii="宋体" w:hAnsi="宋体" w:cs="宋体"/>
          <w:color w:val="000000"/>
          <w:sz w:val="24"/>
          <w:highlight w:val="none"/>
        </w:rPr>
        <w:t>；</w:t>
      </w:r>
    </w:p>
    <w:p w14:paraId="43AEF28E">
      <w:pPr>
        <w:spacing w:line="360" w:lineRule="auto"/>
        <w:ind w:left="720" w:hanging="720" w:hangingChars="300"/>
        <w:rPr>
          <w:rFonts w:hint="eastAsia" w:ascii="宋体" w:hAnsi="宋体" w:cs="宋体"/>
          <w:color w:val="000000"/>
          <w:sz w:val="24"/>
          <w:highlight w:val="none"/>
        </w:rPr>
      </w:pPr>
      <w:r>
        <w:rPr>
          <w:rFonts w:hint="eastAsia" w:ascii="宋体" w:hAnsi="宋体" w:cs="宋体"/>
          <w:color w:val="000000"/>
          <w:sz w:val="24"/>
          <w:highlight w:val="none"/>
        </w:rPr>
        <w:t>▲3.15 有效传输跟踪（典型值）：≤</w:t>
      </w:r>
      <w:r>
        <w:rPr>
          <w:rFonts w:ascii="宋体" w:hAnsi="宋体" w:cs="宋体"/>
          <w:color w:val="000000"/>
          <w:sz w:val="24"/>
          <w:highlight w:val="none"/>
        </w:rPr>
        <w:t>0.0</w:t>
      </w:r>
      <w:r>
        <w:rPr>
          <w:rFonts w:hint="eastAsia" w:ascii="宋体" w:hAnsi="宋体" w:cs="宋体"/>
          <w:color w:val="000000"/>
          <w:sz w:val="24"/>
          <w:highlight w:val="none"/>
        </w:rPr>
        <w:t>4</w:t>
      </w:r>
      <w:r>
        <w:rPr>
          <w:rFonts w:ascii="宋体" w:hAnsi="宋体" w:cs="宋体"/>
          <w:color w:val="000000"/>
          <w:sz w:val="24"/>
          <w:highlight w:val="none"/>
        </w:rPr>
        <w:t>dB@10GHz</w:t>
      </w:r>
      <w:r>
        <w:rPr>
          <w:rFonts w:hint="eastAsia" w:ascii="宋体" w:hAnsi="宋体" w:cs="宋体"/>
          <w:color w:val="000000"/>
          <w:sz w:val="24"/>
          <w:highlight w:val="none"/>
        </w:rPr>
        <w:t>；≤</w:t>
      </w:r>
      <w:r>
        <w:rPr>
          <w:rFonts w:ascii="宋体" w:hAnsi="宋体" w:cs="宋体"/>
          <w:color w:val="000000"/>
          <w:sz w:val="24"/>
          <w:highlight w:val="none"/>
        </w:rPr>
        <w:t>0.05dB@40GHz</w:t>
      </w:r>
      <w:r>
        <w:rPr>
          <w:rFonts w:hint="eastAsia" w:ascii="宋体" w:hAnsi="宋体" w:cs="宋体"/>
          <w:color w:val="000000"/>
          <w:sz w:val="24"/>
          <w:highlight w:val="none"/>
        </w:rPr>
        <w:t>；</w:t>
      </w:r>
    </w:p>
    <w:p w14:paraId="19DC3537">
      <w:pPr>
        <w:pStyle w:val="11"/>
        <w:spacing w:after="0" w:line="360" w:lineRule="auto"/>
        <w:ind w:left="720" w:leftChars="0" w:hanging="720" w:hangingChars="300"/>
        <w:rPr>
          <w:rFonts w:hint="eastAsia" w:ascii="宋体" w:hAnsi="宋体" w:cs="宋体"/>
          <w:color w:val="000000"/>
          <w:sz w:val="24"/>
          <w:highlight w:val="none"/>
        </w:rPr>
      </w:pPr>
      <w:r>
        <w:rPr>
          <w:rFonts w:hint="eastAsia" w:ascii="宋体" w:hAnsi="宋体" w:cs="宋体"/>
          <w:color w:val="000000"/>
          <w:sz w:val="24"/>
          <w:highlight w:val="none"/>
        </w:rPr>
        <w:t>★3.16 提供功率计探头，DC至40GHz，-35dBm至20dBm；</w:t>
      </w:r>
    </w:p>
    <w:p w14:paraId="54035151">
      <w:pPr>
        <w:spacing w:line="360" w:lineRule="auto"/>
        <w:ind w:left="690" w:leftChars="100" w:hanging="480" w:hangingChars="200"/>
        <w:jc w:val="left"/>
        <w:rPr>
          <w:rFonts w:hint="eastAsia" w:ascii="宋体" w:hAnsi="宋体" w:cs="宋体"/>
          <w:color w:val="000000"/>
          <w:sz w:val="24"/>
          <w:highlight w:val="none"/>
        </w:rPr>
      </w:pPr>
      <w:r>
        <w:rPr>
          <w:rFonts w:hint="eastAsia" w:ascii="宋体" w:hAnsi="宋体" w:cs="宋体"/>
          <w:color w:val="000000"/>
          <w:sz w:val="24"/>
          <w:highlight w:val="none"/>
        </w:rPr>
        <w:t>3.17 提供2根射频GSG探针，DC至40GHz，2.92mm接头；</w:t>
      </w:r>
    </w:p>
    <w:p w14:paraId="2D79F71F">
      <w:pPr>
        <w:spacing w:line="360" w:lineRule="auto"/>
        <w:ind w:left="690" w:leftChars="100" w:hanging="480" w:hangingChars="200"/>
        <w:jc w:val="left"/>
        <w:rPr>
          <w:rFonts w:hint="eastAsia" w:ascii="宋体" w:hAnsi="宋体" w:cs="宋体"/>
          <w:color w:val="000000"/>
          <w:sz w:val="24"/>
          <w:highlight w:val="none"/>
        </w:rPr>
      </w:pPr>
      <w:r>
        <w:rPr>
          <w:rFonts w:hint="eastAsia" w:ascii="宋体" w:hAnsi="宋体" w:cs="宋体"/>
          <w:color w:val="000000"/>
          <w:sz w:val="24"/>
          <w:highlight w:val="none"/>
        </w:rPr>
        <w:t>3.18 提供射频针座两套，X/Y/Z行程，12 mm / 12 mm / 12 mm,分辨率</w:t>
      </w:r>
      <w:r>
        <w:rPr>
          <w:rFonts w:hint="eastAsia" w:ascii="宋体" w:cs="宋体"/>
          <w:color w:val="000000"/>
          <w:sz w:val="24"/>
          <w:highlight w:val="none"/>
        </w:rPr>
        <w:sym w:font="Symbol" w:char="F0A3"/>
      </w:r>
      <w:r>
        <w:rPr>
          <w:rFonts w:hint="eastAsia" w:ascii="宋体" w:cs="宋体"/>
          <w:color w:val="000000"/>
          <w:sz w:val="24"/>
          <w:highlight w:val="none"/>
        </w:rPr>
        <w:t>1</w:t>
      </w:r>
      <w:r>
        <w:rPr>
          <w:rFonts w:hint="eastAsia" w:ascii="宋体" w:cs="宋体"/>
          <w:color w:val="000000"/>
          <w:sz w:val="24"/>
          <w:highlight w:val="none"/>
        </w:rPr>
        <w:sym w:font="Symbol" w:char="F06D"/>
      </w:r>
      <w:r>
        <w:rPr>
          <w:rFonts w:hint="eastAsia" w:ascii="宋体" w:cs="宋体"/>
          <w:color w:val="000000"/>
          <w:sz w:val="24"/>
          <w:highlight w:val="none"/>
        </w:rPr>
        <w:t>m</w:t>
      </w:r>
      <w:r>
        <w:rPr>
          <w:rFonts w:hint="eastAsia" w:ascii="宋体" w:hAnsi="宋体" w:cs="宋体"/>
          <w:color w:val="000000"/>
          <w:sz w:val="24"/>
          <w:highlight w:val="none"/>
        </w:rPr>
        <w:t>；</w:t>
      </w:r>
    </w:p>
    <w:p w14:paraId="0CECC3B6">
      <w:pPr>
        <w:spacing w:line="360" w:lineRule="auto"/>
        <w:ind w:left="690" w:leftChars="100" w:hanging="480" w:hangingChars="200"/>
        <w:jc w:val="left"/>
        <w:rPr>
          <w:rFonts w:hint="eastAsia" w:ascii="宋体" w:hAnsi="宋体" w:cs="宋体"/>
          <w:color w:val="000000"/>
          <w:sz w:val="24"/>
          <w:highlight w:val="none"/>
        </w:rPr>
      </w:pPr>
      <w:r>
        <w:rPr>
          <w:rFonts w:hint="eastAsia" w:ascii="宋体" w:hAnsi="宋体" w:cs="宋体"/>
          <w:color w:val="000000"/>
          <w:sz w:val="24"/>
          <w:highlight w:val="none"/>
        </w:rPr>
        <w:t>3.19 提供GSG和GSGSG校准片各一只，支持SOLT、LRM、TRL校准方法；</w:t>
      </w:r>
    </w:p>
    <w:p w14:paraId="4590DA46">
      <w:pPr>
        <w:spacing w:line="360" w:lineRule="auto"/>
        <w:ind w:left="690" w:leftChars="100" w:hanging="480" w:hangingChars="200"/>
        <w:jc w:val="left"/>
        <w:rPr>
          <w:rFonts w:hint="eastAsia" w:ascii="宋体" w:hAnsi="宋体" w:cs="宋体"/>
          <w:color w:val="000000"/>
          <w:sz w:val="24"/>
          <w:highlight w:val="none"/>
        </w:rPr>
      </w:pPr>
      <w:r>
        <w:rPr>
          <w:rFonts w:hint="eastAsia" w:ascii="宋体" w:hAnsi="宋体" w:cs="宋体"/>
          <w:color w:val="000000"/>
          <w:sz w:val="24"/>
          <w:highlight w:val="none"/>
        </w:rPr>
        <w:t>3.20 提供射频电缆两根，DC至43.5GHz，长度1.2米。</w:t>
      </w:r>
    </w:p>
    <w:p w14:paraId="51D4E53E">
      <w:pPr>
        <w:pStyle w:val="2"/>
        <w:rPr>
          <w:rFonts w:hint="eastAsia"/>
          <w:color w:val="000000"/>
          <w:highlight w:val="none"/>
        </w:rPr>
      </w:pPr>
    </w:p>
    <w:p w14:paraId="2DCEF1DA">
      <w:pPr>
        <w:widowControl/>
        <w:snapToGrid w:val="0"/>
        <w:spacing w:before="156" w:beforeLines="50" w:line="360" w:lineRule="auto"/>
        <w:rPr>
          <w:b/>
          <w:color w:val="000000"/>
          <w:sz w:val="24"/>
          <w:highlight w:val="none"/>
        </w:rPr>
      </w:pPr>
      <w:r>
        <w:rPr>
          <w:b/>
          <w:color w:val="000000"/>
          <w:sz w:val="24"/>
          <w:highlight w:val="none"/>
        </w:rPr>
        <w:t>4、配置清单及零配件（包括专用工具）：</w:t>
      </w:r>
    </w:p>
    <w:tbl>
      <w:tblPr>
        <w:tblStyle w:val="9"/>
        <w:tblW w:w="9067" w:type="dxa"/>
        <w:tblInd w:w="0" w:type="dxa"/>
        <w:tblLayout w:type="fixed"/>
        <w:tblCellMar>
          <w:top w:w="0" w:type="dxa"/>
          <w:left w:w="108" w:type="dxa"/>
          <w:bottom w:w="0" w:type="dxa"/>
          <w:right w:w="108" w:type="dxa"/>
        </w:tblCellMar>
      </w:tblPr>
      <w:tblGrid>
        <w:gridCol w:w="950"/>
        <w:gridCol w:w="6122"/>
        <w:gridCol w:w="974"/>
        <w:gridCol w:w="1021"/>
      </w:tblGrid>
      <w:tr w14:paraId="42925C54">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6DB004ED">
            <w:pPr>
              <w:widowControl/>
              <w:snapToGrid w:val="0"/>
              <w:spacing w:before="156" w:beforeLines="50" w:line="360" w:lineRule="auto"/>
              <w:jc w:val="center"/>
              <w:rPr>
                <w:b/>
                <w:bCs/>
                <w:color w:val="000000"/>
                <w:sz w:val="24"/>
                <w:highlight w:val="none"/>
              </w:rPr>
            </w:pPr>
            <w:r>
              <w:rPr>
                <w:b/>
                <w:bCs/>
                <w:color w:val="000000"/>
                <w:sz w:val="24"/>
                <w:highlight w:val="none"/>
              </w:rPr>
              <w:t>序号</w:t>
            </w:r>
          </w:p>
        </w:tc>
        <w:tc>
          <w:tcPr>
            <w:tcW w:w="6122" w:type="dxa"/>
            <w:tcBorders>
              <w:top w:val="single" w:color="auto" w:sz="4" w:space="0"/>
              <w:left w:val="nil"/>
              <w:bottom w:val="single" w:color="auto" w:sz="4" w:space="0"/>
              <w:right w:val="single" w:color="auto" w:sz="4" w:space="0"/>
            </w:tcBorders>
            <w:noWrap/>
            <w:vAlign w:val="center"/>
          </w:tcPr>
          <w:p w14:paraId="5D6B027E">
            <w:pPr>
              <w:widowControl/>
              <w:snapToGrid w:val="0"/>
              <w:spacing w:before="156" w:beforeLines="50" w:line="360" w:lineRule="auto"/>
              <w:jc w:val="center"/>
              <w:rPr>
                <w:b/>
                <w:bCs/>
                <w:color w:val="000000"/>
                <w:sz w:val="24"/>
                <w:highlight w:val="none"/>
              </w:rPr>
            </w:pPr>
            <w:r>
              <w:rPr>
                <w:b/>
                <w:bCs/>
                <w:color w:val="000000"/>
                <w:sz w:val="24"/>
                <w:highlight w:val="none"/>
              </w:rPr>
              <w:t>名称</w:t>
            </w:r>
          </w:p>
        </w:tc>
        <w:tc>
          <w:tcPr>
            <w:tcW w:w="974" w:type="dxa"/>
            <w:tcBorders>
              <w:top w:val="single" w:color="auto" w:sz="4" w:space="0"/>
              <w:left w:val="nil"/>
              <w:bottom w:val="single" w:color="auto" w:sz="4" w:space="0"/>
              <w:right w:val="single" w:color="auto" w:sz="4" w:space="0"/>
            </w:tcBorders>
            <w:noWrap/>
            <w:vAlign w:val="center"/>
          </w:tcPr>
          <w:p w14:paraId="2112E543">
            <w:pPr>
              <w:widowControl/>
              <w:snapToGrid w:val="0"/>
              <w:spacing w:before="156" w:beforeLines="50" w:line="360" w:lineRule="auto"/>
              <w:jc w:val="center"/>
              <w:rPr>
                <w:b/>
                <w:bCs/>
                <w:color w:val="000000"/>
                <w:sz w:val="24"/>
                <w:highlight w:val="none"/>
              </w:rPr>
            </w:pPr>
            <w:r>
              <w:rPr>
                <w:b/>
                <w:bCs/>
                <w:color w:val="000000"/>
                <w:sz w:val="24"/>
                <w:highlight w:val="none"/>
              </w:rPr>
              <w:t>单位</w:t>
            </w:r>
          </w:p>
        </w:tc>
        <w:tc>
          <w:tcPr>
            <w:tcW w:w="1021" w:type="dxa"/>
            <w:tcBorders>
              <w:top w:val="single" w:color="auto" w:sz="4" w:space="0"/>
              <w:left w:val="nil"/>
              <w:bottom w:val="single" w:color="auto" w:sz="4" w:space="0"/>
              <w:right w:val="single" w:color="auto" w:sz="4" w:space="0"/>
            </w:tcBorders>
            <w:noWrap/>
            <w:vAlign w:val="center"/>
          </w:tcPr>
          <w:p w14:paraId="6DBD6988">
            <w:pPr>
              <w:widowControl/>
              <w:snapToGrid w:val="0"/>
              <w:spacing w:before="156" w:beforeLines="50" w:line="360" w:lineRule="auto"/>
              <w:jc w:val="center"/>
              <w:rPr>
                <w:b/>
                <w:bCs/>
                <w:color w:val="000000"/>
                <w:sz w:val="24"/>
                <w:highlight w:val="none"/>
              </w:rPr>
            </w:pPr>
            <w:r>
              <w:rPr>
                <w:b/>
                <w:bCs/>
                <w:color w:val="000000"/>
                <w:sz w:val="24"/>
                <w:highlight w:val="none"/>
              </w:rPr>
              <w:t>数量</w:t>
            </w:r>
          </w:p>
        </w:tc>
      </w:tr>
      <w:tr w14:paraId="5BBB506A">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1F948E74">
            <w:pPr>
              <w:widowControl/>
              <w:snapToGrid w:val="0"/>
              <w:spacing w:before="156" w:beforeLines="50" w:line="360" w:lineRule="auto"/>
              <w:jc w:val="center"/>
              <w:rPr>
                <w:color w:val="000000"/>
                <w:sz w:val="24"/>
                <w:highlight w:val="none"/>
              </w:rPr>
            </w:pPr>
            <w:r>
              <w:rPr>
                <w:rFonts w:ascii="宋体" w:hAnsi="宋体"/>
                <w:color w:val="000000"/>
                <w:sz w:val="24"/>
                <w:highlight w:val="none"/>
              </w:rPr>
              <w:t>1</w:t>
            </w:r>
          </w:p>
        </w:tc>
        <w:tc>
          <w:tcPr>
            <w:tcW w:w="6122" w:type="dxa"/>
            <w:tcBorders>
              <w:top w:val="single" w:color="auto" w:sz="4" w:space="0"/>
              <w:left w:val="single" w:color="auto" w:sz="4" w:space="0"/>
              <w:bottom w:val="single" w:color="auto" w:sz="4" w:space="0"/>
              <w:right w:val="single" w:color="auto" w:sz="4" w:space="0"/>
            </w:tcBorders>
            <w:noWrap/>
            <w:vAlign w:val="center"/>
          </w:tcPr>
          <w:p w14:paraId="38DE7C9F">
            <w:pPr>
              <w:widowControl/>
              <w:snapToGrid w:val="0"/>
              <w:spacing w:before="156" w:beforeLines="50" w:line="360" w:lineRule="auto"/>
              <w:rPr>
                <w:color w:val="000000"/>
                <w:sz w:val="24"/>
                <w:highlight w:val="none"/>
              </w:rPr>
            </w:pPr>
            <w:r>
              <w:rPr>
                <w:rFonts w:hint="eastAsia" w:ascii="宋体" w:hAnsi="宋体"/>
                <w:color w:val="000000"/>
                <w:sz w:val="24"/>
                <w:highlight w:val="none"/>
              </w:rPr>
              <w:t>矢量网络分析仪</w:t>
            </w:r>
          </w:p>
        </w:tc>
        <w:tc>
          <w:tcPr>
            <w:tcW w:w="974" w:type="dxa"/>
            <w:tcBorders>
              <w:top w:val="single" w:color="auto" w:sz="4" w:space="0"/>
              <w:left w:val="single" w:color="auto" w:sz="4" w:space="0"/>
              <w:bottom w:val="single" w:color="auto" w:sz="4" w:space="0"/>
              <w:right w:val="single" w:color="auto" w:sz="4" w:space="0"/>
            </w:tcBorders>
            <w:noWrap/>
            <w:vAlign w:val="center"/>
          </w:tcPr>
          <w:p w14:paraId="7EA5AB75">
            <w:pPr>
              <w:widowControl/>
              <w:snapToGrid w:val="0"/>
              <w:spacing w:before="156" w:beforeLines="50" w:line="360" w:lineRule="auto"/>
              <w:jc w:val="center"/>
              <w:rPr>
                <w:color w:val="000000"/>
                <w:sz w:val="24"/>
                <w:highlight w:val="none"/>
              </w:rPr>
            </w:pPr>
            <w:r>
              <w:rPr>
                <w:rFonts w:hint="eastAsia" w:ascii="宋体" w:hAnsi="宋体"/>
                <w:color w:val="000000"/>
                <w:sz w:val="24"/>
                <w:highlight w:val="none"/>
              </w:rPr>
              <w:t>台</w:t>
            </w:r>
          </w:p>
        </w:tc>
        <w:tc>
          <w:tcPr>
            <w:tcW w:w="1021" w:type="dxa"/>
            <w:tcBorders>
              <w:top w:val="single" w:color="auto" w:sz="4" w:space="0"/>
              <w:left w:val="single" w:color="auto" w:sz="4" w:space="0"/>
              <w:bottom w:val="single" w:color="auto" w:sz="4" w:space="0"/>
              <w:right w:val="single" w:color="auto" w:sz="4" w:space="0"/>
            </w:tcBorders>
            <w:noWrap/>
            <w:vAlign w:val="center"/>
          </w:tcPr>
          <w:p w14:paraId="0D432057">
            <w:pPr>
              <w:widowControl/>
              <w:snapToGrid w:val="0"/>
              <w:spacing w:before="156" w:beforeLines="50" w:line="360" w:lineRule="auto"/>
              <w:jc w:val="center"/>
              <w:rPr>
                <w:color w:val="000000"/>
                <w:sz w:val="24"/>
                <w:highlight w:val="none"/>
              </w:rPr>
            </w:pPr>
            <w:r>
              <w:rPr>
                <w:rFonts w:hint="eastAsia" w:ascii="宋体" w:hAnsi="宋体"/>
                <w:color w:val="000000"/>
                <w:sz w:val="24"/>
                <w:highlight w:val="none"/>
              </w:rPr>
              <w:t>1</w:t>
            </w:r>
          </w:p>
        </w:tc>
      </w:tr>
      <w:tr w14:paraId="4BBF6118">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36C1505E">
            <w:pPr>
              <w:widowControl/>
              <w:snapToGrid w:val="0"/>
              <w:spacing w:before="156" w:beforeLines="50" w:line="360" w:lineRule="auto"/>
              <w:jc w:val="center"/>
              <w:rPr>
                <w:color w:val="000000"/>
                <w:sz w:val="24"/>
                <w:highlight w:val="none"/>
              </w:rPr>
            </w:pPr>
            <w:r>
              <w:rPr>
                <w:rFonts w:ascii="宋体" w:hAnsi="宋体"/>
                <w:color w:val="000000"/>
                <w:sz w:val="24"/>
                <w:highlight w:val="none"/>
              </w:rPr>
              <w:t>2</w:t>
            </w:r>
          </w:p>
        </w:tc>
        <w:tc>
          <w:tcPr>
            <w:tcW w:w="6122" w:type="dxa"/>
            <w:tcBorders>
              <w:top w:val="single" w:color="auto" w:sz="4" w:space="0"/>
              <w:left w:val="single" w:color="auto" w:sz="4" w:space="0"/>
              <w:bottom w:val="single" w:color="auto" w:sz="4" w:space="0"/>
              <w:right w:val="single" w:color="auto" w:sz="4" w:space="0"/>
            </w:tcBorders>
            <w:noWrap/>
            <w:vAlign w:val="center"/>
          </w:tcPr>
          <w:p w14:paraId="14EDDC11">
            <w:pPr>
              <w:widowControl/>
              <w:snapToGrid w:val="0"/>
              <w:spacing w:before="156" w:beforeLines="50" w:line="360" w:lineRule="auto"/>
              <w:rPr>
                <w:color w:val="000000"/>
                <w:sz w:val="24"/>
                <w:highlight w:val="none"/>
              </w:rPr>
            </w:pPr>
            <w:r>
              <w:rPr>
                <w:rFonts w:hint="eastAsia" w:ascii="宋体"/>
                <w:color w:val="000000"/>
                <w:sz w:val="24"/>
                <w:highlight w:val="none"/>
              </w:rPr>
              <w:t>两端口67GHz</w:t>
            </w:r>
            <w:r>
              <w:rPr>
                <w:rFonts w:ascii="宋体"/>
                <w:color w:val="000000"/>
                <w:sz w:val="24"/>
                <w:highlight w:val="none"/>
              </w:rPr>
              <w:t>电子校准件</w:t>
            </w:r>
          </w:p>
        </w:tc>
        <w:tc>
          <w:tcPr>
            <w:tcW w:w="974" w:type="dxa"/>
            <w:tcBorders>
              <w:top w:val="single" w:color="auto" w:sz="4" w:space="0"/>
              <w:left w:val="single" w:color="auto" w:sz="4" w:space="0"/>
              <w:bottom w:val="single" w:color="auto" w:sz="4" w:space="0"/>
              <w:right w:val="single" w:color="auto" w:sz="4" w:space="0"/>
            </w:tcBorders>
            <w:noWrap/>
            <w:vAlign w:val="center"/>
          </w:tcPr>
          <w:p w14:paraId="3BD57AF8">
            <w:pPr>
              <w:widowControl/>
              <w:snapToGrid w:val="0"/>
              <w:spacing w:before="156" w:beforeLines="50" w:line="360" w:lineRule="auto"/>
              <w:jc w:val="center"/>
              <w:rPr>
                <w:color w:val="000000"/>
                <w:sz w:val="24"/>
                <w:highlight w:val="none"/>
              </w:rPr>
            </w:pPr>
            <w:r>
              <w:rPr>
                <w:rFonts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08D6CC33">
            <w:pPr>
              <w:widowControl/>
              <w:snapToGrid w:val="0"/>
              <w:spacing w:before="156" w:beforeLines="50" w:line="360" w:lineRule="auto"/>
              <w:jc w:val="center"/>
              <w:rPr>
                <w:color w:val="000000"/>
                <w:sz w:val="24"/>
                <w:highlight w:val="none"/>
              </w:rPr>
            </w:pPr>
            <w:r>
              <w:rPr>
                <w:rFonts w:hint="eastAsia" w:ascii="宋体" w:hAnsi="宋体"/>
                <w:color w:val="000000"/>
                <w:sz w:val="24"/>
                <w:highlight w:val="none"/>
              </w:rPr>
              <w:t>1</w:t>
            </w:r>
          </w:p>
        </w:tc>
      </w:tr>
      <w:tr w14:paraId="7EB56F03">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533FD65F">
            <w:pPr>
              <w:widowControl/>
              <w:snapToGrid w:val="0"/>
              <w:spacing w:before="156" w:beforeLines="50" w:line="360" w:lineRule="auto"/>
              <w:jc w:val="center"/>
              <w:rPr>
                <w:color w:val="000000"/>
                <w:sz w:val="24"/>
                <w:highlight w:val="none"/>
              </w:rPr>
            </w:pPr>
            <w:r>
              <w:rPr>
                <w:rFonts w:hint="eastAsia" w:ascii="宋体" w:hAnsi="宋体"/>
                <w:color w:val="000000"/>
                <w:sz w:val="24"/>
                <w:highlight w:val="none"/>
              </w:rPr>
              <w:t>3</w:t>
            </w:r>
          </w:p>
        </w:tc>
        <w:tc>
          <w:tcPr>
            <w:tcW w:w="6122" w:type="dxa"/>
            <w:tcBorders>
              <w:top w:val="single" w:color="auto" w:sz="4" w:space="0"/>
              <w:left w:val="single" w:color="auto" w:sz="4" w:space="0"/>
              <w:bottom w:val="single" w:color="auto" w:sz="4" w:space="0"/>
              <w:right w:val="single" w:color="auto" w:sz="4" w:space="0"/>
            </w:tcBorders>
            <w:noWrap/>
            <w:vAlign w:val="center"/>
          </w:tcPr>
          <w:p w14:paraId="7C50F8C2">
            <w:pPr>
              <w:widowControl/>
              <w:snapToGrid w:val="0"/>
              <w:spacing w:before="156" w:beforeLines="50" w:line="360" w:lineRule="auto"/>
              <w:rPr>
                <w:color w:val="000000"/>
                <w:sz w:val="24"/>
                <w:highlight w:val="none"/>
              </w:rPr>
            </w:pPr>
            <w:r>
              <w:rPr>
                <w:rFonts w:hint="eastAsia" w:ascii="宋体"/>
                <w:color w:val="000000"/>
                <w:sz w:val="24"/>
                <w:highlight w:val="none"/>
              </w:rPr>
              <w:t>功率计探头</w:t>
            </w:r>
          </w:p>
        </w:tc>
        <w:tc>
          <w:tcPr>
            <w:tcW w:w="974" w:type="dxa"/>
            <w:tcBorders>
              <w:top w:val="single" w:color="auto" w:sz="4" w:space="0"/>
              <w:left w:val="single" w:color="auto" w:sz="4" w:space="0"/>
              <w:bottom w:val="single" w:color="auto" w:sz="4" w:space="0"/>
              <w:right w:val="single" w:color="auto" w:sz="4" w:space="0"/>
            </w:tcBorders>
            <w:noWrap/>
            <w:vAlign w:val="center"/>
          </w:tcPr>
          <w:p w14:paraId="511DE9D6">
            <w:pPr>
              <w:widowControl/>
              <w:snapToGrid w:val="0"/>
              <w:spacing w:before="156" w:beforeLines="50" w:line="360" w:lineRule="auto"/>
              <w:jc w:val="center"/>
              <w:rPr>
                <w:color w:val="000000"/>
                <w:sz w:val="24"/>
                <w:highlight w:val="none"/>
              </w:rPr>
            </w:pPr>
            <w:r>
              <w:rPr>
                <w:rFonts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5E559F02">
            <w:pPr>
              <w:widowControl/>
              <w:snapToGrid w:val="0"/>
              <w:spacing w:before="156" w:beforeLines="50" w:line="360" w:lineRule="auto"/>
              <w:jc w:val="center"/>
              <w:rPr>
                <w:color w:val="000000"/>
                <w:sz w:val="24"/>
                <w:highlight w:val="none"/>
              </w:rPr>
            </w:pPr>
            <w:r>
              <w:rPr>
                <w:rFonts w:hint="eastAsia" w:ascii="宋体" w:hAnsi="宋体"/>
                <w:color w:val="000000"/>
                <w:sz w:val="24"/>
                <w:highlight w:val="none"/>
              </w:rPr>
              <w:t>1</w:t>
            </w:r>
          </w:p>
        </w:tc>
      </w:tr>
      <w:tr w14:paraId="11539D08">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15EECEC3">
            <w:pPr>
              <w:widowControl/>
              <w:snapToGrid w:val="0"/>
              <w:spacing w:before="156" w:beforeLines="50" w:line="360" w:lineRule="auto"/>
              <w:jc w:val="center"/>
              <w:rPr>
                <w:rFonts w:hint="eastAsia" w:ascii="宋体" w:hAnsi="宋体"/>
                <w:color w:val="000000"/>
                <w:sz w:val="24"/>
                <w:highlight w:val="none"/>
              </w:rPr>
            </w:pPr>
            <w:r>
              <w:rPr>
                <w:rFonts w:hint="eastAsia" w:ascii="宋体" w:hAnsi="宋体"/>
                <w:color w:val="000000"/>
                <w:sz w:val="24"/>
                <w:highlight w:val="none"/>
              </w:rPr>
              <w:t>4</w:t>
            </w:r>
          </w:p>
        </w:tc>
        <w:tc>
          <w:tcPr>
            <w:tcW w:w="6122" w:type="dxa"/>
            <w:tcBorders>
              <w:top w:val="single" w:color="auto" w:sz="4" w:space="0"/>
              <w:left w:val="single" w:color="auto" w:sz="4" w:space="0"/>
              <w:bottom w:val="single" w:color="auto" w:sz="4" w:space="0"/>
              <w:right w:val="single" w:color="auto" w:sz="4" w:space="0"/>
            </w:tcBorders>
            <w:noWrap/>
            <w:vAlign w:val="center"/>
          </w:tcPr>
          <w:p w14:paraId="38C77029">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40GHz射频GSG探针</w:t>
            </w:r>
          </w:p>
        </w:tc>
        <w:tc>
          <w:tcPr>
            <w:tcW w:w="974" w:type="dxa"/>
            <w:tcBorders>
              <w:top w:val="single" w:color="auto" w:sz="4" w:space="0"/>
              <w:left w:val="single" w:color="auto" w:sz="4" w:space="0"/>
              <w:bottom w:val="single" w:color="auto" w:sz="4" w:space="0"/>
              <w:right w:val="single" w:color="auto" w:sz="4" w:space="0"/>
            </w:tcBorders>
            <w:noWrap/>
            <w:vAlign w:val="center"/>
          </w:tcPr>
          <w:p w14:paraId="32BCB7D7">
            <w:pPr>
              <w:widowControl/>
              <w:snapToGrid w:val="0"/>
              <w:spacing w:before="156" w:beforeLines="50" w:line="360" w:lineRule="auto"/>
              <w:jc w:val="center"/>
              <w:rPr>
                <w:rFonts w:hint="eastAsia" w:ascii="宋体" w:hAnsi="宋体"/>
                <w:color w:val="000000"/>
                <w:sz w:val="24"/>
                <w:highlight w:val="none"/>
              </w:rPr>
            </w:pPr>
            <w:r>
              <w:rPr>
                <w:rFonts w:hint="eastAsia"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650486EC">
            <w:pPr>
              <w:widowControl/>
              <w:snapToGrid w:val="0"/>
              <w:spacing w:before="156" w:beforeLines="50" w:line="360" w:lineRule="auto"/>
              <w:jc w:val="center"/>
              <w:rPr>
                <w:rFonts w:hint="eastAsia" w:ascii="宋体" w:hAnsi="宋体"/>
                <w:color w:val="000000"/>
                <w:sz w:val="24"/>
                <w:highlight w:val="none"/>
              </w:rPr>
            </w:pPr>
            <w:r>
              <w:rPr>
                <w:rFonts w:hint="eastAsia" w:ascii="宋体" w:hAnsi="宋体"/>
                <w:color w:val="000000"/>
                <w:sz w:val="24"/>
                <w:highlight w:val="none"/>
              </w:rPr>
              <w:t>2</w:t>
            </w:r>
          </w:p>
        </w:tc>
      </w:tr>
      <w:tr w14:paraId="4F6F1E9F">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38D5BB34">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5</w:t>
            </w:r>
          </w:p>
        </w:tc>
        <w:tc>
          <w:tcPr>
            <w:tcW w:w="6122" w:type="dxa"/>
            <w:tcBorders>
              <w:top w:val="single" w:color="auto" w:sz="4" w:space="0"/>
              <w:left w:val="single" w:color="auto" w:sz="4" w:space="0"/>
              <w:bottom w:val="single" w:color="auto" w:sz="4" w:space="0"/>
              <w:right w:val="single" w:color="auto" w:sz="4" w:space="0"/>
            </w:tcBorders>
            <w:noWrap/>
            <w:vAlign w:val="center"/>
          </w:tcPr>
          <w:p w14:paraId="61C490BD">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GSGSG探针差分校准片</w:t>
            </w:r>
          </w:p>
        </w:tc>
        <w:tc>
          <w:tcPr>
            <w:tcW w:w="974" w:type="dxa"/>
            <w:tcBorders>
              <w:top w:val="single" w:color="auto" w:sz="4" w:space="0"/>
              <w:left w:val="single" w:color="auto" w:sz="4" w:space="0"/>
              <w:bottom w:val="single" w:color="auto" w:sz="4" w:space="0"/>
              <w:right w:val="single" w:color="auto" w:sz="4" w:space="0"/>
            </w:tcBorders>
            <w:noWrap/>
            <w:vAlign w:val="center"/>
          </w:tcPr>
          <w:p w14:paraId="1C61BF57">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0B732D67">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1</w:t>
            </w:r>
          </w:p>
        </w:tc>
      </w:tr>
      <w:tr w14:paraId="3B74FF31">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05715DEE">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6122" w:type="dxa"/>
            <w:tcBorders>
              <w:top w:val="single" w:color="auto" w:sz="4" w:space="0"/>
              <w:left w:val="single" w:color="auto" w:sz="4" w:space="0"/>
              <w:bottom w:val="single" w:color="auto" w:sz="4" w:space="0"/>
              <w:right w:val="single" w:color="auto" w:sz="4" w:space="0"/>
            </w:tcBorders>
            <w:noWrap/>
            <w:vAlign w:val="center"/>
          </w:tcPr>
          <w:p w14:paraId="10C7EA08">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110GHz GSG探针校准片</w:t>
            </w:r>
          </w:p>
        </w:tc>
        <w:tc>
          <w:tcPr>
            <w:tcW w:w="974" w:type="dxa"/>
            <w:tcBorders>
              <w:top w:val="single" w:color="auto" w:sz="4" w:space="0"/>
              <w:left w:val="single" w:color="auto" w:sz="4" w:space="0"/>
              <w:bottom w:val="single" w:color="auto" w:sz="4" w:space="0"/>
              <w:right w:val="single" w:color="auto" w:sz="4" w:space="0"/>
            </w:tcBorders>
            <w:noWrap/>
            <w:vAlign w:val="center"/>
          </w:tcPr>
          <w:p w14:paraId="3C6B59C5">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1A73CA7A">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1</w:t>
            </w:r>
          </w:p>
        </w:tc>
      </w:tr>
      <w:tr w14:paraId="20E6E382">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26F95805">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7</w:t>
            </w:r>
          </w:p>
        </w:tc>
        <w:tc>
          <w:tcPr>
            <w:tcW w:w="6122" w:type="dxa"/>
            <w:tcBorders>
              <w:top w:val="single" w:color="auto" w:sz="4" w:space="0"/>
              <w:left w:val="single" w:color="auto" w:sz="4" w:space="0"/>
              <w:bottom w:val="single" w:color="auto" w:sz="4" w:space="0"/>
              <w:right w:val="single" w:color="auto" w:sz="4" w:space="0"/>
            </w:tcBorders>
            <w:noWrap/>
            <w:vAlign w:val="center"/>
          </w:tcPr>
          <w:p w14:paraId="783A674D">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射频探针调平片</w:t>
            </w:r>
          </w:p>
        </w:tc>
        <w:tc>
          <w:tcPr>
            <w:tcW w:w="974" w:type="dxa"/>
            <w:tcBorders>
              <w:top w:val="single" w:color="auto" w:sz="4" w:space="0"/>
              <w:left w:val="single" w:color="auto" w:sz="4" w:space="0"/>
              <w:bottom w:val="single" w:color="auto" w:sz="4" w:space="0"/>
              <w:right w:val="single" w:color="auto" w:sz="4" w:space="0"/>
            </w:tcBorders>
            <w:noWrap/>
            <w:vAlign w:val="center"/>
          </w:tcPr>
          <w:p w14:paraId="6D0431AA">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个</w:t>
            </w:r>
          </w:p>
        </w:tc>
        <w:tc>
          <w:tcPr>
            <w:tcW w:w="1021" w:type="dxa"/>
            <w:tcBorders>
              <w:top w:val="single" w:color="auto" w:sz="4" w:space="0"/>
              <w:left w:val="single" w:color="auto" w:sz="4" w:space="0"/>
              <w:bottom w:val="single" w:color="auto" w:sz="4" w:space="0"/>
              <w:right w:val="single" w:color="auto" w:sz="4" w:space="0"/>
            </w:tcBorders>
            <w:noWrap/>
            <w:vAlign w:val="center"/>
          </w:tcPr>
          <w:p w14:paraId="37B459D1">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3</w:t>
            </w:r>
          </w:p>
        </w:tc>
      </w:tr>
      <w:tr w14:paraId="0E3EFF3D">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2228B297">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8</w:t>
            </w:r>
          </w:p>
        </w:tc>
        <w:tc>
          <w:tcPr>
            <w:tcW w:w="6122" w:type="dxa"/>
            <w:tcBorders>
              <w:top w:val="single" w:color="auto" w:sz="4" w:space="0"/>
              <w:left w:val="single" w:color="auto" w:sz="4" w:space="0"/>
              <w:bottom w:val="single" w:color="auto" w:sz="4" w:space="0"/>
              <w:right w:val="single" w:color="auto" w:sz="4" w:space="0"/>
            </w:tcBorders>
            <w:noWrap/>
            <w:vAlign w:val="center"/>
          </w:tcPr>
          <w:p w14:paraId="10900940">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43.5GHz射频线缆</w:t>
            </w:r>
          </w:p>
        </w:tc>
        <w:tc>
          <w:tcPr>
            <w:tcW w:w="974" w:type="dxa"/>
            <w:tcBorders>
              <w:top w:val="single" w:color="auto" w:sz="4" w:space="0"/>
              <w:left w:val="single" w:color="auto" w:sz="4" w:space="0"/>
              <w:bottom w:val="single" w:color="auto" w:sz="4" w:space="0"/>
              <w:right w:val="single" w:color="auto" w:sz="4" w:space="0"/>
            </w:tcBorders>
            <w:noWrap/>
            <w:vAlign w:val="center"/>
          </w:tcPr>
          <w:p w14:paraId="3AF0E718">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根</w:t>
            </w:r>
          </w:p>
        </w:tc>
        <w:tc>
          <w:tcPr>
            <w:tcW w:w="1021" w:type="dxa"/>
            <w:tcBorders>
              <w:top w:val="single" w:color="auto" w:sz="4" w:space="0"/>
              <w:left w:val="single" w:color="auto" w:sz="4" w:space="0"/>
              <w:bottom w:val="single" w:color="auto" w:sz="4" w:space="0"/>
              <w:right w:val="single" w:color="auto" w:sz="4" w:space="0"/>
            </w:tcBorders>
            <w:noWrap/>
            <w:vAlign w:val="center"/>
          </w:tcPr>
          <w:p w14:paraId="37FCBE76">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2</w:t>
            </w:r>
          </w:p>
        </w:tc>
      </w:tr>
      <w:tr w14:paraId="1FF0ED72">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1EEC821B">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9</w:t>
            </w:r>
          </w:p>
        </w:tc>
        <w:tc>
          <w:tcPr>
            <w:tcW w:w="6122" w:type="dxa"/>
            <w:tcBorders>
              <w:top w:val="single" w:color="auto" w:sz="4" w:space="0"/>
              <w:left w:val="single" w:color="auto" w:sz="4" w:space="0"/>
              <w:bottom w:val="single" w:color="auto" w:sz="4" w:space="0"/>
              <w:right w:val="single" w:color="auto" w:sz="4" w:space="0"/>
            </w:tcBorders>
            <w:noWrap/>
            <w:vAlign w:val="center"/>
          </w:tcPr>
          <w:p w14:paraId="6BC6D2EF">
            <w:pPr>
              <w:widowControl/>
              <w:snapToGrid w:val="0"/>
              <w:spacing w:before="156" w:beforeLines="50" w:line="360" w:lineRule="auto"/>
              <w:rPr>
                <w:rFonts w:ascii="宋体"/>
                <w:color w:val="000000"/>
                <w:sz w:val="24"/>
                <w:highlight w:val="none"/>
              </w:rPr>
            </w:pPr>
            <w:r>
              <w:rPr>
                <w:rFonts w:hint="eastAsia" w:ascii="宋体"/>
                <w:color w:val="000000"/>
                <w:sz w:val="24"/>
                <w:highlight w:val="none"/>
              </w:rPr>
              <w:t>射频针座和针臂</w:t>
            </w:r>
          </w:p>
        </w:tc>
        <w:tc>
          <w:tcPr>
            <w:tcW w:w="974" w:type="dxa"/>
            <w:tcBorders>
              <w:top w:val="single" w:color="auto" w:sz="4" w:space="0"/>
              <w:left w:val="single" w:color="auto" w:sz="4" w:space="0"/>
              <w:bottom w:val="single" w:color="auto" w:sz="4" w:space="0"/>
              <w:right w:val="single" w:color="auto" w:sz="4" w:space="0"/>
            </w:tcBorders>
            <w:noWrap/>
            <w:vAlign w:val="center"/>
          </w:tcPr>
          <w:p w14:paraId="34D61B99">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套</w:t>
            </w:r>
          </w:p>
        </w:tc>
        <w:tc>
          <w:tcPr>
            <w:tcW w:w="1021" w:type="dxa"/>
            <w:tcBorders>
              <w:top w:val="single" w:color="auto" w:sz="4" w:space="0"/>
              <w:left w:val="single" w:color="auto" w:sz="4" w:space="0"/>
              <w:bottom w:val="single" w:color="auto" w:sz="4" w:space="0"/>
              <w:right w:val="single" w:color="auto" w:sz="4" w:space="0"/>
            </w:tcBorders>
            <w:noWrap/>
            <w:vAlign w:val="center"/>
          </w:tcPr>
          <w:p w14:paraId="55412172">
            <w:pPr>
              <w:widowControl/>
              <w:snapToGrid w:val="0"/>
              <w:spacing w:before="156" w:beforeLines="50" w:line="360" w:lineRule="auto"/>
              <w:jc w:val="center"/>
              <w:rPr>
                <w:rFonts w:ascii="宋体" w:hAnsi="宋体"/>
                <w:color w:val="000000"/>
                <w:sz w:val="24"/>
                <w:highlight w:val="none"/>
              </w:rPr>
            </w:pPr>
            <w:r>
              <w:rPr>
                <w:rFonts w:hint="eastAsia" w:ascii="宋体" w:hAnsi="宋体"/>
                <w:color w:val="000000"/>
                <w:sz w:val="24"/>
                <w:highlight w:val="none"/>
              </w:rPr>
              <w:t>2</w:t>
            </w:r>
          </w:p>
        </w:tc>
      </w:tr>
    </w:tbl>
    <w:p w14:paraId="03913ACD">
      <w:pPr>
        <w:pStyle w:val="5"/>
        <w:spacing w:before="0" w:after="0" w:line="240" w:lineRule="auto"/>
        <w:rPr>
          <w:color w:val="000000"/>
          <w:highlight w:val="none"/>
        </w:rPr>
      </w:pPr>
    </w:p>
    <w:p w14:paraId="58142A08">
      <w:pPr>
        <w:rPr>
          <w:b/>
          <w:color w:val="000000"/>
          <w:sz w:val="24"/>
          <w:highlight w:val="none"/>
        </w:rPr>
      </w:pPr>
      <w:r>
        <w:rPr>
          <w:b/>
          <w:color w:val="000000"/>
          <w:sz w:val="24"/>
          <w:highlight w:val="none"/>
        </w:rPr>
        <w:t>（</w:t>
      </w:r>
      <w:r>
        <w:rPr>
          <w:rFonts w:hint="eastAsia"/>
          <w:b/>
          <w:color w:val="000000"/>
          <w:sz w:val="24"/>
          <w:highlight w:val="none"/>
        </w:rPr>
        <w:t>二</w:t>
      </w:r>
      <w:r>
        <w:rPr>
          <w:b/>
          <w:color w:val="000000"/>
          <w:sz w:val="24"/>
          <w:highlight w:val="none"/>
        </w:rPr>
        <w:t>）</w:t>
      </w:r>
      <w:r>
        <w:rPr>
          <w:rFonts w:hint="eastAsia"/>
          <w:b/>
          <w:color w:val="000000"/>
          <w:sz w:val="24"/>
          <w:highlight w:val="none"/>
        </w:rPr>
        <w:t>商务</w:t>
      </w:r>
      <w:r>
        <w:rPr>
          <w:b/>
          <w:color w:val="000000"/>
          <w:sz w:val="24"/>
          <w:highlight w:val="none"/>
        </w:rPr>
        <w:t>要求：</w:t>
      </w:r>
    </w:p>
    <w:p w14:paraId="7E959008">
      <w:pPr>
        <w:pStyle w:val="8"/>
        <w:rPr>
          <w:rFonts w:hint="eastAsia"/>
          <w:color w:val="000000"/>
          <w:highlight w:val="none"/>
        </w:rPr>
      </w:pPr>
    </w:p>
    <w:p w14:paraId="3E2A8849">
      <w:pPr>
        <w:widowControl/>
        <w:tabs>
          <w:tab w:val="left" w:pos="8010"/>
        </w:tabs>
        <w:spacing w:before="156" w:beforeLines="50" w:line="360" w:lineRule="auto"/>
        <w:rPr>
          <w:b/>
          <w:color w:val="000000"/>
          <w:sz w:val="24"/>
          <w:highlight w:val="none"/>
        </w:rPr>
      </w:pPr>
      <w:r>
        <w:rPr>
          <w:b/>
          <w:color w:val="000000"/>
          <w:sz w:val="24"/>
          <w:highlight w:val="none"/>
        </w:rPr>
        <w:t>1. 技术资料要求：</w:t>
      </w:r>
    </w:p>
    <w:p w14:paraId="6404EF6E">
      <w:pPr>
        <w:tabs>
          <w:tab w:val="left" w:pos="420"/>
          <w:tab w:val="bar" w:pos="11340"/>
        </w:tabs>
        <w:spacing w:line="360" w:lineRule="auto"/>
        <w:ind w:firstLine="480" w:firstLineChars="200"/>
        <w:rPr>
          <w:color w:val="000000"/>
          <w:sz w:val="24"/>
          <w:highlight w:val="none"/>
        </w:rPr>
      </w:pPr>
      <w:r>
        <w:rPr>
          <w:rFonts w:hint="eastAsia"/>
          <w:color w:val="000000"/>
          <w:sz w:val="24"/>
          <w:highlight w:val="none"/>
        </w:rPr>
        <w:t>供应商应提供1套完整的技术资料，包括所有方案中提到的设备和控制软件的相关技术资料，主要有操作手册、使用手册、维护手册、安装手册等，全套手册必须可在设备操作界面上实时方便查阅，并可以使用关键字检索。</w:t>
      </w:r>
    </w:p>
    <w:p w14:paraId="54B38287">
      <w:pPr>
        <w:widowControl/>
        <w:tabs>
          <w:tab w:val="left" w:pos="8010"/>
        </w:tabs>
        <w:spacing w:before="156" w:beforeLines="50" w:line="360" w:lineRule="auto"/>
        <w:rPr>
          <w:b/>
          <w:color w:val="000000"/>
          <w:sz w:val="24"/>
          <w:highlight w:val="none"/>
        </w:rPr>
      </w:pPr>
      <w:r>
        <w:rPr>
          <w:b/>
          <w:color w:val="000000"/>
          <w:sz w:val="24"/>
          <w:highlight w:val="none"/>
        </w:rPr>
        <w:t>2.</w:t>
      </w:r>
      <w:r>
        <w:rPr>
          <w:rFonts w:hint="eastAsia"/>
          <w:b/>
          <w:color w:val="000000"/>
          <w:sz w:val="24"/>
          <w:highlight w:val="none"/>
        </w:rPr>
        <w:t xml:space="preserve"> </w:t>
      </w:r>
      <w:r>
        <w:rPr>
          <w:b/>
          <w:color w:val="000000"/>
          <w:sz w:val="24"/>
          <w:highlight w:val="none"/>
        </w:rPr>
        <w:t>安装、调试及验收要求：</w:t>
      </w:r>
    </w:p>
    <w:p w14:paraId="1129406D">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w:t>
      </w:r>
      <w:r>
        <w:rPr>
          <w:rFonts w:hint="eastAsia" w:ascii="宋体" w:hAnsi="宋体"/>
          <w:color w:val="000000"/>
          <w:sz w:val="24"/>
          <w:highlight w:val="none"/>
        </w:rPr>
        <w:t>1出厂检验报告：供应商在设备发货前提供到用户，或随设备发货提供到用户。</w:t>
      </w:r>
    </w:p>
    <w:p w14:paraId="4054FF99">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.2</w:t>
      </w:r>
      <w:r>
        <w:rPr>
          <w:rFonts w:hint="eastAsia" w:ascii="宋体" w:hAnsi="宋体"/>
          <w:color w:val="000000"/>
          <w:sz w:val="24"/>
          <w:highlight w:val="none"/>
        </w:rPr>
        <w:t>设备检查和清点：</w:t>
      </w:r>
    </w:p>
    <w:p w14:paraId="51F2596F">
      <w:pPr>
        <w:tabs>
          <w:tab w:val="left" w:pos="420"/>
          <w:tab w:val="bar" w:pos="11340"/>
        </w:tabs>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设备到达现场后，双方一起根据合同清单对设备进行开箱检查和清点，并形成经双方认可的记录。如供应商届时不派人来, 则验收结果应以用户的清点记录为最终结果。发现短缺、破损,用户有权要求供应商立即补发和负责更换。</w:t>
      </w:r>
    </w:p>
    <w:p w14:paraId="1273D9EB">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设备现场安装：</w:t>
      </w:r>
    </w:p>
    <w:p w14:paraId="5A263499">
      <w:pPr>
        <w:tabs>
          <w:tab w:val="left" w:pos="420"/>
          <w:tab w:val="bar" w:pos="11340"/>
        </w:tabs>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现场安装应在设备检查、清点合格后开始。设备安装前，设备供应商应根据用户现场条件设计安装方案，并经用户认可。</w:t>
      </w:r>
      <w:r>
        <w:rPr>
          <w:rFonts w:hint="eastAsia" w:ascii="宋体" w:hAnsi="宋体"/>
          <w:bCs/>
          <w:color w:val="000000"/>
          <w:sz w:val="24"/>
          <w:highlight w:val="none"/>
        </w:rPr>
        <w:t>供应商免费提供设备的安装、调试、试运行。</w:t>
      </w:r>
      <w:r>
        <w:rPr>
          <w:rFonts w:hint="eastAsia" w:ascii="宋体" w:hAnsi="宋体"/>
          <w:color w:val="000000"/>
          <w:sz w:val="24"/>
          <w:highlight w:val="none"/>
        </w:rPr>
        <w:t>用户方派相关人员给与配合，并负责提供设备安装过程所需的配套条件；设备安装、调试时间由设备供应商和用户方协商确定。</w:t>
      </w:r>
    </w:p>
    <w:p w14:paraId="3A610EDD">
      <w:pPr>
        <w:tabs>
          <w:tab w:val="left" w:pos="420"/>
          <w:tab w:val="bar" w:pos="11340"/>
        </w:tabs>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设备安装、调试开始后，应在4周内完成；如遇不可抗力原因需延长设备安装、调试时间，应由设备供应商和用户协商确定。</w:t>
      </w:r>
    </w:p>
    <w:p w14:paraId="4CA9E391">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.4</w:t>
      </w:r>
      <w:r>
        <w:rPr>
          <w:rFonts w:hint="eastAsia" w:ascii="宋体" w:hAnsi="宋体"/>
          <w:color w:val="000000"/>
          <w:sz w:val="24"/>
          <w:highlight w:val="none"/>
        </w:rPr>
        <w:t>双方在设备安装调试后进行验收,时间由设备供应商和用户协商确定；验收标准以供应商提供的投标文件中所列的指标为准（该指标应不低于采购文件所要求的指标）。任何虚假指标响应一经发现即作废标，供应商必须承担由此给采购人带来的一切经济损失和其它相关责任。</w:t>
      </w:r>
    </w:p>
    <w:p w14:paraId="74008F5C">
      <w:pPr>
        <w:tabs>
          <w:tab w:val="left" w:pos="420"/>
          <w:tab w:val="bar" w:pos="11340"/>
        </w:tabs>
        <w:spacing w:line="360" w:lineRule="auto"/>
        <w:ind w:firstLine="480" w:firstLineChars="200"/>
        <w:rPr>
          <w:rFonts w:ascii="宋体"/>
          <w:color w:val="000000"/>
          <w:sz w:val="24"/>
          <w:highlight w:val="none"/>
        </w:rPr>
      </w:pPr>
      <w:r>
        <w:rPr>
          <w:rFonts w:hint="eastAsia" w:ascii="宋体"/>
          <w:color w:val="000000"/>
          <w:sz w:val="24"/>
          <w:highlight w:val="none"/>
        </w:rPr>
        <w:t>供应商应提出验收测试方案给用户确认,供应商有责任对用户的技术人员提出的问题做出解答。仪器设备验收测试应进行详细记录,测试结束后,由供应商技术人员签字后交给用户验收。</w:t>
      </w:r>
    </w:p>
    <w:p w14:paraId="5B4B1F50">
      <w:pPr>
        <w:pStyle w:val="7"/>
        <w:spacing w:line="360" w:lineRule="auto"/>
        <w:ind w:left="0" w:leftChars="0" w:firstLine="0" w:firstLineChars="0"/>
        <w:rPr>
          <w:color w:val="000000"/>
          <w:highlight w:val="none"/>
        </w:rPr>
      </w:pPr>
      <w:r>
        <w:rPr>
          <w:rFonts w:hint="eastAsia" w:ascii="宋体" w:hAnsi="宋体"/>
          <w:color w:val="000000"/>
          <w:highlight w:val="none"/>
        </w:rPr>
        <w:t>2</w:t>
      </w:r>
      <w:r>
        <w:rPr>
          <w:rFonts w:ascii="宋体" w:hAnsi="宋体"/>
          <w:color w:val="000000"/>
          <w:highlight w:val="none"/>
        </w:rPr>
        <w:t>.5</w:t>
      </w:r>
      <w:r>
        <w:rPr>
          <w:rFonts w:hint="eastAsia" w:ascii="宋体" w:hAnsi="宋体"/>
          <w:color w:val="000000"/>
          <w:highlight w:val="none"/>
        </w:rPr>
        <w:t>在用户现场完成验收后，由用户、供应商及相关人员依国家有关标准、合同及有关附件要求签署最终验收合格报告。</w:t>
      </w:r>
    </w:p>
    <w:p w14:paraId="141385F3">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.6</w:t>
      </w:r>
      <w:r>
        <w:rPr>
          <w:rFonts w:hint="eastAsia" w:ascii="宋体" w:hAnsi="宋体"/>
          <w:color w:val="000000"/>
          <w:sz w:val="24"/>
          <w:highlight w:val="none"/>
        </w:rPr>
        <w:t>由于用户的原因，供应商不能在规定的时间内完成安装和调试，则系统安装及培训顺延，时间由用户通知和确定。</w:t>
      </w:r>
    </w:p>
    <w:p w14:paraId="36F4AAD2">
      <w:pPr>
        <w:tabs>
          <w:tab w:val="left" w:pos="420"/>
          <w:tab w:val="bar" w:pos="11340"/>
        </w:tabs>
        <w:spacing w:line="360" w:lineRule="auto"/>
        <w:rPr>
          <w:color w:val="000000"/>
          <w:sz w:val="24"/>
          <w:highlight w:val="none"/>
        </w:rPr>
      </w:pPr>
      <w:r>
        <w:rPr>
          <w:rFonts w:hint="eastAsia" w:ascii="宋体" w:hAnsi="宋体"/>
          <w:color w:val="000000"/>
          <w:sz w:val="24"/>
          <w:highlight w:val="none"/>
        </w:rPr>
        <w:t>2</w:t>
      </w:r>
      <w:r>
        <w:rPr>
          <w:rFonts w:ascii="宋体" w:hAnsi="宋体"/>
          <w:color w:val="000000"/>
          <w:sz w:val="24"/>
          <w:highlight w:val="none"/>
        </w:rPr>
        <w:t>.</w:t>
      </w:r>
      <w:r>
        <w:rPr>
          <w:rFonts w:hint="eastAsia" w:ascii="宋体" w:hAnsi="宋体"/>
          <w:color w:val="000000"/>
          <w:sz w:val="24"/>
          <w:highlight w:val="none"/>
        </w:rPr>
        <w:t>7 在整个验收过程中，如遇到产品本身质量问题或供应商安装操作不当引起的设备损坏，供应商应免费及时解决并承担损坏赔偿。</w:t>
      </w:r>
    </w:p>
    <w:p w14:paraId="79C7A678">
      <w:pPr>
        <w:widowControl/>
        <w:tabs>
          <w:tab w:val="left" w:pos="8010"/>
        </w:tabs>
        <w:spacing w:before="156" w:beforeLines="50" w:line="360" w:lineRule="auto"/>
        <w:rPr>
          <w:b/>
          <w:color w:val="000000"/>
          <w:sz w:val="24"/>
          <w:highlight w:val="none"/>
        </w:rPr>
      </w:pPr>
      <w:r>
        <w:rPr>
          <w:b/>
          <w:color w:val="000000"/>
          <w:sz w:val="24"/>
          <w:highlight w:val="none"/>
        </w:rPr>
        <w:t>3.</w:t>
      </w:r>
      <w:r>
        <w:rPr>
          <w:rFonts w:hint="eastAsia"/>
          <w:b/>
          <w:color w:val="000000"/>
          <w:sz w:val="24"/>
          <w:highlight w:val="none"/>
        </w:rPr>
        <w:t xml:space="preserve"> </w:t>
      </w:r>
      <w:r>
        <w:rPr>
          <w:b/>
          <w:color w:val="000000"/>
          <w:sz w:val="24"/>
          <w:highlight w:val="none"/>
        </w:rPr>
        <w:t>培训要求：</w:t>
      </w:r>
    </w:p>
    <w:p w14:paraId="07CF6B35">
      <w:pPr>
        <w:spacing w:line="360" w:lineRule="auto"/>
        <w:ind w:firstLine="480" w:firstLineChars="200"/>
        <w:rPr>
          <w:color w:val="000000"/>
          <w:sz w:val="24"/>
          <w:highlight w:val="none"/>
        </w:rPr>
      </w:pPr>
      <w:r>
        <w:rPr>
          <w:rFonts w:hint="eastAsia"/>
          <w:color w:val="000000"/>
          <w:sz w:val="24"/>
          <w:highlight w:val="none"/>
        </w:rPr>
        <w:t>供应商在到货安装调试完成后，应派出专业工程师免费在采购方现场提供一次系统的使用培训服务，直至采购方相关人员熟练掌握为止。质保期结束前，由供应商的专业工程师免费提供一次上门设备检查服务以及设备操作与维护培训。具体时间由用户决定。</w:t>
      </w:r>
    </w:p>
    <w:p w14:paraId="665CE230">
      <w:pPr>
        <w:widowControl/>
        <w:tabs>
          <w:tab w:val="left" w:pos="8010"/>
        </w:tabs>
        <w:spacing w:before="156" w:beforeLines="50" w:line="360" w:lineRule="auto"/>
        <w:rPr>
          <w:b/>
          <w:color w:val="000000"/>
          <w:sz w:val="24"/>
          <w:highlight w:val="none"/>
        </w:rPr>
      </w:pPr>
      <w:r>
        <w:rPr>
          <w:b/>
          <w:color w:val="000000"/>
          <w:sz w:val="24"/>
          <w:highlight w:val="none"/>
        </w:rPr>
        <w:t>4.</w:t>
      </w:r>
      <w:r>
        <w:rPr>
          <w:rFonts w:hint="eastAsia"/>
          <w:b/>
          <w:color w:val="000000"/>
          <w:sz w:val="24"/>
          <w:highlight w:val="none"/>
        </w:rPr>
        <w:t xml:space="preserve"> </w:t>
      </w:r>
      <w:r>
        <w:rPr>
          <w:b/>
          <w:color w:val="000000"/>
          <w:sz w:val="24"/>
          <w:highlight w:val="none"/>
        </w:rPr>
        <w:t>售后及技术服务要求：</w:t>
      </w:r>
    </w:p>
    <w:p w14:paraId="694ADA56">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1保修期：质量保证期从签署最终验收报告之日起计算，保修期不少于1年。</w:t>
      </w:r>
    </w:p>
    <w:p w14:paraId="2FFB000C">
      <w:pPr>
        <w:tabs>
          <w:tab w:val="left" w:pos="420"/>
          <w:tab w:val="bar" w:pos="11340"/>
        </w:tabs>
        <w:spacing w:line="360" w:lineRule="auto"/>
        <w:ind w:firstLine="240" w:firstLineChars="1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1.1保修期内，一切服务费用（包括零配件的费用及运费）由供应商承担；</w:t>
      </w:r>
    </w:p>
    <w:p w14:paraId="7C212E85">
      <w:pPr>
        <w:tabs>
          <w:tab w:val="left" w:pos="420"/>
          <w:tab w:val="bar" w:pos="11340"/>
        </w:tabs>
        <w:spacing w:line="360" w:lineRule="auto"/>
        <w:ind w:firstLine="240" w:firstLineChars="1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1.2保修期内，供应商负责设备的所有相关软件在最新版本发布后免费升级；</w:t>
      </w:r>
    </w:p>
    <w:p w14:paraId="4BD577E4">
      <w:pPr>
        <w:tabs>
          <w:tab w:val="left" w:pos="420"/>
          <w:tab w:val="bar" w:pos="11340"/>
        </w:tabs>
        <w:spacing w:line="360" w:lineRule="auto"/>
        <w:ind w:firstLine="240" w:firstLineChars="1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1.3供应商应承诺，在保修期过后，供应商继续向用户以最优惠费率提供及时有效的售后服务和零备件供应，供应商应承诺保证零备件供应期不少于1</w:t>
      </w:r>
      <w:r>
        <w:rPr>
          <w:rFonts w:ascii="宋体" w:hAnsi="宋体"/>
          <w:color w:val="000000"/>
          <w:sz w:val="24"/>
          <w:highlight w:val="none"/>
        </w:rPr>
        <w:t>0</w:t>
      </w:r>
      <w:r>
        <w:rPr>
          <w:rFonts w:hint="eastAsia" w:ascii="宋体" w:hAnsi="宋体"/>
          <w:color w:val="000000"/>
          <w:sz w:val="24"/>
          <w:highlight w:val="none"/>
        </w:rPr>
        <w:t>年；所更换的部件可享受顺延保修期优惠。</w:t>
      </w:r>
    </w:p>
    <w:p w14:paraId="1D3569F1">
      <w:pPr>
        <w:pStyle w:val="2"/>
        <w:spacing w:after="0" w:line="360" w:lineRule="auto"/>
        <w:ind w:left="0" w:leftChars="0" w:firstLine="240" w:firstLineChars="100"/>
        <w:rPr>
          <w:rFonts w:ascii="宋体"/>
          <w:color w:val="000000"/>
          <w:sz w:val="24"/>
          <w:highlight w:val="none"/>
        </w:rPr>
      </w:pPr>
      <w:r>
        <w:rPr>
          <w:rFonts w:hint="eastAsia" w:ascii="宋体"/>
          <w:color w:val="000000"/>
          <w:sz w:val="24"/>
          <w:highlight w:val="none"/>
        </w:rPr>
        <w:t>4</w:t>
      </w:r>
      <w:r>
        <w:rPr>
          <w:rFonts w:ascii="宋体"/>
          <w:color w:val="000000"/>
          <w:sz w:val="24"/>
          <w:highlight w:val="none"/>
        </w:rPr>
        <w:t>.</w:t>
      </w:r>
      <w:r>
        <w:rPr>
          <w:rFonts w:hint="eastAsia" w:ascii="宋体"/>
          <w:color w:val="000000"/>
          <w:sz w:val="24"/>
          <w:highlight w:val="none"/>
        </w:rPr>
        <w:t>1.4保修期内,如果仪器设备发生故障，供应商要调查故障原因并修复直至满足最终验收指标和性能的要求。</w:t>
      </w:r>
    </w:p>
    <w:p w14:paraId="1464D796">
      <w:pPr>
        <w:pStyle w:val="2"/>
        <w:spacing w:after="0" w:line="360" w:lineRule="auto"/>
        <w:ind w:left="0" w:leftChars="0" w:firstLine="0" w:firstLineChars="0"/>
        <w:rPr>
          <w:rFonts w:ascii="宋体"/>
          <w:color w:val="000000"/>
          <w:sz w:val="24"/>
          <w:highlight w:val="none"/>
        </w:rPr>
      </w:pPr>
      <w:r>
        <w:rPr>
          <w:rFonts w:hint="eastAsia" w:ascii="宋体"/>
          <w:color w:val="000000"/>
          <w:sz w:val="24"/>
          <w:highlight w:val="none"/>
        </w:rPr>
        <w:t>4.2售后服务要求：</w:t>
      </w:r>
    </w:p>
    <w:p w14:paraId="768D932D">
      <w:pPr>
        <w:tabs>
          <w:tab w:val="left" w:pos="420"/>
          <w:tab w:val="bar" w:pos="11340"/>
        </w:tabs>
        <w:spacing w:line="360" w:lineRule="auto"/>
        <w:ind w:firstLine="240" w:firstLineChars="1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2.1维修响应时间：</w:t>
      </w:r>
    </w:p>
    <w:p w14:paraId="44169D45">
      <w:pPr>
        <w:tabs>
          <w:tab w:val="left" w:pos="420"/>
          <w:tab w:val="bar" w:pos="11340"/>
        </w:tabs>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供应商接到故障报告后 4小时予以电话响应并给出方案，如无法通过电话解决故障，将在24小时内派专业工程师到现场解决问题，如有需要将在7日内派原厂工程师到现场解决问题；</w:t>
      </w:r>
    </w:p>
    <w:p w14:paraId="5A4A4C80">
      <w:pPr>
        <w:tabs>
          <w:tab w:val="left" w:pos="420"/>
          <w:tab w:val="bar" w:pos="11340"/>
        </w:tabs>
        <w:spacing w:line="360" w:lineRule="auto"/>
        <w:ind w:firstLine="240" w:firstLineChars="100"/>
        <w:rPr>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2.2供应商免费提供7*24小时的技术支持热线电话；</w:t>
      </w:r>
    </w:p>
    <w:p w14:paraId="67915F4B">
      <w:pPr>
        <w:tabs>
          <w:tab w:val="left" w:pos="420"/>
          <w:tab w:val="bar" w:pos="11340"/>
        </w:tabs>
        <w:spacing w:line="360" w:lineRule="auto"/>
        <w:ind w:firstLine="240" w:firstLineChars="1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2.3要求供应商提供的其它技术服务内容：</w:t>
      </w:r>
    </w:p>
    <w:p w14:paraId="764D17E0">
      <w:pPr>
        <w:tabs>
          <w:tab w:val="left" w:pos="420"/>
          <w:tab w:val="bar" w:pos="11340"/>
        </w:tabs>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2.3.1供应商须保证本合同系统硬件均系原装新品；</w:t>
      </w:r>
    </w:p>
    <w:p w14:paraId="3E894DA8">
      <w:pPr>
        <w:tabs>
          <w:tab w:val="left" w:pos="420"/>
          <w:tab w:val="bar" w:pos="11340"/>
        </w:tabs>
        <w:spacing w:line="360" w:lineRule="auto"/>
        <w:ind w:firstLine="480" w:firstLineChars="200"/>
        <w:rPr>
          <w:color w:val="000000"/>
          <w:highlight w:val="none"/>
        </w:rPr>
      </w:pPr>
      <w:r>
        <w:rPr>
          <w:rFonts w:hint="eastAsia" w:ascii="宋体" w:hAnsi="宋体"/>
          <w:color w:val="000000"/>
          <w:sz w:val="24"/>
          <w:highlight w:val="none"/>
        </w:rPr>
        <w:t>4</w:t>
      </w:r>
      <w:r>
        <w:rPr>
          <w:rFonts w:ascii="宋体" w:hAnsi="宋体"/>
          <w:color w:val="000000"/>
          <w:sz w:val="24"/>
          <w:highlight w:val="none"/>
        </w:rPr>
        <w:t>.</w:t>
      </w:r>
      <w:r>
        <w:rPr>
          <w:rFonts w:hint="eastAsia" w:ascii="宋体" w:hAnsi="宋体"/>
          <w:color w:val="000000"/>
          <w:sz w:val="24"/>
          <w:highlight w:val="none"/>
        </w:rPr>
        <w:t>2.3.2供应商须保证所提供的控制软件为正版软件，并能免费得到原产厂家技术支持及升级服务。</w:t>
      </w:r>
    </w:p>
    <w:p w14:paraId="7A12D7A5">
      <w:pPr>
        <w:widowControl/>
        <w:tabs>
          <w:tab w:val="left" w:pos="8010"/>
        </w:tabs>
        <w:spacing w:before="156" w:beforeLines="50" w:line="360" w:lineRule="auto"/>
        <w:rPr>
          <w:b/>
          <w:color w:val="000000"/>
          <w:sz w:val="24"/>
          <w:highlight w:val="none"/>
        </w:rPr>
      </w:pPr>
      <w:r>
        <w:rPr>
          <w:b/>
          <w:color w:val="000000"/>
          <w:sz w:val="24"/>
          <w:highlight w:val="none"/>
        </w:rPr>
        <w:t>5.</w:t>
      </w:r>
      <w:r>
        <w:rPr>
          <w:rFonts w:hint="eastAsia"/>
          <w:b/>
          <w:color w:val="000000"/>
          <w:sz w:val="24"/>
          <w:highlight w:val="none"/>
        </w:rPr>
        <w:t xml:space="preserve"> </w:t>
      </w:r>
      <w:r>
        <w:rPr>
          <w:b/>
          <w:color w:val="000000"/>
          <w:sz w:val="24"/>
          <w:highlight w:val="none"/>
        </w:rPr>
        <w:t>包装及运输要求：</w:t>
      </w:r>
    </w:p>
    <w:p w14:paraId="2E29C91F">
      <w:pPr>
        <w:tabs>
          <w:tab w:val="left" w:pos="420"/>
          <w:tab w:val="bar" w:pos="11340"/>
        </w:tabs>
        <w:spacing w:line="360" w:lineRule="auto"/>
        <w:rPr>
          <w:rFonts w:ascii="宋体" w:hAnsi="宋体"/>
          <w:color w:val="000000"/>
          <w:sz w:val="24"/>
          <w:highlight w:val="none"/>
        </w:rPr>
      </w:pPr>
      <w:r>
        <w:rPr>
          <w:rFonts w:hint="eastAsia" w:ascii="宋体" w:hAnsi="宋体"/>
          <w:color w:val="000000"/>
          <w:sz w:val="24"/>
          <w:highlight w:val="none"/>
        </w:rPr>
        <w:t>5.1供应商负责设备运输到交货地点。</w:t>
      </w:r>
    </w:p>
    <w:p w14:paraId="6FA28FB3">
      <w:pPr>
        <w:spacing w:line="360" w:lineRule="auto"/>
        <w:rPr>
          <w:rFonts w:hint="eastAsia" w:ascii="宋体" w:hAnsi="宋体"/>
          <w:color w:val="000000"/>
          <w:sz w:val="24"/>
          <w:highlight w:val="none"/>
        </w:rPr>
      </w:pPr>
      <w:r>
        <w:rPr>
          <w:rFonts w:hint="eastAsia" w:ascii="宋体" w:hAnsi="宋体"/>
          <w:color w:val="000000"/>
          <w:sz w:val="24"/>
          <w:highlight w:val="none"/>
        </w:rPr>
        <w:t>5.2 无论在何种运输方式下，供应商应保证货物包装完好无锈蚀，安全运抵目的地。应使用崭新坚固的包装（标准包装），适合于空运、海运或陆运等长途运输方式和标准；包装箱应防潮、防锈、防震、防粗暴装卸、适合气候变化；供应商应对任何由于不当包装或防护措施不利而导致的商品损坏、损失、费用增长等后果负责。</w:t>
      </w:r>
    </w:p>
    <w:p w14:paraId="24F60653">
      <w:pPr>
        <w:rPr>
          <w:rFonts w:hint="eastAsia"/>
          <w:color w:val="000000"/>
          <w:highlight w:val="none"/>
        </w:rPr>
      </w:pPr>
    </w:p>
    <w:p w14:paraId="6D17A345">
      <w:pPr>
        <w:widowControl/>
        <w:tabs>
          <w:tab w:val="left" w:pos="900"/>
        </w:tabs>
        <w:spacing w:line="360" w:lineRule="auto"/>
        <w:jc w:val="left"/>
        <w:rPr>
          <w:color w:val="000000"/>
          <w:kern w:val="0"/>
          <w:sz w:val="24"/>
          <w:highlight w:val="none"/>
        </w:rPr>
      </w:pPr>
      <w:r>
        <w:rPr>
          <w:b/>
          <w:bCs/>
          <w:color w:val="000000"/>
          <w:kern w:val="0"/>
          <w:sz w:val="24"/>
          <w:highlight w:val="none"/>
        </w:rPr>
        <w:t>6、交货日期：</w:t>
      </w:r>
      <w:r>
        <w:rPr>
          <w:color w:val="000000"/>
          <w:kern w:val="0"/>
          <w:sz w:val="24"/>
          <w:highlight w:val="none"/>
        </w:rPr>
        <w:t>合同签订后的</w:t>
      </w:r>
      <w:r>
        <w:rPr>
          <w:rFonts w:hint="eastAsia"/>
          <w:color w:val="000000"/>
          <w:kern w:val="0"/>
          <w:sz w:val="24"/>
          <w:highlight w:val="none"/>
        </w:rPr>
        <w:t>4</w:t>
      </w:r>
      <w:r>
        <w:rPr>
          <w:color w:val="000000"/>
          <w:kern w:val="0"/>
          <w:sz w:val="24"/>
          <w:highlight w:val="none"/>
        </w:rPr>
        <w:t>个月内交货；</w:t>
      </w:r>
    </w:p>
    <w:p w14:paraId="38CA46D7">
      <w:pPr>
        <w:pStyle w:val="8"/>
        <w:rPr>
          <w:color w:val="000000"/>
          <w:highlight w:val="none"/>
        </w:rPr>
      </w:pPr>
    </w:p>
    <w:p w14:paraId="6252C222">
      <w:pPr>
        <w:widowControl/>
        <w:tabs>
          <w:tab w:val="left" w:pos="900"/>
        </w:tabs>
        <w:spacing w:line="360" w:lineRule="auto"/>
        <w:jc w:val="left"/>
        <w:rPr>
          <w:color w:val="000000"/>
          <w:sz w:val="24"/>
          <w:highlight w:val="none"/>
        </w:rPr>
      </w:pPr>
      <w:bookmarkStart w:id="1" w:name="OLE_LINK3"/>
      <w:r>
        <w:rPr>
          <w:b/>
          <w:bCs/>
          <w:color w:val="000000"/>
          <w:kern w:val="0"/>
          <w:sz w:val="24"/>
          <w:highlight w:val="none"/>
        </w:rPr>
        <w:t>7、交货地点：</w:t>
      </w:r>
      <w:bookmarkEnd w:id="1"/>
      <w:r>
        <w:rPr>
          <w:rFonts w:hint="eastAsia"/>
          <w:color w:val="000000"/>
          <w:sz w:val="24"/>
          <w:highlight w:val="none"/>
        </w:rPr>
        <w:t>北京市朝阳区北土城西路3号中国科学院微电子研究所</w:t>
      </w:r>
    </w:p>
    <w:p w14:paraId="63FD1898">
      <w:pPr>
        <w:rPr>
          <w:color w:val="000000"/>
          <w:highlight w:val="none"/>
        </w:rPr>
      </w:pPr>
    </w:p>
    <w:p w14:paraId="6F76F08F">
      <w:pPr>
        <w:widowControl/>
        <w:tabs>
          <w:tab w:val="left" w:pos="900"/>
        </w:tabs>
        <w:spacing w:line="360" w:lineRule="auto"/>
        <w:jc w:val="left"/>
        <w:rPr>
          <w:rFonts w:hint="eastAsia"/>
          <w:color w:val="000000"/>
          <w:sz w:val="24"/>
          <w:highlight w:val="none"/>
        </w:rPr>
      </w:pPr>
      <w:r>
        <w:rPr>
          <w:b/>
          <w:bCs/>
          <w:color w:val="000000"/>
          <w:kern w:val="0"/>
          <w:sz w:val="24"/>
          <w:highlight w:val="none"/>
        </w:rPr>
        <w:t>8、执行的相关标准</w:t>
      </w:r>
      <w:r>
        <w:rPr>
          <w:rFonts w:hint="eastAsia"/>
          <w:b/>
          <w:bCs/>
          <w:color w:val="000000"/>
          <w:kern w:val="0"/>
          <w:sz w:val="24"/>
          <w:highlight w:val="none"/>
        </w:rPr>
        <w:t>：</w:t>
      </w:r>
      <w:r>
        <w:rPr>
          <w:rFonts w:hint="eastAsia"/>
          <w:color w:val="000000"/>
          <w:sz w:val="24"/>
          <w:highlight w:val="none"/>
        </w:rPr>
        <w:t>无</w:t>
      </w:r>
    </w:p>
    <w:p w14:paraId="56380EFC">
      <w:pPr>
        <w:rPr>
          <w:color w:val="000000"/>
          <w:highlight w:val="none"/>
        </w:rPr>
      </w:pPr>
    </w:p>
    <w:p w14:paraId="639D5ABB">
      <w:pPr>
        <w:widowControl/>
        <w:tabs>
          <w:tab w:val="left" w:pos="900"/>
        </w:tabs>
        <w:spacing w:line="360" w:lineRule="auto"/>
        <w:jc w:val="left"/>
        <w:rPr>
          <w:b/>
          <w:bCs/>
          <w:color w:val="000000"/>
          <w:kern w:val="0"/>
          <w:sz w:val="24"/>
          <w:highlight w:val="none"/>
        </w:rPr>
      </w:pPr>
      <w:r>
        <w:rPr>
          <w:b/>
          <w:bCs/>
          <w:color w:val="000000"/>
          <w:kern w:val="0"/>
          <w:sz w:val="24"/>
          <w:highlight w:val="none"/>
        </w:rPr>
        <w:t>9、其它</w:t>
      </w:r>
    </w:p>
    <w:p w14:paraId="14FACABF">
      <w:pPr>
        <w:widowControl/>
        <w:spacing w:line="360" w:lineRule="auto"/>
        <w:rPr>
          <w:rFonts w:ascii="宋体" w:hAnsi="宋体"/>
          <w:color w:val="000000"/>
          <w:sz w:val="24"/>
          <w:highlight w:val="none"/>
        </w:rPr>
      </w:pPr>
      <w:r>
        <w:rPr>
          <w:rFonts w:hint="eastAsia" w:ascii="宋体" w:hAnsi="宋体"/>
          <w:color w:val="000000"/>
          <w:sz w:val="24"/>
          <w:highlight w:val="none"/>
        </w:rPr>
        <w:t>9.1</w:t>
      </w:r>
      <w:r>
        <w:rPr>
          <w:rFonts w:ascii="宋体" w:hAnsi="宋体"/>
          <w:color w:val="000000"/>
          <w:sz w:val="24"/>
          <w:highlight w:val="none"/>
        </w:rPr>
        <w:t>对仪器设备生产厂家要求：</w:t>
      </w:r>
    </w:p>
    <w:p w14:paraId="18177FE6">
      <w:pPr>
        <w:widowControl/>
        <w:spacing w:line="360" w:lineRule="auto"/>
        <w:ind w:left="315" w:leftChars="150"/>
        <w:rPr>
          <w:rFonts w:ascii="宋体" w:hAnsi="宋体"/>
          <w:color w:val="000000"/>
          <w:sz w:val="24"/>
          <w:highlight w:val="none"/>
        </w:rPr>
      </w:pPr>
      <w:r>
        <w:rPr>
          <w:rFonts w:ascii="宋体" w:hAnsi="宋体"/>
          <w:color w:val="000000"/>
          <w:sz w:val="24"/>
          <w:highlight w:val="none"/>
        </w:rPr>
        <w:t>厂家应具备一定规模的科研、生产、技术支持及售后服务能力。</w:t>
      </w:r>
    </w:p>
    <w:p w14:paraId="123DDE0F">
      <w:pPr>
        <w:widowControl/>
        <w:spacing w:line="360" w:lineRule="auto"/>
        <w:ind w:left="315" w:leftChars="150"/>
        <w:rPr>
          <w:rFonts w:ascii="宋体" w:hAnsi="宋体"/>
          <w:color w:val="000000"/>
          <w:sz w:val="24"/>
          <w:highlight w:val="none"/>
        </w:rPr>
      </w:pPr>
      <w:r>
        <w:rPr>
          <w:rFonts w:ascii="宋体" w:hAnsi="宋体"/>
          <w:color w:val="000000"/>
          <w:sz w:val="24"/>
          <w:highlight w:val="none"/>
        </w:rPr>
        <w:t>厂家在国内设有技术支持中心及维修中心 。</w:t>
      </w:r>
    </w:p>
    <w:p w14:paraId="097B8FB0">
      <w:pPr>
        <w:spacing w:line="360" w:lineRule="auto"/>
        <w:rPr>
          <w:rFonts w:hint="eastAsia" w:ascii="宋体" w:hAnsi="宋体"/>
          <w:color w:val="000000"/>
          <w:sz w:val="24"/>
          <w:highlight w:val="none"/>
        </w:rPr>
      </w:pPr>
      <w:r>
        <w:rPr>
          <w:rFonts w:hint="eastAsia" w:ascii="宋体" w:hAnsi="宋体"/>
          <w:color w:val="000000"/>
          <w:sz w:val="24"/>
          <w:highlight w:val="none"/>
        </w:rPr>
        <w:t>★9.2 供应商同意并保证尊重任何他方的知识产权及其它合法权益，承诺其所提供的产品或服务均不得侵犯第三方知识产权及其它合法权益，否则所引起的全部责任均应当由供应商承担。</w:t>
      </w:r>
    </w:p>
    <w:p w14:paraId="768D0FB7">
      <w:pPr>
        <w:rPr>
          <w:rFonts w:hint="eastAsia"/>
          <w:color w:val="000000"/>
          <w:highlight w:val="none"/>
        </w:rPr>
      </w:pPr>
    </w:p>
    <w:p w14:paraId="21D14C6F">
      <w:pPr>
        <w:widowControl/>
        <w:tabs>
          <w:tab w:val="left" w:pos="900"/>
        </w:tabs>
        <w:spacing w:line="360" w:lineRule="auto"/>
        <w:jc w:val="left"/>
        <w:rPr>
          <w:b/>
          <w:bCs/>
          <w:color w:val="000000"/>
          <w:kern w:val="0"/>
          <w:sz w:val="24"/>
          <w:highlight w:val="none"/>
        </w:rPr>
      </w:pPr>
      <w:r>
        <w:rPr>
          <w:b/>
          <w:bCs/>
          <w:color w:val="000000"/>
          <w:kern w:val="0"/>
          <w:sz w:val="24"/>
          <w:highlight w:val="none"/>
        </w:rPr>
        <w:t>10、付款方式：</w:t>
      </w:r>
    </w:p>
    <w:p w14:paraId="5144B03F">
      <w:pPr>
        <w:spacing w:line="360" w:lineRule="auto"/>
        <w:ind w:firstLine="480" w:firstLineChars="200"/>
        <w:rPr>
          <w:color w:val="000000"/>
          <w:sz w:val="24"/>
          <w:highlight w:val="none"/>
          <w:lang w:bidi="ar"/>
        </w:rPr>
      </w:pPr>
      <w:r>
        <w:rPr>
          <w:rFonts w:hint="eastAsia" w:ascii="宋体" w:hAnsi="宋体"/>
          <w:color w:val="000000"/>
          <w:sz w:val="24"/>
          <w:highlight w:val="none"/>
        </w:rPr>
        <w:t>合同签订后采购人预付30%，货到验收合格后支付剩余70%尾款；</w:t>
      </w:r>
    </w:p>
    <w:p w14:paraId="71C8A925">
      <w:pPr>
        <w:rPr>
          <w:rFonts w:hint="eastAsia"/>
          <w:color w:val="000000"/>
          <w:highlight w:val="none"/>
        </w:rPr>
      </w:pPr>
    </w:p>
    <w:p w14:paraId="470C5830">
      <w:pPr>
        <w:widowControl/>
        <w:tabs>
          <w:tab w:val="left" w:pos="0"/>
        </w:tabs>
        <w:spacing w:line="360" w:lineRule="auto"/>
        <w:jc w:val="left"/>
        <w:rPr>
          <w:b/>
          <w:bCs/>
          <w:color w:val="000000"/>
          <w:sz w:val="24"/>
          <w:highlight w:val="none"/>
        </w:rPr>
      </w:pPr>
      <w:r>
        <w:rPr>
          <w:b/>
          <w:bCs/>
          <w:color w:val="000000"/>
          <w:kern w:val="0"/>
          <w:sz w:val="24"/>
          <w:highlight w:val="none"/>
        </w:rPr>
        <w:t>11</w:t>
      </w:r>
      <w:r>
        <w:rPr>
          <w:b/>
          <w:bCs/>
          <w:color w:val="000000"/>
          <w:sz w:val="24"/>
          <w:highlight w:val="none"/>
        </w:rPr>
        <w:t>、投标报价要求：</w:t>
      </w:r>
    </w:p>
    <w:p w14:paraId="3BD28294">
      <w:pPr>
        <w:widowControl/>
        <w:tabs>
          <w:tab w:val="left" w:pos="900"/>
        </w:tabs>
        <w:spacing w:line="360" w:lineRule="auto"/>
        <w:jc w:val="left"/>
        <w:rPr>
          <w:rFonts w:ascii="宋体" w:hAnsi="宋体" w:cs="仿宋_GB2312"/>
          <w:color w:val="000000"/>
          <w:kern w:val="0"/>
          <w:sz w:val="24"/>
          <w:highlight w:val="none"/>
        </w:rPr>
      </w:pPr>
      <w:r>
        <w:rPr>
          <w:rFonts w:hint="eastAsia" w:ascii="宋体" w:hAnsi="宋体" w:cs="仿宋_GB2312"/>
          <w:color w:val="000000"/>
          <w:kern w:val="0"/>
          <w:sz w:val="24"/>
          <w:highlight w:val="none"/>
        </w:rPr>
        <w:t>（</w:t>
      </w:r>
      <w:r>
        <w:rPr>
          <w:rFonts w:ascii="宋体" w:hAnsi="宋体" w:cs="仿宋_GB2312"/>
          <w:color w:val="000000"/>
          <w:kern w:val="0"/>
          <w:sz w:val="24"/>
          <w:highlight w:val="none"/>
        </w:rPr>
        <w:t>1</w:t>
      </w:r>
      <w:r>
        <w:rPr>
          <w:rFonts w:hint="eastAsia" w:ascii="宋体" w:hAnsi="宋体" w:cs="仿宋_GB2312"/>
          <w:color w:val="000000"/>
          <w:kern w:val="0"/>
          <w:sz w:val="24"/>
          <w:highlight w:val="none"/>
        </w:rPr>
        <w:t>）本项目不允许采购进口产品。</w:t>
      </w:r>
    </w:p>
    <w:p w14:paraId="6761DE31">
      <w:pPr>
        <w:widowControl/>
        <w:tabs>
          <w:tab w:val="left" w:pos="900"/>
        </w:tabs>
        <w:spacing w:line="360" w:lineRule="auto"/>
        <w:jc w:val="left"/>
        <w:rPr>
          <w:rFonts w:ascii="宋体" w:hAnsi="宋体" w:cs="仿宋_GB2312"/>
          <w:color w:val="000000"/>
          <w:kern w:val="0"/>
          <w:sz w:val="24"/>
          <w:highlight w:val="none"/>
        </w:rPr>
      </w:pPr>
      <w:r>
        <w:rPr>
          <w:rFonts w:hint="eastAsia" w:ascii="宋体" w:hAnsi="宋体" w:cs="仿宋_GB2312"/>
          <w:color w:val="000000"/>
          <w:kern w:val="0"/>
          <w:sz w:val="24"/>
          <w:highlight w:val="none"/>
        </w:rPr>
        <w:t>（2）国产产品与服务报项目现场交货人民币含税价。报价中需包括制造、装配和发运货物所使用的材料、部件及货物本身已支付或将支付的产品税、销售税和其它税费。采购人不再另行支付其他任何费用。</w:t>
      </w:r>
    </w:p>
    <w:p w14:paraId="61742DC9">
      <w:pPr>
        <w:pStyle w:val="2"/>
        <w:ind w:left="0" w:leftChars="0" w:firstLine="0" w:firstLineChars="0"/>
        <w:rPr>
          <w:rFonts w:ascii="宋体" w:hAnsi="宋体" w:cs="仿宋_GB2312"/>
          <w:color w:val="000000"/>
          <w:kern w:val="0"/>
          <w:sz w:val="24"/>
          <w:highlight w:val="none"/>
        </w:rPr>
      </w:pPr>
      <w:r>
        <w:rPr>
          <w:rFonts w:hint="eastAsia" w:ascii="宋体" w:hAnsi="宋体" w:cs="仿宋_GB2312"/>
          <w:color w:val="000000"/>
          <w:kern w:val="0"/>
          <w:sz w:val="24"/>
          <w:highlight w:val="none"/>
        </w:rPr>
        <w:t>（</w:t>
      </w:r>
      <w:r>
        <w:rPr>
          <w:rFonts w:ascii="宋体" w:hAnsi="宋体" w:cs="仿宋_GB2312"/>
          <w:color w:val="000000"/>
          <w:kern w:val="0"/>
          <w:sz w:val="24"/>
          <w:highlight w:val="none"/>
        </w:rPr>
        <w:t>3</w:t>
      </w:r>
      <w:r>
        <w:rPr>
          <w:rFonts w:hint="eastAsia" w:ascii="宋体" w:hAnsi="宋体" w:cs="仿宋_GB2312"/>
          <w:color w:val="000000"/>
          <w:kern w:val="0"/>
          <w:sz w:val="24"/>
          <w:highlight w:val="none"/>
        </w:rPr>
        <w:t>）上述价格的构成须按在分项报价表中格式要求详细列出。</w:t>
      </w:r>
    </w:p>
    <w:p w14:paraId="543A8390">
      <w:pPr>
        <w:rPr>
          <w:color w:val="000000"/>
          <w:highlight w:val="none"/>
        </w:rPr>
      </w:pPr>
    </w:p>
    <w:p w14:paraId="043A5578">
      <w:pPr>
        <w:widowControl/>
        <w:tabs>
          <w:tab w:val="left" w:pos="900"/>
        </w:tabs>
        <w:spacing w:line="360" w:lineRule="auto"/>
        <w:jc w:val="left"/>
        <w:rPr>
          <w:rFonts w:hint="eastAsia"/>
          <w:b/>
          <w:bCs/>
          <w:color w:val="000000"/>
          <w:kern w:val="0"/>
          <w:sz w:val="24"/>
          <w:highlight w:val="none"/>
          <w:u w:val="single"/>
        </w:rPr>
      </w:pPr>
      <w:r>
        <w:rPr>
          <w:b/>
          <w:bCs/>
          <w:color w:val="000000"/>
          <w:kern w:val="0"/>
          <w:sz w:val="24"/>
          <w:highlight w:val="none"/>
        </w:rPr>
        <w:t>12、是否允许采购进口产品：</w:t>
      </w:r>
      <w:r>
        <w:rPr>
          <w:rFonts w:hint="eastAsia"/>
          <w:b/>
          <w:bCs/>
          <w:color w:val="000000"/>
          <w:kern w:val="0"/>
          <w:sz w:val="24"/>
          <w:highlight w:val="none"/>
        </w:rPr>
        <w:t>否</w:t>
      </w:r>
    </w:p>
    <w:p w14:paraId="1E265CAF">
      <w:pPr>
        <w:rPr>
          <w:color w:val="000000"/>
          <w:highlight w:val="none"/>
        </w:rPr>
      </w:pPr>
    </w:p>
    <w:p w14:paraId="6D5FB314">
      <w:pPr>
        <w:widowControl/>
        <w:tabs>
          <w:tab w:val="left" w:pos="900"/>
        </w:tabs>
        <w:spacing w:line="360" w:lineRule="auto"/>
        <w:jc w:val="left"/>
        <w:rPr>
          <w:b/>
          <w:bCs/>
          <w:color w:val="000000"/>
          <w:kern w:val="0"/>
          <w:sz w:val="24"/>
          <w:highlight w:val="none"/>
        </w:rPr>
      </w:pPr>
      <w:r>
        <w:rPr>
          <w:b/>
          <w:bCs/>
          <w:color w:val="000000"/>
          <w:kern w:val="0"/>
          <w:sz w:val="24"/>
          <w:highlight w:val="none"/>
        </w:rPr>
        <w:t>13、预算金额：</w:t>
      </w:r>
      <w:r>
        <w:rPr>
          <w:rFonts w:hint="eastAsia" w:ascii="宋体" w:hAnsi="宋体" w:cs="宋体"/>
          <w:b/>
          <w:bCs/>
          <w:color w:val="000000"/>
          <w:kern w:val="0"/>
          <w:sz w:val="24"/>
          <w:highlight w:val="none"/>
        </w:rPr>
        <w:t>249.58</w:t>
      </w:r>
      <w:r>
        <w:rPr>
          <w:b/>
          <w:bCs/>
          <w:color w:val="000000"/>
          <w:kern w:val="0"/>
          <w:sz w:val="24"/>
          <w:highlight w:val="none"/>
        </w:rPr>
        <w:t>万人民币</w:t>
      </w:r>
    </w:p>
    <w:p w14:paraId="704D3E1A">
      <w:pPr>
        <w:widowControl/>
        <w:tabs>
          <w:tab w:val="left" w:pos="900"/>
        </w:tabs>
        <w:spacing w:line="360" w:lineRule="auto"/>
        <w:ind w:firstLine="482" w:firstLineChars="200"/>
        <w:jc w:val="left"/>
        <w:rPr>
          <w:color w:val="000000"/>
          <w:sz w:val="24"/>
          <w:highlight w:val="none"/>
        </w:rPr>
      </w:pPr>
      <w:r>
        <w:rPr>
          <w:b/>
          <w:bCs/>
          <w:color w:val="000000"/>
          <w:kern w:val="0"/>
          <w:sz w:val="24"/>
          <w:highlight w:val="none"/>
        </w:rPr>
        <w:t>最高限价：</w:t>
      </w:r>
      <w:r>
        <w:rPr>
          <w:rFonts w:hint="eastAsia" w:ascii="宋体" w:hAnsi="宋体" w:cs="宋体"/>
          <w:b/>
          <w:bCs/>
          <w:color w:val="000000"/>
          <w:kern w:val="0"/>
          <w:sz w:val="24"/>
          <w:highlight w:val="none"/>
        </w:rPr>
        <w:t>200</w:t>
      </w:r>
      <w:r>
        <w:rPr>
          <w:b/>
          <w:bCs/>
          <w:color w:val="000000"/>
          <w:kern w:val="0"/>
          <w:sz w:val="24"/>
          <w:highlight w:val="none"/>
        </w:rPr>
        <w:t>万人民币</w:t>
      </w:r>
    </w:p>
    <w:p w14:paraId="010242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FF2BE4"/>
    <w:rsid w:val="2EFF2BE4"/>
    <w:rsid w:val="6DC72D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left="420" w:firstLine="420" w:firstLineChars="200"/>
    </w:pPr>
  </w:style>
  <w:style w:type="paragraph" w:styleId="3">
    <w:name w:val="Body Text Indent"/>
    <w:basedOn w:val="1"/>
    <w:next w:val="4"/>
    <w:qFormat/>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6">
    <w:name w:val="annotation text"/>
    <w:basedOn w:val="1"/>
    <w:qFormat/>
    <w:uiPriority w:val="99"/>
    <w:pPr>
      <w:jc w:val="left"/>
    </w:pPr>
    <w:rPr>
      <w:rFonts w:ascii="Cambria" w:hAnsi="Cambria"/>
      <w:szCs w:val="21"/>
    </w:rPr>
  </w:style>
  <w:style w:type="paragraph" w:styleId="7">
    <w:name w:val="List 2"/>
    <w:basedOn w:val="1"/>
    <w:qFormat/>
    <w:uiPriority w:val="0"/>
    <w:pPr>
      <w:adjustRightInd w:val="0"/>
      <w:spacing w:line="360" w:lineRule="atLeast"/>
      <w:ind w:left="100" w:leftChars="200" w:hanging="200" w:hangingChars="200"/>
      <w:jc w:val="left"/>
      <w:textAlignment w:val="baseline"/>
    </w:pPr>
    <w:rPr>
      <w:kern w:val="0"/>
      <w:sz w:val="24"/>
      <w:szCs w:val="20"/>
    </w:rPr>
  </w:style>
  <w:style w:type="paragraph" w:styleId="8">
    <w:name w:val="Plain Text"/>
    <w:basedOn w:val="1"/>
    <w:qFormat/>
    <w:uiPriority w:val="99"/>
    <w:rPr>
      <w:rFonts w:ascii="宋体" w:hAnsi="Courier New"/>
      <w:szCs w:val="20"/>
    </w:rPr>
  </w:style>
  <w:style w:type="paragraph" w:customStyle="1" w:styleId="11">
    <w:name w:val="_Style 35"/>
    <w:basedOn w:val="3"/>
    <w:next w:val="2"/>
    <w:unhideWhenUsed/>
    <w:qFormat/>
    <w:uiPriority w:val="99"/>
    <w:pPr>
      <w:ind w:left="420"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4018</Words>
  <Characters>4621</Characters>
  <Lines>0</Lines>
  <Paragraphs>0</Paragraphs>
  <TotalTime>0</TotalTime>
  <ScaleCrop>false</ScaleCrop>
  <LinksUpToDate>false</LinksUpToDate>
  <CharactersWithSpaces>4711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2025-05-07T07:12:00Z</dcterms:created>
  <dc:creator>H</dc:creator>
  <cp:lastModifiedBy>清</cp:lastModifiedBy>
  <dcterms:modified xsi:type="dcterms:W3CDTF">2025-05-08T01:28:07Z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E4B1334E0C0D4C62B0B6EF11822DFFF0_13</vt:lpwstr>
  </property>
  <property fmtid="{D5CDD505-2E9C-101B-9397-08002B2CF9AE}" pid="4" name="KSOTemplateDocerSaveRecord">
    <vt:lpwstr>eyJoZGlkIjoiZGQzMGMyNDYwNDc3NThkZmQ1ZDhlMzFiNTE5YmYwZDAiLCJ1c2VySWQiOiI5OTQ3NTAxMjIifQ==</vt:lpwstr>
  </property>
</Properties>
</file>