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481A28">
      <w:pPr>
        <w:spacing w:line="360" w:lineRule="auto"/>
        <w:jc w:val="center"/>
        <w:outlineLvl w:val="0"/>
        <w:rPr>
          <w:rFonts w:hint="default" w:ascii="Times New Roman" w:hAnsi="Times New Roman" w:cs="Times New Roman"/>
          <w:b/>
          <w:bCs/>
          <w:sz w:val="24"/>
        </w:rPr>
      </w:pPr>
      <w:bookmarkStart w:id="6" w:name="_GoBack"/>
      <w:bookmarkEnd w:id="6"/>
      <w:r>
        <w:rPr>
          <w:rFonts w:hint="default" w:ascii="Times New Roman" w:hAnsi="Times New Roman" w:cs="Times New Roman"/>
          <w:b/>
          <w:sz w:val="32"/>
          <w:szCs w:val="32"/>
        </w:rPr>
        <w:t>采购需求</w:t>
      </w:r>
    </w:p>
    <w:p w14:paraId="7C074132">
      <w:pPr>
        <w:widowControl/>
        <w:numPr>
          <w:ilvl w:val="0"/>
          <w:numId w:val="1"/>
        </w:numPr>
        <w:spacing w:line="360" w:lineRule="auto"/>
        <w:rPr>
          <w:rFonts w:hint="default" w:ascii="Times New Roman" w:hAnsi="Times New Roman" w:cs="Times New Roman"/>
          <w:b/>
          <w:bCs/>
          <w:sz w:val="24"/>
        </w:rPr>
      </w:pPr>
      <w:r>
        <w:rPr>
          <w:rFonts w:hint="default" w:ascii="Times New Roman" w:hAnsi="Times New Roman" w:cs="Times New Roman"/>
          <w:b/>
          <w:bCs/>
          <w:sz w:val="24"/>
        </w:rPr>
        <w:t>设备参数具体要求</w:t>
      </w:r>
    </w:p>
    <w:p w14:paraId="6C47B891">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
          <w:sz w:val="24"/>
        </w:rPr>
        <w:t>（一）</w:t>
      </w:r>
      <w:bookmarkStart w:id="0" w:name="OLE_LINK3"/>
      <w:r>
        <w:rPr>
          <w:rFonts w:hint="default" w:ascii="Times New Roman" w:hAnsi="Times New Roman" w:cs="Times New Roman" w:eastAsiaTheme="minorEastAsia"/>
          <w:b/>
          <w:sz w:val="24"/>
        </w:rPr>
        <w:t>超高分辨质谱仪</w:t>
      </w:r>
      <w:bookmarkEnd w:id="0"/>
      <w:r>
        <w:rPr>
          <w:rFonts w:hint="default" w:ascii="Times New Roman" w:hAnsi="Times New Roman" w:cs="Times New Roman" w:eastAsiaTheme="minorEastAsia"/>
          <w:b/>
          <w:sz w:val="24"/>
        </w:rPr>
        <w:t>参数</w:t>
      </w:r>
    </w:p>
    <w:p w14:paraId="3B225F2D">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1．工作条件</w:t>
      </w:r>
    </w:p>
    <w:p w14:paraId="1021893B">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1.1 电源：230V±10%，AC（交流），50/60Hz</w:t>
      </w:r>
    </w:p>
    <w:p w14:paraId="466D4C32">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1.2 环境温度：18-27℃</w:t>
      </w:r>
    </w:p>
    <w:p w14:paraId="4231744F">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1.3 相对湿度：20-80%</w:t>
      </w:r>
    </w:p>
    <w:p w14:paraId="7FC5F659">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1.4 气体需求：高纯氮气，最大消耗量</w:t>
      </w:r>
      <w:r>
        <w:rPr>
          <w:rFonts w:hint="default" w:ascii="Times New Roman" w:hAnsi="Times New Roman" w:cs="Times New Roman"/>
          <w:sz w:val="24"/>
        </w:rPr>
        <w:t>≤</w:t>
      </w:r>
      <w:r>
        <w:rPr>
          <w:rFonts w:hint="default" w:ascii="Times New Roman" w:hAnsi="Times New Roman" w:cs="Times New Roman" w:eastAsiaTheme="minorEastAsia"/>
          <w:bCs/>
          <w:sz w:val="24"/>
        </w:rPr>
        <w:t>20L/min</w:t>
      </w:r>
    </w:p>
    <w:p w14:paraId="2E5AF0B5">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2．技术部分</w:t>
      </w:r>
    </w:p>
    <w:p w14:paraId="28E56744">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2.1 离子源部分</w:t>
      </w:r>
    </w:p>
    <w:p w14:paraId="4D1A8180">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2.1.1 独立的可加热电喷雾离子源（ESI 源），集成式气路电路设计，自动识别</w:t>
      </w:r>
    </w:p>
    <w:p w14:paraId="2364343F">
      <w:pPr>
        <w:spacing w:line="360" w:lineRule="auto"/>
        <w:rPr>
          <w:rFonts w:hint="default" w:ascii="Times New Roman" w:hAnsi="Times New Roman" w:cs="Times New Roman" w:eastAsiaTheme="minorEastAsia"/>
          <w:bCs/>
          <w:sz w:val="24"/>
          <w:highlight w:val="none"/>
        </w:rPr>
      </w:pPr>
      <w:r>
        <w:rPr>
          <w:rFonts w:hint="default" w:ascii="Times New Roman" w:hAnsi="Times New Roman" w:cs="Times New Roman" w:eastAsiaTheme="minorEastAsia"/>
          <w:b/>
          <w:sz w:val="24"/>
          <w:highlight w:val="none"/>
        </w:rPr>
        <w:t>#</w:t>
      </w:r>
      <w:r>
        <w:rPr>
          <w:rFonts w:hint="default" w:ascii="Times New Roman" w:hAnsi="Times New Roman" w:cs="Times New Roman" w:eastAsiaTheme="minorEastAsia"/>
          <w:bCs/>
          <w:sz w:val="24"/>
          <w:highlight w:val="none"/>
        </w:rPr>
        <w:t>2.1.2 质谱入口与喷针之间小于 90 度夹角</w:t>
      </w:r>
    </w:p>
    <w:p w14:paraId="5FD6ECC3">
      <w:pPr>
        <w:spacing w:line="360" w:lineRule="auto"/>
        <w:rPr>
          <w:rFonts w:hint="default" w:ascii="Times New Roman" w:hAnsi="Times New Roman" w:cs="Times New Roman" w:eastAsiaTheme="minorEastAsia"/>
          <w:bCs/>
          <w:sz w:val="24"/>
          <w:highlight w:val="none"/>
        </w:rPr>
      </w:pPr>
      <w:r>
        <w:rPr>
          <w:rFonts w:hint="default" w:ascii="Times New Roman" w:hAnsi="Times New Roman" w:cs="Times New Roman" w:eastAsiaTheme="minorEastAsia"/>
          <w:bCs/>
          <w:sz w:val="24"/>
          <w:highlight w:val="none"/>
        </w:rPr>
        <w:t>2.1.3 具有雾化气和辅助雾化气</w:t>
      </w:r>
    </w:p>
    <w:p w14:paraId="17711572">
      <w:pPr>
        <w:spacing w:line="360" w:lineRule="auto"/>
        <w:rPr>
          <w:rFonts w:hint="default" w:ascii="Times New Roman" w:hAnsi="Times New Roman" w:cs="Times New Roman" w:eastAsiaTheme="minorEastAsia"/>
          <w:bCs/>
          <w:sz w:val="24"/>
          <w:highlight w:val="none"/>
        </w:rPr>
      </w:pPr>
      <w:r>
        <w:rPr>
          <w:rFonts w:hint="default" w:ascii="Times New Roman" w:hAnsi="Times New Roman" w:cs="Times New Roman" w:eastAsiaTheme="minorEastAsia"/>
          <w:bCs/>
          <w:sz w:val="24"/>
          <w:highlight w:val="none"/>
        </w:rPr>
        <w:t>2.1.4 离子源加热温度最高≥500℃</w:t>
      </w:r>
    </w:p>
    <w:p w14:paraId="04697792">
      <w:pPr>
        <w:spacing w:line="360" w:lineRule="auto"/>
        <w:rPr>
          <w:rFonts w:hint="default" w:ascii="Times New Roman" w:hAnsi="Times New Roman" w:cs="Times New Roman" w:eastAsiaTheme="minorEastAsia"/>
          <w:bCs/>
          <w:sz w:val="24"/>
          <w:highlight w:val="none"/>
        </w:rPr>
      </w:pPr>
      <w:r>
        <w:rPr>
          <w:rFonts w:hint="default" w:ascii="Times New Roman" w:hAnsi="Times New Roman" w:cs="Times New Roman" w:eastAsiaTheme="minorEastAsia"/>
          <w:bCs/>
          <w:sz w:val="24"/>
          <w:highlight w:val="none"/>
        </w:rPr>
        <w:t>2.1.5 全自动注射泵实现质谱直接进样，自动调谐和校正，可通过软件自动切换模式</w:t>
      </w:r>
    </w:p>
    <w:p w14:paraId="2B9D19FD">
      <w:pPr>
        <w:spacing w:line="360" w:lineRule="auto"/>
        <w:rPr>
          <w:rFonts w:hint="default" w:ascii="Times New Roman" w:hAnsi="Times New Roman" w:cs="Times New Roman" w:eastAsiaTheme="minorEastAsia"/>
          <w:bCs/>
          <w:sz w:val="24"/>
          <w:highlight w:val="none"/>
        </w:rPr>
      </w:pPr>
      <w:r>
        <w:rPr>
          <w:rFonts w:hint="default" w:ascii="Times New Roman" w:hAnsi="Times New Roman" w:cs="Times New Roman" w:eastAsiaTheme="minorEastAsia"/>
          <w:bCs/>
          <w:sz w:val="24"/>
          <w:highlight w:val="none"/>
        </w:rPr>
        <w:t>2.1.6 质谱配置软件具备实时监控并反馈喷雾稳定性功能</w:t>
      </w:r>
    </w:p>
    <w:p w14:paraId="5F515A3B">
      <w:pPr>
        <w:spacing w:line="360" w:lineRule="auto"/>
        <w:rPr>
          <w:rFonts w:hint="default" w:ascii="Times New Roman" w:hAnsi="Times New Roman" w:cs="Times New Roman" w:eastAsiaTheme="minorEastAsia"/>
          <w:bCs/>
          <w:sz w:val="24"/>
          <w:highlight w:val="none"/>
        </w:rPr>
      </w:pPr>
      <w:r>
        <w:rPr>
          <w:rFonts w:hint="default" w:ascii="Times New Roman" w:hAnsi="Times New Roman" w:cs="Times New Roman" w:eastAsiaTheme="minorEastAsia"/>
          <w:bCs/>
          <w:sz w:val="24"/>
          <w:highlight w:val="none"/>
        </w:rPr>
        <w:t>2.1.7 离子源腔体具有观察窗口，可以直接观察喷雾效果以及离子源腔体洁净程度</w:t>
      </w:r>
    </w:p>
    <w:p w14:paraId="095B28CC">
      <w:pPr>
        <w:spacing w:line="360" w:lineRule="auto"/>
        <w:rPr>
          <w:rFonts w:hint="default" w:ascii="Times New Roman" w:hAnsi="Times New Roman" w:cs="Times New Roman" w:eastAsiaTheme="minorEastAsia"/>
          <w:bCs/>
          <w:sz w:val="24"/>
          <w:highlight w:val="none"/>
        </w:rPr>
      </w:pPr>
      <w:r>
        <w:rPr>
          <w:rFonts w:hint="default" w:ascii="Times New Roman" w:hAnsi="Times New Roman" w:cs="Times New Roman" w:eastAsiaTheme="minorEastAsia"/>
          <w:bCs/>
          <w:sz w:val="24"/>
          <w:highlight w:val="none"/>
        </w:rPr>
        <w:t>2.2 离子传输系统</w:t>
      </w:r>
    </w:p>
    <w:p w14:paraId="0026A725">
      <w:pPr>
        <w:spacing w:line="360" w:lineRule="auto"/>
        <w:rPr>
          <w:rFonts w:hint="default" w:ascii="Times New Roman" w:hAnsi="Times New Roman" w:cs="Times New Roman" w:eastAsiaTheme="minorEastAsia"/>
          <w:bCs/>
          <w:sz w:val="24"/>
          <w:highlight w:val="none"/>
        </w:rPr>
      </w:pPr>
      <w:r>
        <w:rPr>
          <w:rFonts w:hint="default" w:ascii="Times New Roman" w:hAnsi="Times New Roman" w:cs="Times New Roman" w:eastAsiaTheme="minorEastAsia"/>
          <w:b/>
          <w:sz w:val="24"/>
          <w:highlight w:val="none"/>
        </w:rPr>
        <w:t>#</w:t>
      </w:r>
      <w:r>
        <w:rPr>
          <w:rFonts w:hint="default" w:ascii="Times New Roman" w:hAnsi="Times New Roman" w:cs="Times New Roman" w:eastAsiaTheme="minorEastAsia"/>
          <w:bCs/>
          <w:sz w:val="24"/>
          <w:highlight w:val="none"/>
        </w:rPr>
        <w:t>2.2.1 离子传输系统配有离子传输管</w:t>
      </w:r>
    </w:p>
    <w:p w14:paraId="5BA0EE8D">
      <w:pPr>
        <w:spacing w:line="360" w:lineRule="auto"/>
        <w:rPr>
          <w:rFonts w:hint="default" w:ascii="Times New Roman" w:hAnsi="Times New Roman" w:cs="Times New Roman" w:eastAsiaTheme="minorEastAsia"/>
          <w:bCs/>
          <w:sz w:val="24"/>
          <w:highlight w:val="none"/>
        </w:rPr>
      </w:pPr>
      <w:r>
        <w:rPr>
          <w:rFonts w:hint="default" w:ascii="Times New Roman" w:hAnsi="Times New Roman" w:cs="Times New Roman" w:eastAsiaTheme="minorEastAsia"/>
          <w:bCs/>
          <w:sz w:val="24"/>
          <w:highlight w:val="none"/>
        </w:rPr>
        <w:t>2.2.2 离子传输管独立加热，最高温度≥380℃</w:t>
      </w:r>
    </w:p>
    <w:p w14:paraId="2B3114A4">
      <w:pPr>
        <w:spacing w:line="360" w:lineRule="auto"/>
        <w:rPr>
          <w:rFonts w:hint="default" w:ascii="Times New Roman" w:hAnsi="Times New Roman" w:cs="Times New Roman" w:eastAsiaTheme="minorEastAsia"/>
          <w:bCs/>
          <w:sz w:val="24"/>
          <w:highlight w:val="none"/>
        </w:rPr>
      </w:pPr>
      <w:r>
        <w:rPr>
          <w:rFonts w:hint="default" w:ascii="Times New Roman" w:hAnsi="Times New Roman" w:cs="Times New Roman" w:eastAsiaTheme="minorEastAsia"/>
          <w:b w:val="0"/>
          <w:bCs/>
          <w:sz w:val="24"/>
          <w:highlight w:val="none"/>
        </w:rPr>
        <w:t>#</w:t>
      </w:r>
      <w:r>
        <w:rPr>
          <w:rFonts w:hint="default" w:ascii="Times New Roman" w:hAnsi="Times New Roman" w:cs="Times New Roman" w:eastAsiaTheme="minorEastAsia"/>
          <w:bCs/>
          <w:sz w:val="24"/>
          <w:highlight w:val="none"/>
        </w:rPr>
        <w:t>2.2.3 具有真空隔断阀设计，在移去、清洗离子传输部件时，不破坏真空， 待机不消耗氮气</w:t>
      </w:r>
    </w:p>
    <w:p w14:paraId="72EAFC55">
      <w:pPr>
        <w:spacing w:line="360" w:lineRule="auto"/>
        <w:rPr>
          <w:rFonts w:hint="default" w:ascii="Times New Roman" w:hAnsi="Times New Roman" w:cs="Times New Roman" w:eastAsiaTheme="minorEastAsia"/>
          <w:bCs/>
          <w:sz w:val="24"/>
          <w:highlight w:val="none"/>
        </w:rPr>
      </w:pPr>
      <w:r>
        <w:rPr>
          <w:rFonts w:hint="default" w:ascii="Times New Roman" w:hAnsi="Times New Roman" w:cs="Times New Roman" w:eastAsiaTheme="minorEastAsia"/>
          <w:bCs/>
          <w:sz w:val="24"/>
          <w:highlight w:val="none"/>
        </w:rPr>
        <w:t>2.2.4 具有带轴向场和有过滤功能的双弯曲离子束传输组件</w:t>
      </w:r>
    </w:p>
    <w:p w14:paraId="2C9A4CBC">
      <w:pPr>
        <w:spacing w:line="360" w:lineRule="auto"/>
        <w:rPr>
          <w:rFonts w:hint="default" w:ascii="Times New Roman" w:hAnsi="Times New Roman" w:cs="Times New Roman" w:eastAsiaTheme="minorEastAsia"/>
          <w:bCs/>
          <w:sz w:val="24"/>
          <w:highlight w:val="none"/>
        </w:rPr>
      </w:pPr>
      <w:r>
        <w:rPr>
          <w:rFonts w:hint="default" w:ascii="Times New Roman" w:hAnsi="Times New Roman" w:cs="Times New Roman" w:eastAsiaTheme="minorEastAsia"/>
          <w:bCs/>
          <w:sz w:val="24"/>
          <w:highlight w:val="none"/>
        </w:rPr>
        <w:t>2.3 内置型内标校正</w:t>
      </w:r>
    </w:p>
    <w:p w14:paraId="5F0ACC93">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#2.3.1 可以提供质量锁定内标离子，内标校正离子用作锁定质量数（m/z），使用校正质量数峰的准确已知质荷比，提供仪器质荷比校正的实时精细调整，保证质量精度≤ 1ppm</w:t>
      </w:r>
    </w:p>
    <w:p w14:paraId="1D8BCD58">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 质量分析器部分</w:t>
      </w:r>
    </w:p>
    <w:p w14:paraId="10A77087">
      <w:pPr>
        <w:spacing w:line="360" w:lineRule="auto"/>
        <w:jc w:val="left"/>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#2.4.1 质量 分 析 器 采 用 四 极 杆 与 静 电 场 轨 道 阱 或 飞 行 时 间 串 联 的 组 合 ， 质 量 范 围 不 低 于40-6000m/z</w:t>
      </w:r>
    </w:p>
    <w:p w14:paraId="03F17698">
      <w:pPr>
        <w:spacing w:line="360" w:lineRule="auto"/>
        <w:jc w:val="left"/>
        <w:rPr>
          <w:rFonts w:hint="default" w:ascii="Times New Roman" w:hAnsi="Times New Roman" w:cs="Times New Roman" w:eastAsiaTheme="minorEastAsia"/>
          <w:bCs/>
          <w:sz w:val="24"/>
        </w:rPr>
      </w:pPr>
      <w:r>
        <w:rPr>
          <w:rFonts w:hint="default" w:ascii="Times New Roman" w:hAnsi="Times New Roman" w:cs="Times New Roman" w:eastAsiaTheme="minorEastAsia"/>
          <w:sz w:val="24"/>
        </w:rPr>
        <w:t>★</w:t>
      </w:r>
      <w:r>
        <w:rPr>
          <w:rFonts w:hint="default" w:ascii="Times New Roman" w:hAnsi="Times New Roman" w:cs="Times New Roman" w:eastAsiaTheme="minorEastAsia"/>
          <w:bCs/>
          <w:sz w:val="24"/>
        </w:rPr>
        <w:t>2.4.2 仪器最大分辨率≥200,000 FWHM，</w:t>
      </w:r>
      <w:r>
        <w:rPr>
          <w:rFonts w:hint="default" w:ascii="Times New Roman" w:hAnsi="Times New Roman" w:cs="Times New Roman" w:eastAsiaTheme="minorEastAsia"/>
          <w:bCs/>
          <w:sz w:val="24"/>
          <w:szCs w:val="24"/>
        </w:rPr>
        <w:t>≥3档可调</w:t>
      </w:r>
    </w:p>
    <w:p w14:paraId="210B89C5">
      <w:pPr>
        <w:spacing w:line="360" w:lineRule="auto"/>
        <w:jc w:val="left"/>
        <w:rPr>
          <w:rFonts w:hint="default" w:ascii="Times New Roman" w:hAnsi="Times New Roman" w:cs="Times New Roman" w:eastAsiaTheme="minorEastAsia"/>
          <w:bCs/>
          <w:sz w:val="24"/>
        </w:rPr>
      </w:pPr>
      <w:r>
        <w:rPr>
          <w:rFonts w:hint="default" w:ascii="Times New Roman" w:hAnsi="Times New Roman" w:cs="Times New Roman" w:eastAsiaTheme="minorEastAsia"/>
          <w:sz w:val="24"/>
        </w:rPr>
        <w:t>★</w:t>
      </w:r>
      <w:r>
        <w:rPr>
          <w:rFonts w:hint="default" w:ascii="Times New Roman" w:hAnsi="Times New Roman" w:cs="Times New Roman" w:eastAsiaTheme="minorEastAsia"/>
          <w:bCs/>
          <w:sz w:val="24"/>
        </w:rPr>
        <w:t>2.4.3 双曲面分段四极杆，分辨率≤0.4Da</w:t>
      </w:r>
    </w:p>
    <w:p w14:paraId="79C80BD1">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2.4.4 质谱采集速率：≥20Hz；分辨率≥60000 FWHM 时，不少于3张/秒</w:t>
      </w:r>
    </w:p>
    <w:p w14:paraId="212F14F1">
      <w:pPr>
        <w:spacing w:line="360" w:lineRule="auto"/>
        <w:jc w:val="left"/>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#2.4.5 正负离子切换速度：一个完整周期采集速度≤700ms（一个完整周期即在分辨率 60,000 下获得正负离子谱图各一张）；（需提供证明材料：生产厂家官方网站截图或产品白皮书或第三方机构检验报告或其他相关证明材料。）</w:t>
      </w:r>
    </w:p>
    <w:p w14:paraId="046A12D5">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sz w:val="24"/>
        </w:rPr>
        <w:t>★</w:t>
      </w:r>
      <w:r>
        <w:rPr>
          <w:rFonts w:hint="default" w:ascii="Times New Roman" w:hAnsi="Times New Roman" w:cs="Times New Roman" w:eastAsiaTheme="minorEastAsia"/>
          <w:bCs/>
          <w:sz w:val="24"/>
        </w:rPr>
        <w:t>2.4.6 质量轴稳定性：设备校正一次后，连续4小时内不再校正质量轴，重复进样100fg利血平，609质量精确度≤3ppm</w:t>
      </w:r>
    </w:p>
    <w:p w14:paraId="1DDD1311">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2.4.7 灵敏度</w:t>
      </w:r>
    </w:p>
    <w:p w14:paraId="4FB2DC73">
      <w:pPr>
        <w:spacing w:line="360" w:lineRule="auto"/>
        <w:jc w:val="left"/>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#2.4.7.1 全扫描（m/z 100-900）灵敏度：100fg 利血平进样，S/N≥100:1；（需提供证明材料：生产厂家官方网站截图或产品白皮书或第三方机构检验报告或其他相关证明材料。）</w:t>
      </w:r>
    </w:p>
    <w:p w14:paraId="100204A1">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#2.4.7.2 二级质谱（MS/MS）灵敏度：100 fg 利血平进样，S/N≥200:1</w:t>
      </w:r>
    </w:p>
    <w:p w14:paraId="412C9C05">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2.4.7.3 选择离子扫描（SIM） 灵敏度：100 fg 利血平进样，S/N≥200:1</w:t>
      </w:r>
    </w:p>
    <w:p w14:paraId="7F468FBD">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2.4.7.4 设备灵敏度不随分辨率提高而降低</w:t>
      </w:r>
    </w:p>
    <w:p w14:paraId="4CFCE65A">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2.4.8 扫描模式</w:t>
      </w:r>
    </w:p>
    <w:p w14:paraId="7EC6B919">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2.4.8.1 高分辨全扫描 质谱（MS）和 MS/MS</w:t>
      </w:r>
    </w:p>
    <w:p w14:paraId="38D4BDA4">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2.4.8.2 高分辨选择离子扫描</w:t>
      </w:r>
    </w:p>
    <w:p w14:paraId="5F8B1F4B">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2.4.8.3 高分辨全子离子碰撞碎裂扫描</w:t>
      </w:r>
    </w:p>
    <w:p w14:paraId="4CDD2879">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2.4.8.4 高分辨正负离子切换扫描</w:t>
      </w:r>
    </w:p>
    <w:p w14:paraId="52436803">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2.4.8.5 高分辨数据依赖子离子扫描</w:t>
      </w:r>
    </w:p>
    <w:p w14:paraId="37B33AF7">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2.4.8.6 高分辨数据非依赖扫描</w:t>
      </w:r>
    </w:p>
    <w:p w14:paraId="520246D5">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2.4.8.7 数据采集流程，可自动更新一级和二级扫描的目标物列表和排除列表，实现样品的深度分析</w:t>
      </w:r>
    </w:p>
    <w:p w14:paraId="01F04D7A">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sz w:val="24"/>
        </w:rPr>
        <w:t>★</w:t>
      </w:r>
      <w:r>
        <w:rPr>
          <w:rFonts w:hint="default" w:ascii="Times New Roman" w:hAnsi="Times New Roman" w:cs="Times New Roman" w:eastAsiaTheme="minorEastAsia"/>
          <w:bCs/>
          <w:sz w:val="24"/>
        </w:rPr>
        <w:t>2.4.9 检测器：傅里叶变换无损检测器，若为微通道板（MCP）等消耗型检测器，需额外配置5套检测器备用。</w:t>
      </w:r>
    </w:p>
    <w:p w14:paraId="3FEC02C1">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2.5 数据处理系统</w:t>
      </w:r>
    </w:p>
    <w:p w14:paraId="6BD1F837">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仪器操作和数据处理工作站（配备质谱分析软件、操作系统、办公软件组件）一台，提供液相色谱（LC）和 MS/MS的全自动控制；专用终端（含软件）具备数据采集、数据处理、定性定量分析、建立数据库、谱库检索等功能；操作系统性能不低于Window 10（64bit）。</w:t>
      </w:r>
    </w:p>
    <w:p w14:paraId="6DA9BC19">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2.6 数据解析平台</w:t>
      </w:r>
    </w:p>
    <w:p w14:paraId="24BC9C31">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仪器数据解析工作站一台，配备质谱分析软件、操作系统、办公软件组件；配统计学分析定性及定量软件包各1套；操作系统性能不低于Window 10（128bit）。</w:t>
      </w:r>
    </w:p>
    <w:p w14:paraId="68194109">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2.7电源系统：不间断稳压电源10KV/0.5H 一台</w:t>
      </w:r>
    </w:p>
    <w:p w14:paraId="6571AD5C">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2.8 气源系统：氮气发生器30L/min*1台。</w:t>
      </w:r>
    </w:p>
    <w:p w14:paraId="1E9CC2B2">
      <w:pPr>
        <w:widowControl/>
        <w:spacing w:line="360" w:lineRule="auto"/>
        <w:contextualSpacing/>
        <w:rPr>
          <w:rFonts w:hint="default" w:ascii="Times New Roman" w:hAnsi="Times New Roman" w:cs="Times New Roman" w:eastAsiaTheme="minorEastAsia"/>
          <w:b/>
          <w:bCs/>
          <w:sz w:val="24"/>
        </w:rPr>
      </w:pPr>
      <w:r>
        <w:rPr>
          <w:rFonts w:hint="default" w:ascii="Times New Roman" w:hAnsi="Times New Roman" w:cs="Times New Roman" w:eastAsiaTheme="minorEastAsia"/>
          <w:sz w:val="24"/>
        </w:rPr>
        <w:t>3</w:t>
      </w:r>
      <w:r>
        <w:rPr>
          <w:rFonts w:hint="default" w:ascii="Times New Roman" w:hAnsi="Times New Roman" w:cs="Times New Roman" w:eastAsiaTheme="minorEastAsia"/>
          <w:bCs/>
          <w:sz w:val="24"/>
        </w:rPr>
        <w:t xml:space="preserve"> ★</w:t>
      </w:r>
      <w:r>
        <w:rPr>
          <w:rFonts w:hint="default" w:ascii="Times New Roman" w:hAnsi="Times New Roman" w:cs="Times New Roman" w:eastAsiaTheme="minorEastAsia"/>
          <w:b/>
          <w:bCs/>
          <w:sz w:val="24"/>
        </w:rPr>
        <w:t>配置要求</w:t>
      </w:r>
    </w:p>
    <w:p w14:paraId="13635DFD">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包含如下配置共1套：</w:t>
      </w:r>
    </w:p>
    <w:p w14:paraId="1F9B62D2">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高分辨质谱主机1台</w:t>
      </w:r>
    </w:p>
    <w:p w14:paraId="378F992E">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bCs w:val="0"/>
          <w:sz w:val="24"/>
        </w:rPr>
        <w:t>仪器操作和数据处理工作站</w:t>
      </w:r>
      <w:r>
        <w:rPr>
          <w:rFonts w:hint="default" w:ascii="Times New Roman" w:hAnsi="Times New Roman" w:cs="Times New Roman" w:eastAsiaTheme="minorEastAsia"/>
          <w:sz w:val="24"/>
        </w:rPr>
        <w:t>1套</w:t>
      </w:r>
    </w:p>
    <w:p w14:paraId="23FBEE08">
      <w:pPr>
        <w:widowControl/>
        <w:spacing w:line="360" w:lineRule="auto"/>
        <w:ind w:firstLine="480" w:firstLineChars="200"/>
        <w:contextualSpacing/>
        <w:rPr>
          <w:rFonts w:hint="default" w:ascii="Times New Roman" w:hAnsi="Times New Roman" w:cs="Times New Roman" w:eastAsiaTheme="minorEastAsia"/>
          <w:bCs w:val="0"/>
          <w:sz w:val="24"/>
        </w:rPr>
      </w:pPr>
      <w:r>
        <w:rPr>
          <w:rFonts w:hint="default" w:ascii="Times New Roman" w:hAnsi="Times New Roman" w:cs="Times New Roman" w:eastAsiaTheme="minorEastAsia"/>
          <w:bCs w:val="0"/>
          <w:sz w:val="24"/>
        </w:rPr>
        <w:t>仪器数据解析工作站1套</w:t>
      </w:r>
    </w:p>
    <w:p w14:paraId="1B800C59">
      <w:pPr>
        <w:widowControl/>
        <w:spacing w:line="360" w:lineRule="auto"/>
        <w:ind w:firstLine="480" w:firstLineChars="200"/>
        <w:contextualSpacing/>
        <w:rPr>
          <w:rFonts w:hint="default" w:ascii="Times New Roman" w:hAnsi="Times New Roman" w:cs="Times New Roman" w:eastAsiaTheme="minorEastAsia"/>
          <w:bCs w:val="0"/>
          <w:sz w:val="24"/>
        </w:rPr>
      </w:pPr>
      <w:r>
        <w:rPr>
          <w:rFonts w:hint="default" w:ascii="Times New Roman" w:hAnsi="Times New Roman" w:cs="Times New Roman" w:eastAsiaTheme="minorEastAsia"/>
          <w:bCs w:val="0"/>
          <w:sz w:val="24"/>
        </w:rPr>
        <w:t>不间断稳压电源1台</w:t>
      </w:r>
    </w:p>
    <w:p w14:paraId="3629AAA5">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bCs w:val="0"/>
          <w:sz w:val="24"/>
        </w:rPr>
        <w:t>氮气发生器1台</w:t>
      </w:r>
    </w:p>
    <w:p w14:paraId="6C504592">
      <w:pPr>
        <w:spacing w:line="360" w:lineRule="auto"/>
        <w:rPr>
          <w:rFonts w:hint="default" w:ascii="Times New Roman" w:hAnsi="Times New Roman" w:cs="Times New Roman" w:eastAsiaTheme="minorEastAsia"/>
          <w:b/>
          <w:sz w:val="24"/>
        </w:rPr>
      </w:pPr>
    </w:p>
    <w:p w14:paraId="4A443CEE">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
          <w:sz w:val="24"/>
        </w:rPr>
        <w:t>（二）液相色谱-三重四极杆质谱联用仪参数</w:t>
      </w:r>
    </w:p>
    <w:p w14:paraId="11384F4F">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1. 工作条件</w:t>
      </w:r>
    </w:p>
    <w:p w14:paraId="32353D73">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1.1电源电压：230V±10%， 50/60Hz，16A</w:t>
      </w:r>
    </w:p>
    <w:p w14:paraId="49771B02">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1.2环境温度：15-27℃</w:t>
      </w:r>
    </w:p>
    <w:p w14:paraId="2DB7158D">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1.3相对湿度：20-80%</w:t>
      </w:r>
    </w:p>
    <w:p w14:paraId="71410BFD">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 质谱部分技术性能</w:t>
      </w:r>
    </w:p>
    <w:p w14:paraId="0A2E45BF">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2.1 离子源</w:t>
      </w:r>
    </w:p>
    <w:p w14:paraId="1FF07978">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#2.1.1 离子源：独立可加热电喷雾离子源（ESI 源）和大气压化学电离源（APCI 源），全内置式气路电路接口设计，离子源外部无任何气路电路管路连接，安装离子源时即可实现气路电路连接，自动识别；HESI 与 APCI 切换只需更换探针，切换时间小于 1min，无需拆卸离子源</w:t>
      </w:r>
    </w:p>
    <w:p w14:paraId="2C44569B">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#2.1.2 探针采用 60 度最优喷雾设计，可在任意位置固定并实现上下圆弧形、前后/左右直线型三维连续调节</w:t>
      </w:r>
    </w:p>
    <w:p w14:paraId="618AD928">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2.1.3 内置增强型大面积多边形同轴主动排废口，排废管路为不锈钢材质</w:t>
      </w:r>
    </w:p>
    <w:p w14:paraId="6F54DEFA">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2.1.4 具有雾化气、辅助雾化气、可调式吹扫气</w:t>
      </w:r>
    </w:p>
    <w:p w14:paraId="2CBDA758">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2.1.5 可拆卸的吹扫挡锥，非对称锥面设计</w:t>
      </w:r>
    </w:p>
    <w:p w14:paraId="6678540F">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2.1.6 可加热 ESI 源，加热温度最高可达 500℃，不分流的情况下采用纯水作为溶剂，流速覆盖范围至少包含1ul-2000ul/min</w:t>
      </w:r>
    </w:p>
    <w:p w14:paraId="21002C77">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2.1.7  APCI ：加 热 温 度 最 高 可 达 500℃ ，不 分 流 的 情 况 下 采 用 纯 水 作 为 溶 剂 ， 流速覆盖范围至少包含50ul-2000ul/min</w:t>
      </w:r>
    </w:p>
    <w:p w14:paraId="27CF5380">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2.1.8 质谱配置软件具备实时监控反馈喷雾稳定性功能</w:t>
      </w:r>
    </w:p>
    <w:p w14:paraId="2DC252E1">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2.1.9 离子源腔体具有观察窗口，可以直接观察喷雾效果</w:t>
      </w:r>
    </w:p>
    <w:p w14:paraId="048C25EC">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2.1.10 离子源所有可调节部件具备防烫伤功能</w:t>
      </w:r>
    </w:p>
    <w:p w14:paraId="691E674B">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#2.2 离子传输系统</w:t>
      </w:r>
    </w:p>
    <w:p w14:paraId="4D6EE188">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2.2.1 离子传输系统必须配有离子传输管设计</w:t>
      </w:r>
    </w:p>
    <w:p w14:paraId="580DA1C9">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2.2.2 具有高容量传输管将更多离子传输到真空系统</w:t>
      </w:r>
    </w:p>
    <w:p w14:paraId="790E885F">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2.2.3 离子传输管双独立加热，最高温度可达 400℃</w:t>
      </w:r>
    </w:p>
    <w:p w14:paraId="2819EA81">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2.2.4 具有真空隔断阀设计，离子传输管可快速更换</w:t>
      </w:r>
    </w:p>
    <w:p w14:paraId="4F507232">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2.2.5 具有电动离子漏斗类似设计</w:t>
      </w:r>
    </w:p>
    <w:p w14:paraId="14E8C284">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2.2.6 具有离子束导向装置，</w:t>
      </w:r>
    </w:p>
    <w:p w14:paraId="6FFA4154">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 xml:space="preserve">2.3 </w:t>
      </w:r>
      <w:bookmarkStart w:id="1" w:name="OLE_LINK6"/>
      <w:r>
        <w:rPr>
          <w:rFonts w:hint="default" w:ascii="Times New Roman" w:hAnsi="Times New Roman" w:cs="Times New Roman" w:eastAsiaTheme="minorEastAsia"/>
          <w:bCs/>
          <w:sz w:val="24"/>
        </w:rPr>
        <w:t>四极杆质量分析器</w:t>
      </w:r>
      <w:bookmarkEnd w:id="1"/>
    </w:p>
    <w:p w14:paraId="299552CD">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#2.3.1 Q1和Q3均采用分段式钼制双曲面四极杆，具有不小于5.0mm场半径</w:t>
      </w:r>
    </w:p>
    <w:p w14:paraId="68A492C6">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#2.3.2 Q2设计：90º弯曲，加有轴向加速电场，驻留时间（Dwell Time）低于1m时，无灵敏度损失</w:t>
      </w:r>
    </w:p>
    <w:p w14:paraId="30B5ACE2">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2.3.3 碰撞气为高纯高惰性氩气或氮气，确保母离子碎裂效率</w:t>
      </w:r>
    </w:p>
    <w:p w14:paraId="301706C2">
      <w:pPr>
        <w:spacing w:line="360" w:lineRule="auto"/>
        <w:rPr>
          <w:rFonts w:hint="default" w:ascii="Times New Roman" w:hAnsi="Times New Roman" w:cs="Times New Roman"/>
        </w:rPr>
      </w:pPr>
      <w:r>
        <w:rPr>
          <w:rFonts w:hint="default" w:ascii="Times New Roman" w:hAnsi="Times New Roman" w:cs="Times New Roman" w:eastAsiaTheme="minorEastAsia"/>
          <w:sz w:val="24"/>
        </w:rPr>
        <w:t>★</w:t>
      </w:r>
      <w:r>
        <w:rPr>
          <w:rFonts w:hint="default" w:ascii="Times New Roman" w:hAnsi="Times New Roman" w:cs="Times New Roman" w:eastAsiaTheme="minorEastAsia"/>
          <w:bCs/>
          <w:sz w:val="24"/>
        </w:rPr>
        <w:t>2.3.4 四极杆分辨率：Q1和Q3在全质量范围分辨率可到0.2 amu-0.4 amu</w:t>
      </w:r>
    </w:p>
    <w:p w14:paraId="16F00256">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#2.3.5 质量数范围：至少包含2-2010amu</w:t>
      </w:r>
    </w:p>
    <w:p w14:paraId="367F42CD">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2.3.6 质量轴稳定性：≤0.1amu/24 小时 （全质量数范围内，不同分辨率、不同扫描速率下）</w:t>
      </w:r>
    </w:p>
    <w:p w14:paraId="109A30F4">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2.3.7 质量准确度：全质量轴范围内≤0.1 amu</w:t>
      </w:r>
    </w:p>
    <w:p w14:paraId="43EF841D">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2.3.8 SRM 最小驻留时间：≤ 1ms</w:t>
      </w:r>
    </w:p>
    <w:p w14:paraId="2463FD8B">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#2.3.9 共轭双曲面四极杆扫描速度：≥15000amu/s</w:t>
      </w:r>
    </w:p>
    <w:p w14:paraId="06BAFF2F">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sz w:val="24"/>
        </w:rPr>
        <w:t>★</w:t>
      </w:r>
      <w:r>
        <w:rPr>
          <w:rFonts w:hint="default" w:ascii="Times New Roman" w:hAnsi="Times New Roman" w:cs="Times New Roman" w:eastAsiaTheme="minorEastAsia"/>
          <w:bCs/>
          <w:sz w:val="24"/>
        </w:rPr>
        <w:t>2.3.10 SRM 扫描速度：最大可达 600 SRMs/秒，并确保无交叉污染；（需提供证明材料：生产厂家官方网站截图或产品白皮书或第三方机构检验报告或其他相关证明材料。）</w:t>
      </w:r>
    </w:p>
    <w:p w14:paraId="10928BC2">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2.3.11 一次分析最多可执行30000个SRM分析</w:t>
      </w:r>
    </w:p>
    <w:p w14:paraId="5AFA5E9E">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#2.3.12 正负离子切换速度：≤5ms</w:t>
      </w:r>
    </w:p>
    <w:p w14:paraId="18CF3210">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2.3.1</w:t>
      </w:r>
      <w:r>
        <w:rPr>
          <w:rFonts w:hint="default" w:ascii="Times New Roman" w:hAnsi="Times New Roman" w:cs="Times New Roman" w:eastAsiaTheme="minorEastAsia"/>
          <w:bCs/>
          <w:sz w:val="24"/>
          <w:lang w:val="en-US" w:eastAsia="zh-CN"/>
        </w:rPr>
        <w:t>3</w:t>
      </w:r>
      <w:r>
        <w:rPr>
          <w:rFonts w:hint="default" w:ascii="Times New Roman" w:hAnsi="Times New Roman" w:cs="Times New Roman" w:eastAsiaTheme="minorEastAsia"/>
          <w:bCs/>
          <w:sz w:val="24"/>
        </w:rPr>
        <w:t xml:space="preserve"> 扫描功能：全扫描（Full Scan，Q1或Q3）、选择离子扫描（SIM，Q1或Q3）、选择反应监测（SRM）、高选择性反应监测（0.2 amu）、时间选择反应监测（T-SRM）子离子扫描（Product Ion Scan）、母离子扫描（Precursor Ion Scan）、中性丢失扫描（Neutral Loss Scan）、RER 反向能量归一化扫描混合扫描</w:t>
      </w:r>
    </w:p>
    <w:p w14:paraId="7200FC80">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 检测器</w:t>
      </w:r>
    </w:p>
    <w:p w14:paraId="257B3CD8">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2.4.1 双模式离散打拿极检测器，动态线性范围不低于10</w:t>
      </w:r>
      <w:r>
        <w:rPr>
          <w:rFonts w:hint="default" w:ascii="Times New Roman" w:hAnsi="Times New Roman" w:cs="Times New Roman" w:eastAsiaTheme="minorEastAsia"/>
          <w:bCs/>
          <w:sz w:val="24"/>
          <w:vertAlign w:val="superscript"/>
        </w:rPr>
        <w:t>6</w:t>
      </w:r>
    </w:p>
    <w:p w14:paraId="2D05C6C7">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2.5 真空系统</w:t>
      </w:r>
    </w:p>
    <w:p w14:paraId="78E72727">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#2.5.1 由1个分子涡轮泵和2 个机械泵组成的4级差分真空系统</w:t>
      </w:r>
    </w:p>
    <w:p w14:paraId="27BE6E68">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2.5.2 四级差分抽真空，真空可达到5·10</w:t>
      </w:r>
      <w:r>
        <w:rPr>
          <w:rFonts w:hint="default" w:ascii="Times New Roman" w:hAnsi="Times New Roman" w:cs="Times New Roman" w:eastAsiaTheme="minorEastAsia"/>
          <w:bCs/>
          <w:sz w:val="24"/>
          <w:vertAlign w:val="superscript"/>
        </w:rPr>
        <w:t>-6</w:t>
      </w:r>
      <w:r>
        <w:rPr>
          <w:rFonts w:hint="default" w:ascii="Times New Roman" w:hAnsi="Times New Roman" w:cs="Times New Roman" w:eastAsiaTheme="minorEastAsia"/>
          <w:bCs/>
          <w:sz w:val="24"/>
        </w:rPr>
        <w:t xml:space="preserve"> Torr</w:t>
      </w:r>
    </w:p>
    <w:p w14:paraId="021FA1C2">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2.6 灵敏度</w:t>
      </w:r>
    </w:p>
    <w:p w14:paraId="1833BD77">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2.6.1 高选择性 MS/MS 灵敏度</w:t>
      </w:r>
    </w:p>
    <w:p w14:paraId="4981E303">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sz w:val="24"/>
        </w:rPr>
        <w:t>★</w:t>
      </w:r>
      <w:r>
        <w:rPr>
          <w:rFonts w:hint="default" w:ascii="Times New Roman" w:hAnsi="Times New Roman" w:cs="Times New Roman" w:eastAsiaTheme="minorEastAsia"/>
          <w:bCs/>
          <w:sz w:val="24"/>
        </w:rPr>
        <w:t>ESI：1pg利血平柱上进样（Q1分辨率0.2amu，Q3分辨率0.7amu）m/z 609&gt;195，S/N≥1500,000:1，连续6针RSD≤5%。（需提供证明材料:生产厂家官方网站截图或产品白皮书或第三方机构检验报告或其他相关证明材料。）</w:t>
      </w:r>
    </w:p>
    <w:p w14:paraId="69AC6684">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#ESI-：1pg 氯霉素柱上进样，m/z 321&gt;152, S/N≥1500,000:1，连续 6 针 RSD≤5%</w:t>
      </w:r>
    </w:p>
    <w:p w14:paraId="025F37C8">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APCI: 1pg 利血平柱上进样，m/z 609&gt;195，S/N≥100,000:1，连续 6 针 RSD≤5%</w:t>
      </w:r>
    </w:p>
    <w:p w14:paraId="34EAB3A7">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 高效液相性能参数</w:t>
      </w:r>
    </w:p>
    <w:p w14:paraId="54C9B322">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2.7.1 二元高压泵</w:t>
      </w:r>
    </w:p>
    <w:p w14:paraId="230DC57C">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2.7.1.1 操作原理：串联双柱塞泵</w:t>
      </w:r>
    </w:p>
    <w:p w14:paraId="0086F661">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2.7.1.2 流量控制范围：0.001～7.5 mL/min，可调增量步长可达到：1L/min</w:t>
      </w:r>
    </w:p>
    <w:p w14:paraId="26EBA8FA">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#2.7.1.3 压力范围：可满足2～101 MPa</w:t>
      </w:r>
    </w:p>
    <w:p w14:paraId="67CE72FD">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2.7.1.4 应具备全自动压缩性补偿，与流动相组成无关</w:t>
      </w:r>
    </w:p>
    <w:p w14:paraId="215ABA98">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2.7.1.5 流量准确度：±0.1%</w:t>
      </w:r>
    </w:p>
    <w:p w14:paraId="166EBDA0">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2.7.1.6 流量精度：&lt;0.05% RSD 或&lt;0.01 min SD，以较大者为准</w:t>
      </w:r>
    </w:p>
    <w:p w14:paraId="69BAE3B4">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2.7.1.7 比例准确度：满量程的±0.2%</w:t>
      </w:r>
    </w:p>
    <w:p w14:paraId="290E44F0">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2.7.2 自动进样器</w:t>
      </w:r>
    </w:p>
    <w:p w14:paraId="2A4AACAE">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2.7.2.1 操作原理：分流进样</w:t>
      </w:r>
    </w:p>
    <w:p w14:paraId="7E89C87D">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2.7.2.2 压力范围：可满足2～101 MPa</w:t>
      </w:r>
    </w:p>
    <w:p w14:paraId="04B9E848">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 xml:space="preserve">2.7.2.3 进样量：0.01～25 </w:t>
      </w:r>
      <w:r>
        <w:rPr>
          <w:rFonts w:hint="default" w:ascii="Times New Roman" w:hAnsi="Times New Roman" w:cs="Times New Roman" w:eastAsiaTheme="minorEastAsia"/>
          <w:sz w:val="24"/>
        </w:rPr>
        <w:t>μ</w:t>
      </w:r>
      <w:r>
        <w:rPr>
          <w:rFonts w:hint="default" w:ascii="Times New Roman" w:hAnsi="Times New Roman" w:cs="Times New Roman" w:eastAsiaTheme="minorEastAsia"/>
          <w:bCs/>
          <w:sz w:val="24"/>
        </w:rPr>
        <w:t xml:space="preserve">L，最小可调步长：0.01 </w:t>
      </w:r>
      <w:r>
        <w:rPr>
          <w:rFonts w:hint="default" w:ascii="Times New Roman" w:hAnsi="Times New Roman" w:cs="Times New Roman" w:eastAsiaTheme="minorEastAsia"/>
          <w:sz w:val="24"/>
        </w:rPr>
        <w:t>μ</w:t>
      </w:r>
      <w:r>
        <w:rPr>
          <w:rFonts w:hint="default" w:ascii="Times New Roman" w:hAnsi="Times New Roman" w:cs="Times New Roman" w:eastAsiaTheme="minorEastAsia"/>
          <w:bCs/>
          <w:sz w:val="24"/>
        </w:rPr>
        <w:t>L</w:t>
      </w:r>
    </w:p>
    <w:p w14:paraId="6E6E74E7">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2.7.2.4 样品室温度：4～40℃（湿度&lt;80% RH，低于环境温度时 ≥ 23 K）</w:t>
      </w:r>
    </w:p>
    <w:p w14:paraId="63D41EB2">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#2.7.2.5 样品容量：≥210 位 2ml 样品瓶</w:t>
      </w:r>
    </w:p>
    <w:p w14:paraId="59B73D7F">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2.7.3 柱温箱</w:t>
      </w:r>
    </w:p>
    <w:p w14:paraId="1603A21A">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#2.7.3.1 温控范围：可满足5～118℃，可调步长精度可达到：0.1℃</w:t>
      </w:r>
    </w:p>
    <w:p w14:paraId="1386D230">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2.7.3.2 耐压范围：可满足2～101 MPa</w:t>
      </w:r>
    </w:p>
    <w:p w14:paraId="2F7ED55A">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2.7.3.3 冷却能力：降温时间≤ 15 min，（50～20℃，±1 k）</w:t>
      </w:r>
    </w:p>
    <w:p w14:paraId="5485EFA0">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2.8 数据处理系统</w:t>
      </w:r>
    </w:p>
    <w:p w14:paraId="3F61FDB7">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仪器操作和数据处理工作站（配备质谱分析软件、操作系统、办公软件组件）一台，提供 LC 和 MS/MS的全自动控制；专用终端（含软件）具备数据采集、数据处理、定性定量分析、建立数据库、谱库检索等功能，能够满足当今分析检测实验室需求，提供能够实现最优化痕量分析的全套系统解决方；操作系统性能不低于Window 10（64bit）。</w:t>
      </w:r>
    </w:p>
    <w:p w14:paraId="7A87DDBE">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2.9 电源系统：不间断稳压电源10KV/0.5H 一台。</w:t>
      </w:r>
    </w:p>
    <w:p w14:paraId="565587DB">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2.10 气源系统：氮气发生器30L/min*1台。</w:t>
      </w:r>
    </w:p>
    <w:p w14:paraId="4A737E28">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3 ★配置要求</w:t>
      </w:r>
    </w:p>
    <w:p w14:paraId="32D9FE78">
      <w:pPr>
        <w:spacing w:line="360" w:lineRule="auto"/>
        <w:ind w:firstLine="480" w:firstLineChars="200"/>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包含如下配置共1套：</w:t>
      </w:r>
    </w:p>
    <w:p w14:paraId="2993A3C5">
      <w:pPr>
        <w:spacing w:line="360" w:lineRule="auto"/>
        <w:ind w:firstLine="480" w:firstLineChars="200"/>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三重四极杆质谱主机1台</w:t>
      </w:r>
    </w:p>
    <w:p w14:paraId="43827509">
      <w:pPr>
        <w:spacing w:line="360" w:lineRule="auto"/>
        <w:ind w:firstLine="480" w:firstLineChars="200"/>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超高压液相色谱仪1台</w:t>
      </w:r>
    </w:p>
    <w:p w14:paraId="4AF375B2">
      <w:pPr>
        <w:spacing w:line="360" w:lineRule="auto"/>
        <w:ind w:firstLine="480" w:firstLineChars="200"/>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仪器操作和数据处理工作站1套</w:t>
      </w:r>
    </w:p>
    <w:p w14:paraId="188D7F8F">
      <w:pPr>
        <w:spacing w:line="360" w:lineRule="auto"/>
        <w:ind w:firstLine="480" w:firstLineChars="200"/>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不间断稳压电源1台</w:t>
      </w:r>
    </w:p>
    <w:p w14:paraId="5C90BA27">
      <w:pPr>
        <w:spacing w:line="360" w:lineRule="auto"/>
        <w:ind w:firstLine="480"/>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氮气发生器1台</w:t>
      </w:r>
    </w:p>
    <w:p w14:paraId="6EBDB357">
      <w:pPr>
        <w:pStyle w:val="2"/>
        <w:ind w:firstLine="480"/>
        <w:rPr>
          <w:rFonts w:hint="default" w:ascii="Times New Roman" w:hAnsi="Times New Roman" w:cs="Times New Roman"/>
        </w:rPr>
      </w:pPr>
    </w:p>
    <w:p w14:paraId="5CB6A1CB">
      <w:pPr>
        <w:spacing w:line="360" w:lineRule="auto"/>
        <w:rPr>
          <w:rFonts w:hint="default" w:ascii="Times New Roman" w:hAnsi="Times New Roman" w:cs="Times New Roman" w:eastAsiaTheme="minorEastAsia"/>
          <w:bCs/>
          <w:sz w:val="24"/>
        </w:rPr>
      </w:pPr>
      <w:r>
        <w:rPr>
          <w:rFonts w:hint="default" w:ascii="Times New Roman" w:hAnsi="Times New Roman" w:cs="Times New Roman" w:eastAsiaTheme="minorEastAsia"/>
          <w:b/>
          <w:sz w:val="24"/>
        </w:rPr>
        <w:t>（三）超高压液相色谱仪</w:t>
      </w:r>
    </w:p>
    <w:p w14:paraId="07582328">
      <w:pPr>
        <w:widowControl/>
        <w:spacing w:line="360" w:lineRule="auto"/>
        <w:contextualSpacing/>
        <w:rPr>
          <w:rFonts w:hint="default" w:ascii="Times New Roman" w:hAnsi="Times New Roman" w:cs="Times New Roman" w:eastAsiaTheme="minorEastAsia"/>
          <w:b/>
          <w:bCs/>
          <w:sz w:val="24"/>
        </w:rPr>
      </w:pPr>
      <w:r>
        <w:rPr>
          <w:rFonts w:hint="default" w:ascii="Times New Roman" w:hAnsi="Times New Roman" w:cs="Times New Roman" w:eastAsiaTheme="minorEastAsia"/>
          <w:b/>
          <w:bCs/>
          <w:sz w:val="24"/>
        </w:rPr>
        <w:t>1.工作条件</w:t>
      </w:r>
    </w:p>
    <w:p w14:paraId="1A2E0861">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1.1电源：230V±10%，AC（交流），50/60Hz</w:t>
      </w:r>
    </w:p>
    <w:p w14:paraId="726DB779">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1.2环境温度：18-27℃</w:t>
      </w:r>
    </w:p>
    <w:p w14:paraId="3613F996">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1.3相对湿度：20-80%</w:t>
      </w:r>
    </w:p>
    <w:p w14:paraId="6BB87972">
      <w:pPr>
        <w:widowControl/>
        <w:spacing w:line="360" w:lineRule="auto"/>
        <w:contextualSpacing/>
        <w:rPr>
          <w:rFonts w:hint="default" w:ascii="Times New Roman" w:hAnsi="Times New Roman" w:cs="Times New Roman" w:eastAsiaTheme="minorEastAsia"/>
          <w:b/>
          <w:bCs/>
          <w:sz w:val="24"/>
        </w:rPr>
      </w:pPr>
      <w:r>
        <w:rPr>
          <w:rFonts w:hint="default" w:ascii="Times New Roman" w:hAnsi="Times New Roman" w:cs="Times New Roman" w:eastAsiaTheme="minorEastAsia"/>
          <w:b/>
          <w:bCs/>
          <w:sz w:val="24"/>
        </w:rPr>
        <w:t>2.色谱技术要求</w:t>
      </w:r>
    </w:p>
    <w:p w14:paraId="1CF09B1A">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2.1二元高压泵技术要求</w:t>
      </w:r>
    </w:p>
    <w:p w14:paraId="65927DA8">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 xml:space="preserve">1）操作原理：串联双柱塞 </w:t>
      </w:r>
    </w:p>
    <w:p w14:paraId="27A46225">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b/>
          <w:bCs/>
          <w:sz w:val="24"/>
        </w:rPr>
        <w:t xml:space="preserve"># </w:t>
      </w:r>
      <w:r>
        <w:rPr>
          <w:rFonts w:hint="default" w:ascii="Times New Roman" w:hAnsi="Times New Roman" w:cs="Times New Roman" w:eastAsiaTheme="minorEastAsia"/>
          <w:sz w:val="24"/>
        </w:rPr>
        <w:t>2）流量范围：至少包含0.001-7.5 mL/min，增量可达到为1μL/min</w:t>
      </w:r>
    </w:p>
    <w:p w14:paraId="49CC3EBA">
      <w:pPr>
        <w:widowControl/>
        <w:spacing w:line="360" w:lineRule="auto"/>
        <w:contextualSpacing/>
        <w:rPr>
          <w:rFonts w:hint="default" w:ascii="Times New Roman" w:hAnsi="Times New Roman" w:cs="Times New Roman" w:eastAsiaTheme="minorEastAsia"/>
          <w:sz w:val="24"/>
        </w:rPr>
      </w:pPr>
      <w:bookmarkStart w:id="2" w:name="OLE_LINK7"/>
      <w:r>
        <w:rPr>
          <w:rFonts w:hint="default" w:ascii="Times New Roman" w:hAnsi="Times New Roman" w:cs="Times New Roman" w:eastAsiaTheme="minorEastAsia"/>
          <w:sz w:val="24"/>
        </w:rPr>
        <w:t>★</w:t>
      </w:r>
      <w:bookmarkEnd w:id="2"/>
      <w:r>
        <w:rPr>
          <w:rFonts w:hint="default" w:ascii="Times New Roman" w:hAnsi="Times New Roman" w:cs="Times New Roman" w:eastAsiaTheme="minorEastAsia"/>
          <w:sz w:val="24"/>
        </w:rPr>
        <w:t>3）压力范围：至少包含2-101 MPa</w:t>
      </w:r>
    </w:p>
    <w:p w14:paraId="1160D621">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4）压缩性补偿：全自动，与流动相组成无关</w:t>
      </w:r>
    </w:p>
    <w:p w14:paraId="62F0D3E1">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5）流量准确度：±0.1%</w:t>
      </w:r>
    </w:p>
    <w:p w14:paraId="3023C6AF">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6）流量精度：&lt;0.05% RSD 或 &lt;0.01 min SD，以较大者为准</w:t>
      </w:r>
    </w:p>
    <w:p w14:paraId="5B82BB6C">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7）比例准确度：满量程的 ±0.2%</w:t>
      </w:r>
    </w:p>
    <w:p w14:paraId="6095AE03">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2.2 自动进样器技术要求</w:t>
      </w:r>
    </w:p>
    <w:p w14:paraId="17926FC2">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1）操作原理：分流进样</w:t>
      </w:r>
    </w:p>
    <w:p w14:paraId="4E152CD5">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2）压力范围：至少包含2-101 MPa</w:t>
      </w:r>
    </w:p>
    <w:p w14:paraId="5DD207FC">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 xml:space="preserve"># 3）进样量范围：至少包含0.01-25μL，最小步骤= 0.01μL </w:t>
      </w:r>
    </w:p>
    <w:p w14:paraId="1DD094DD">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b/>
          <w:bCs/>
          <w:sz w:val="24"/>
        </w:rPr>
        <w:t>#</w:t>
      </w:r>
      <w:r>
        <w:rPr>
          <w:rFonts w:hint="default" w:ascii="Times New Roman" w:hAnsi="Times New Roman" w:cs="Times New Roman" w:eastAsiaTheme="minorEastAsia"/>
          <w:sz w:val="24"/>
        </w:rPr>
        <w:t xml:space="preserve"> 4）样本位数：≥210位</w:t>
      </w:r>
    </w:p>
    <w:p w14:paraId="5B39434F">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5）进样线性：r&gt;0.99999（咖啡因水溶液）</w:t>
      </w:r>
    </w:p>
    <w:p w14:paraId="0B9E6B8A">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6）进样周期时间：&lt;8 s；取决于可设置的进样参数，与样品位置无关</w:t>
      </w:r>
    </w:p>
    <w:p w14:paraId="72314304">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7）所需最小样品体积：进样体积为1μL 时需要2μL</w:t>
      </w:r>
    </w:p>
    <w:p w14:paraId="4BC82B6A">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8）残留（UV）：使用氯己定时&lt;0.004%；使用咖啡因时&lt;0.0004%（典型）</w:t>
      </w:r>
    </w:p>
    <w:p w14:paraId="34A619F4">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9）样品室温度范围：4-40℃（RH &lt;80%，低于环境温度时 ≥ 23 K）</w:t>
      </w:r>
    </w:p>
    <w:p w14:paraId="71BC2B91">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2.3柱温箱技术要求</w:t>
      </w:r>
    </w:p>
    <w:p w14:paraId="3C5A0E4D">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1）操作原理：静止空气和强制空气</w:t>
      </w:r>
    </w:p>
    <w:p w14:paraId="76B3AE1D">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★2）温度范围：至少包含5-118℃，增量可达到为 0.1℃</w:t>
      </w:r>
    </w:p>
    <w:p w14:paraId="32D78F79">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3）温度稳定性：±0.05 K</w:t>
      </w:r>
      <w:r>
        <w:rPr>
          <w:rFonts w:hint="default" w:ascii="Times New Roman" w:hAnsi="Times New Roman" w:cs="Times New Roman" w:eastAsiaTheme="minorEastAsia"/>
          <w:sz w:val="24"/>
        </w:rPr>
        <w:tab/>
      </w:r>
    </w:p>
    <w:p w14:paraId="061B2920">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4）温度准确度：±0.5 K</w:t>
      </w:r>
    </w:p>
    <w:p w14:paraId="6078823B">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5）耐压范围：2-101 MPa</w:t>
      </w:r>
    </w:p>
    <w:p w14:paraId="3D8218E6">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6）冷却性能≤ 15 min，50-20℃，± 1 k</w:t>
      </w:r>
    </w:p>
    <w:p w14:paraId="18370177">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2.4 紫外检测器技术要求</w:t>
      </w:r>
    </w:p>
    <w:p w14:paraId="1B563898">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1）最大数据采集率：≥250 Hz</w:t>
      </w:r>
    </w:p>
    <w:p w14:paraId="5C841155">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2）波长范围</w:t>
      </w:r>
      <w:r>
        <w:rPr>
          <w:rFonts w:hint="default" w:ascii="Times New Roman" w:hAnsi="Times New Roman" w:cs="Times New Roman" w:eastAsiaTheme="minorEastAsia"/>
          <w:sz w:val="24"/>
        </w:rPr>
        <w:tab/>
      </w:r>
      <w:r>
        <w:rPr>
          <w:rFonts w:hint="default" w:ascii="Times New Roman" w:hAnsi="Times New Roman" w:cs="Times New Roman" w:eastAsiaTheme="minorEastAsia"/>
          <w:sz w:val="24"/>
        </w:rPr>
        <w:t>190-800 nm</w:t>
      </w:r>
    </w:p>
    <w:p w14:paraId="73D7DF53">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3）线性：2.2 AU 时 &lt;5%</w:t>
      </w:r>
    </w:p>
    <w:p w14:paraId="0E9EAD45">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4）光源：氘灯、钨灯，均具温度监控功能，自动识别包括序列号在内的所有信息</w:t>
      </w:r>
    </w:p>
    <w:p w14:paraId="337A7C9A">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5）频带宽度：≥6 nm at 254 nm</w:t>
      </w:r>
    </w:p>
    <w:p w14:paraId="1FA5308A">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6）波长精度：± 0.1 nm</w:t>
      </w:r>
    </w:p>
    <w:p w14:paraId="3F0DD00B">
      <w:pPr>
        <w:widowControl/>
        <w:spacing w:line="360" w:lineRule="auto"/>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7）采集通道：≥2个</w:t>
      </w:r>
    </w:p>
    <w:p w14:paraId="2A2E371E">
      <w:pPr>
        <w:widowControl/>
        <w:spacing w:line="360" w:lineRule="auto"/>
        <w:contextualSpacing/>
        <w:rPr>
          <w:rFonts w:hint="default" w:ascii="Times New Roman" w:hAnsi="Times New Roman" w:cs="Times New Roman" w:eastAsiaTheme="minorEastAsia"/>
          <w:b/>
          <w:sz w:val="24"/>
        </w:rPr>
      </w:pPr>
      <w:r>
        <w:rPr>
          <w:rFonts w:hint="default" w:ascii="Times New Roman" w:hAnsi="Times New Roman" w:cs="Times New Roman" w:eastAsiaTheme="minorEastAsia"/>
          <w:b/>
          <w:sz w:val="24"/>
        </w:rPr>
        <w:t>2.5 本地化色谱分析软件</w:t>
      </w:r>
    </w:p>
    <w:p w14:paraId="24E9B595">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数据库：需支持甲骨文或者SQL Server关系型数据库，原始数据、仪器条件和处理参数等信息的关联由软件自动建立，需支持多种查询条件的组合，支持模糊查找与精确查找。</w:t>
      </w:r>
    </w:p>
    <w:p w14:paraId="73FAF4EA">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数据报告：需集成电子表格功能，支持单个报告和综合报告。</w:t>
      </w:r>
    </w:p>
    <w:p w14:paraId="02072C94">
      <w:pPr>
        <w:widowControl/>
        <w:spacing w:line="360" w:lineRule="auto"/>
        <w:contextualSpacing/>
        <w:rPr>
          <w:rFonts w:hint="default" w:ascii="Times New Roman" w:hAnsi="Times New Roman" w:cs="Times New Roman" w:eastAsiaTheme="minorEastAsia"/>
          <w:b/>
          <w:sz w:val="24"/>
        </w:rPr>
      </w:pPr>
      <w:r>
        <w:rPr>
          <w:rFonts w:hint="default" w:ascii="Times New Roman" w:hAnsi="Times New Roman" w:cs="Times New Roman" w:eastAsiaTheme="minorEastAsia"/>
          <w:b/>
          <w:sz w:val="24"/>
        </w:rPr>
        <w:t>2.6 数据处理系统</w:t>
      </w:r>
    </w:p>
    <w:p w14:paraId="485D9339">
      <w:pPr>
        <w:widowControl/>
        <w:spacing w:line="360" w:lineRule="auto"/>
        <w:ind w:firstLine="480" w:firstLineChars="200"/>
        <w:contextualSpacing/>
        <w:rPr>
          <w:rFonts w:hint="default" w:ascii="Times New Roman" w:hAnsi="Times New Roman" w:cs="Times New Roman" w:eastAsiaTheme="minorEastAsia"/>
          <w:bCs/>
          <w:sz w:val="24"/>
        </w:rPr>
      </w:pPr>
      <w:r>
        <w:rPr>
          <w:rFonts w:hint="default" w:ascii="Times New Roman" w:hAnsi="Times New Roman" w:cs="Times New Roman" w:eastAsiaTheme="minorEastAsia"/>
          <w:bCs/>
          <w:sz w:val="24"/>
        </w:rPr>
        <w:t>仪器操作和数据处理工作站（配备液相色谱分析软件、操作系统、办公软件组件）一台，专用终端（含软件）具备数据采集、数据处理、定性定量分析、建立数据库、谱库检索等功能；操作系统性能不低于Window 10（64bit）。</w:t>
      </w:r>
    </w:p>
    <w:p w14:paraId="4EA2BE9D">
      <w:pPr>
        <w:widowControl/>
        <w:spacing w:line="360" w:lineRule="auto"/>
        <w:contextualSpacing/>
        <w:rPr>
          <w:rFonts w:hint="default" w:ascii="Times New Roman" w:hAnsi="Times New Roman" w:cs="Times New Roman" w:eastAsiaTheme="minorEastAsia"/>
          <w:b/>
          <w:sz w:val="24"/>
        </w:rPr>
      </w:pPr>
      <w:r>
        <w:rPr>
          <w:rFonts w:hint="default" w:ascii="Times New Roman" w:hAnsi="Times New Roman" w:cs="Times New Roman" w:eastAsiaTheme="minorEastAsia"/>
          <w:b/>
          <w:sz w:val="24"/>
        </w:rPr>
        <w:t>2.7色谱柱</w:t>
      </w:r>
    </w:p>
    <w:p w14:paraId="1042CBB3">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C18柱，4.6×250mm</w:t>
      </w:r>
    </w:p>
    <w:p w14:paraId="4A77D874">
      <w:pPr>
        <w:widowControl/>
        <w:spacing w:line="360" w:lineRule="auto"/>
        <w:contextualSpacing/>
        <w:rPr>
          <w:rFonts w:hint="default" w:ascii="Times New Roman" w:hAnsi="Times New Roman" w:cs="Times New Roman" w:eastAsiaTheme="minorEastAsia"/>
          <w:b/>
          <w:bCs/>
          <w:sz w:val="24"/>
        </w:rPr>
      </w:pPr>
      <w:r>
        <w:rPr>
          <w:rFonts w:hint="default" w:ascii="Times New Roman" w:hAnsi="Times New Roman" w:cs="Times New Roman" w:eastAsiaTheme="minorEastAsia"/>
          <w:b/>
          <w:bCs/>
          <w:sz w:val="24"/>
        </w:rPr>
        <w:t>3、</w:t>
      </w:r>
      <w:r>
        <w:rPr>
          <w:rFonts w:hint="default" w:ascii="Times New Roman" w:hAnsi="Times New Roman" w:cs="Times New Roman" w:eastAsiaTheme="minorEastAsia"/>
          <w:sz w:val="24"/>
        </w:rPr>
        <w:t>★</w:t>
      </w:r>
      <w:r>
        <w:rPr>
          <w:rFonts w:hint="default" w:ascii="Times New Roman" w:hAnsi="Times New Roman" w:cs="Times New Roman" w:eastAsiaTheme="minorEastAsia"/>
          <w:b/>
          <w:bCs/>
          <w:sz w:val="24"/>
        </w:rPr>
        <w:t>配置要求</w:t>
      </w:r>
    </w:p>
    <w:p w14:paraId="3CE57541">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包含如下配置共2套：</w:t>
      </w:r>
    </w:p>
    <w:p w14:paraId="07A6CAEA">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二元高压泵1个</w:t>
      </w:r>
    </w:p>
    <w:p w14:paraId="5A08B205">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自动进样器1个</w:t>
      </w:r>
    </w:p>
    <w:p w14:paraId="5C0A3E30">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柱温箱1个</w:t>
      </w:r>
    </w:p>
    <w:p w14:paraId="7AA29314">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多波长紫外检测器1个</w:t>
      </w:r>
    </w:p>
    <w:p w14:paraId="1E926C3E">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本地化色谱分析软件1套</w:t>
      </w:r>
    </w:p>
    <w:p w14:paraId="0EA04741">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数据处理系统1套</w:t>
      </w:r>
    </w:p>
    <w:p w14:paraId="7E6DFC0D">
      <w:pPr>
        <w:widowControl/>
        <w:spacing w:line="360" w:lineRule="auto"/>
        <w:ind w:firstLine="480" w:firstLineChars="200"/>
        <w:rPr>
          <w:rFonts w:hint="default" w:ascii="Times New Roman" w:hAnsi="Times New Roman" w:cs="Times New Roman"/>
          <w:b/>
          <w:bCs/>
          <w:sz w:val="24"/>
        </w:rPr>
      </w:pPr>
      <w:bookmarkStart w:id="3" w:name="_Hlk194516234"/>
      <w:r>
        <w:rPr>
          <w:rFonts w:hint="default" w:ascii="Times New Roman" w:hAnsi="Times New Roman" w:cs="Times New Roman" w:eastAsiaTheme="minorEastAsia"/>
          <w:sz w:val="24"/>
        </w:rPr>
        <w:t>色谱柱</w:t>
      </w:r>
      <w:bookmarkEnd w:id="3"/>
      <w:r>
        <w:rPr>
          <w:rFonts w:hint="default" w:ascii="Times New Roman" w:hAnsi="Times New Roman" w:cs="Times New Roman" w:eastAsiaTheme="minorEastAsia"/>
          <w:sz w:val="24"/>
        </w:rPr>
        <w:t>2根</w:t>
      </w:r>
    </w:p>
    <w:p w14:paraId="48ACD6EF">
      <w:pPr>
        <w:widowControl/>
        <w:spacing w:line="360" w:lineRule="auto"/>
        <w:contextualSpacing/>
        <w:rPr>
          <w:rFonts w:hint="default" w:ascii="Times New Roman" w:hAnsi="Times New Roman" w:cs="Times New Roman" w:eastAsiaTheme="minorEastAsia"/>
          <w:b/>
          <w:bCs/>
          <w:sz w:val="24"/>
        </w:rPr>
      </w:pPr>
      <w:r>
        <w:rPr>
          <w:rFonts w:hint="default" w:ascii="Times New Roman" w:hAnsi="Times New Roman" w:cs="Times New Roman" w:eastAsiaTheme="minorEastAsia"/>
          <w:b/>
          <w:bCs/>
          <w:sz w:val="24"/>
        </w:rPr>
        <w:t>二、交付时间和交付地点</w:t>
      </w:r>
    </w:p>
    <w:p w14:paraId="3055CF5F">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交付时间：自合同签订之日起90天</w:t>
      </w:r>
    </w:p>
    <w:p w14:paraId="294E6744">
      <w:pPr>
        <w:widowControl/>
        <w:spacing w:line="360" w:lineRule="auto"/>
        <w:ind w:firstLine="480" w:firstLineChars="200"/>
        <w:contextualSpacing/>
        <w:rPr>
          <w:rFonts w:hint="default" w:ascii="Times New Roman" w:hAnsi="Times New Roman" w:cs="Times New Roman" w:eastAsiaTheme="minorEastAsia"/>
          <w:sz w:val="24"/>
        </w:rPr>
      </w:pPr>
      <w:r>
        <w:rPr>
          <w:rFonts w:hint="default" w:ascii="Times New Roman" w:hAnsi="Times New Roman" w:cs="Times New Roman" w:eastAsiaTheme="minorEastAsia"/>
          <w:sz w:val="24"/>
        </w:rPr>
        <w:t>交付地点：北京师范大学</w:t>
      </w:r>
    </w:p>
    <w:p w14:paraId="74FC7C57">
      <w:pPr>
        <w:spacing w:line="360" w:lineRule="auto"/>
        <w:jc w:val="left"/>
        <w:rPr>
          <w:rFonts w:hint="default" w:ascii="Times New Roman" w:hAnsi="Times New Roman" w:cs="Times New Roman"/>
          <w:b/>
          <w:sz w:val="24"/>
        </w:rPr>
      </w:pPr>
      <w:r>
        <w:rPr>
          <w:rFonts w:hint="default" w:ascii="Times New Roman" w:hAnsi="Times New Roman" w:cs="Times New Roman"/>
          <w:b/>
          <w:sz w:val="24"/>
        </w:rPr>
        <w:t>三、质保期</w:t>
      </w:r>
    </w:p>
    <w:p w14:paraId="385C2F35">
      <w:pPr>
        <w:spacing w:line="360" w:lineRule="auto"/>
        <w:ind w:firstLine="240" w:firstLineChars="100"/>
        <w:jc w:val="left"/>
        <w:rPr>
          <w:rFonts w:hint="default" w:ascii="Times New Roman" w:hAnsi="Times New Roman" w:cs="Times New Roman"/>
          <w:sz w:val="24"/>
        </w:rPr>
      </w:pPr>
      <w:r>
        <w:rPr>
          <w:rFonts w:hint="default" w:ascii="Times New Roman" w:hAnsi="Times New Roman" w:cs="Times New Roman"/>
          <w:sz w:val="24"/>
        </w:rPr>
        <w:t>超高分辨质谱仪和超高压液相色谱</w:t>
      </w:r>
      <w:bookmarkStart w:id="4" w:name="OLE_LINK8"/>
      <w:r>
        <w:rPr>
          <w:rFonts w:hint="default" w:ascii="Times New Roman" w:hAnsi="Times New Roman" w:cs="Times New Roman"/>
          <w:sz w:val="24"/>
        </w:rPr>
        <w:t>生产厂家原厂</w:t>
      </w:r>
      <w:bookmarkEnd w:id="4"/>
      <w:r>
        <w:rPr>
          <w:rFonts w:hint="default" w:ascii="Times New Roman" w:hAnsi="Times New Roman" w:cs="Times New Roman"/>
          <w:sz w:val="24"/>
        </w:rPr>
        <w:t>质保期1年。</w:t>
      </w:r>
    </w:p>
    <w:p w14:paraId="72AFB2E9">
      <w:pPr>
        <w:spacing w:line="360" w:lineRule="auto"/>
        <w:ind w:firstLine="240" w:firstLineChars="100"/>
        <w:jc w:val="left"/>
        <w:rPr>
          <w:rFonts w:hint="default" w:ascii="Times New Roman" w:hAnsi="Times New Roman" w:cs="Times New Roman"/>
          <w:sz w:val="24"/>
        </w:rPr>
      </w:pPr>
      <w:r>
        <w:rPr>
          <w:rFonts w:hint="default" w:ascii="Times New Roman" w:hAnsi="Times New Roman" w:cs="Times New Roman"/>
          <w:sz w:val="24"/>
        </w:rPr>
        <w:t>液相色谱-三重四极杆质谱联用仪质生产厂家原厂保期3年。</w:t>
      </w:r>
    </w:p>
    <w:p w14:paraId="0F10D393">
      <w:pPr>
        <w:numPr>
          <w:ilvl w:val="255"/>
          <w:numId w:val="0"/>
        </w:numPr>
        <w:spacing w:line="360" w:lineRule="auto"/>
        <w:jc w:val="left"/>
        <w:rPr>
          <w:rFonts w:hint="default" w:ascii="Times New Roman" w:hAnsi="Times New Roman" w:cs="Times New Roman"/>
          <w:b/>
          <w:bCs/>
          <w:sz w:val="24"/>
        </w:rPr>
      </w:pPr>
      <w:r>
        <w:rPr>
          <w:rFonts w:hint="default" w:ascii="Times New Roman" w:hAnsi="Times New Roman" w:cs="Times New Roman"/>
          <w:b/>
          <w:bCs/>
          <w:sz w:val="24"/>
        </w:rPr>
        <w:t>四、售后服务要求</w:t>
      </w:r>
    </w:p>
    <w:p w14:paraId="79A37A5F">
      <w:pPr>
        <w:numPr>
          <w:ilvl w:val="255"/>
          <w:numId w:val="0"/>
        </w:numPr>
        <w:spacing w:line="360" w:lineRule="auto"/>
        <w:ind w:firstLine="480" w:firstLineChars="200"/>
        <w:jc w:val="left"/>
        <w:rPr>
          <w:rFonts w:hint="default" w:ascii="Times New Roman" w:hAnsi="Times New Roman" w:cs="Times New Roman"/>
          <w:sz w:val="24"/>
        </w:rPr>
      </w:pPr>
      <w:bookmarkStart w:id="5" w:name="OLE_LINK2"/>
      <w:r>
        <w:rPr>
          <w:rFonts w:hint="default" w:ascii="Times New Roman" w:hAnsi="Times New Roman" w:cs="Times New Roman"/>
          <w:iCs/>
          <w:sz w:val="24"/>
        </w:rPr>
        <w:t>保修及售后服务执行国家标准，另做到30分钟电话响应，48小时上门，7×24小时服务，如当日无法解决问题，需提供备用设备，确保不影响正常使用。保修期内所有维修服务均由投标人上门取、送、修。交货后 2个月内，如有质量问题，设备整机无条件退货。保修期过后需换件时，应提供原装器件。</w:t>
      </w:r>
    </w:p>
    <w:bookmarkEnd w:id="5"/>
    <w:p w14:paraId="1B2774F5">
      <w:pPr>
        <w:tabs>
          <w:tab w:val="left" w:pos="274"/>
        </w:tabs>
        <w:spacing w:line="360" w:lineRule="auto"/>
        <w:jc w:val="left"/>
        <w:rPr>
          <w:rFonts w:hint="default" w:ascii="Times New Roman" w:hAnsi="Times New Roman" w:cs="Times New Roman"/>
          <w:b/>
          <w:bCs/>
          <w:sz w:val="24"/>
        </w:rPr>
      </w:pPr>
      <w:r>
        <w:rPr>
          <w:rFonts w:hint="default" w:ascii="Times New Roman" w:hAnsi="Times New Roman" w:cs="Times New Roman"/>
          <w:b/>
          <w:bCs/>
          <w:sz w:val="24"/>
        </w:rPr>
        <w:t>五、培训要求</w:t>
      </w:r>
    </w:p>
    <w:p w14:paraId="79E4266F">
      <w:pPr>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rPr>
        <w:t>1、提供现场技术培训。</w:t>
      </w:r>
    </w:p>
    <w:p w14:paraId="00C8FE67">
      <w:pPr>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rPr>
        <w:t>2、培训内容：详细介绍设备的基本原理、功能、安装、调试、操作使用及保养、维护和检修等方面的内容。</w:t>
      </w:r>
    </w:p>
    <w:p w14:paraId="2636049F">
      <w:pPr>
        <w:numPr>
          <w:ilvl w:val="255"/>
          <w:numId w:val="0"/>
        </w:numPr>
        <w:spacing w:line="360" w:lineRule="auto"/>
        <w:ind w:firstLine="480" w:firstLineChars="200"/>
        <w:jc w:val="left"/>
        <w:rPr>
          <w:rFonts w:hint="default" w:ascii="Times New Roman" w:hAnsi="Times New Roman" w:cs="Times New Roman"/>
          <w:iCs/>
          <w:sz w:val="24"/>
        </w:rPr>
      </w:pPr>
      <w:r>
        <w:rPr>
          <w:rFonts w:hint="default" w:ascii="Times New Roman" w:hAnsi="Times New Roman" w:cs="Times New Roman"/>
          <w:sz w:val="24"/>
        </w:rPr>
        <w:t>3、培训目的：保证参加培训的人员能够掌握设备的基本工作原理，能独立进行操作，并</w:t>
      </w:r>
      <w:r>
        <w:rPr>
          <w:rFonts w:hint="default" w:ascii="Times New Roman" w:hAnsi="Times New Roman" w:cs="Times New Roman"/>
          <w:iCs/>
          <w:sz w:val="24"/>
        </w:rPr>
        <w:t>通过实践逐步掌握简单的维护和检修技能。</w:t>
      </w:r>
    </w:p>
    <w:p w14:paraId="4994E913">
      <w:pPr>
        <w:numPr>
          <w:ilvl w:val="255"/>
          <w:numId w:val="0"/>
        </w:numPr>
        <w:spacing w:line="360" w:lineRule="auto"/>
        <w:ind w:firstLine="480" w:firstLineChars="200"/>
        <w:jc w:val="left"/>
        <w:rPr>
          <w:rFonts w:hint="default" w:ascii="Times New Roman" w:hAnsi="Times New Roman" w:cs="Times New Roman"/>
          <w:iCs/>
          <w:sz w:val="24"/>
        </w:rPr>
      </w:pPr>
      <w:r>
        <w:rPr>
          <w:rFonts w:hint="default" w:ascii="Times New Roman" w:hAnsi="Times New Roman" w:cs="Times New Roman"/>
          <w:iCs/>
          <w:sz w:val="24"/>
        </w:rPr>
        <w:t>4、培训时间：由双方商量确定。</w:t>
      </w:r>
    </w:p>
    <w:p w14:paraId="35D6BB58">
      <w:pPr>
        <w:numPr>
          <w:ilvl w:val="255"/>
          <w:numId w:val="0"/>
        </w:numPr>
        <w:spacing w:line="360" w:lineRule="auto"/>
        <w:ind w:firstLine="480" w:firstLineChars="200"/>
        <w:jc w:val="left"/>
        <w:rPr>
          <w:rFonts w:hint="default" w:ascii="Times New Roman" w:hAnsi="Times New Roman" w:cs="Times New Roman"/>
          <w:iCs/>
          <w:sz w:val="24"/>
        </w:rPr>
      </w:pPr>
      <w:r>
        <w:rPr>
          <w:rFonts w:hint="default" w:ascii="Times New Roman" w:hAnsi="Times New Roman" w:cs="Times New Roman"/>
          <w:iCs/>
          <w:sz w:val="24"/>
        </w:rPr>
        <w:t>5、投标人需要提供详细的人员培训方案。</w:t>
      </w:r>
    </w:p>
    <w:p w14:paraId="28FD5A56">
      <w:pPr>
        <w:numPr>
          <w:ilvl w:val="255"/>
          <w:numId w:val="0"/>
        </w:numPr>
        <w:spacing w:line="360" w:lineRule="auto"/>
        <w:jc w:val="left"/>
        <w:rPr>
          <w:rFonts w:hint="default" w:ascii="Times New Roman" w:hAnsi="Times New Roman" w:cs="Times New Roman"/>
          <w:b/>
          <w:bCs/>
          <w:iCs/>
          <w:sz w:val="24"/>
        </w:rPr>
      </w:pPr>
      <w:r>
        <w:rPr>
          <w:rFonts w:hint="default" w:ascii="Times New Roman" w:hAnsi="Times New Roman" w:cs="Times New Roman"/>
          <w:b/>
          <w:bCs/>
          <w:iCs/>
          <w:sz w:val="24"/>
        </w:rPr>
        <w:t>六、人员要求</w:t>
      </w:r>
    </w:p>
    <w:p w14:paraId="281EDFC9">
      <w:pPr>
        <w:numPr>
          <w:ilvl w:val="255"/>
          <w:numId w:val="0"/>
        </w:numPr>
        <w:spacing w:line="360" w:lineRule="auto"/>
        <w:ind w:firstLine="480" w:firstLineChars="200"/>
        <w:jc w:val="left"/>
        <w:rPr>
          <w:rFonts w:hint="default" w:ascii="Times New Roman" w:hAnsi="Times New Roman" w:cs="Times New Roman"/>
          <w:iCs/>
          <w:sz w:val="24"/>
        </w:rPr>
      </w:pPr>
      <w:r>
        <w:rPr>
          <w:rFonts w:hint="default" w:ascii="Times New Roman" w:hAnsi="Times New Roman" w:cs="Times New Roman"/>
          <w:iCs/>
          <w:sz w:val="24"/>
        </w:rPr>
        <w:t>投标人拟投入本项目的团队成员应具备类似的项目工作经验，团队成员结构合理。</w:t>
      </w:r>
    </w:p>
    <w:p w14:paraId="5B02A7F7">
      <w:pPr>
        <w:numPr>
          <w:ilvl w:val="255"/>
          <w:numId w:val="0"/>
        </w:numPr>
        <w:spacing w:line="360" w:lineRule="auto"/>
        <w:jc w:val="left"/>
        <w:rPr>
          <w:rFonts w:hint="default" w:ascii="Times New Roman" w:hAnsi="Times New Roman" w:cs="Times New Roman"/>
          <w:b/>
          <w:bCs/>
          <w:iCs/>
          <w:sz w:val="24"/>
        </w:rPr>
      </w:pPr>
      <w:r>
        <w:rPr>
          <w:rFonts w:hint="default" w:ascii="Times New Roman" w:hAnsi="Times New Roman" w:cs="Times New Roman"/>
          <w:b/>
          <w:bCs/>
          <w:iCs/>
          <w:sz w:val="24"/>
        </w:rPr>
        <w:t>七、包装运输要求</w:t>
      </w:r>
    </w:p>
    <w:p w14:paraId="074F7C38">
      <w:pPr>
        <w:numPr>
          <w:ilvl w:val="255"/>
          <w:numId w:val="0"/>
        </w:numPr>
        <w:spacing w:line="360" w:lineRule="auto"/>
        <w:ind w:firstLine="480" w:firstLineChars="200"/>
        <w:jc w:val="left"/>
        <w:rPr>
          <w:rFonts w:hint="default" w:ascii="Times New Roman" w:hAnsi="Times New Roman" w:cs="Times New Roman"/>
          <w:iCs/>
          <w:sz w:val="24"/>
        </w:rPr>
      </w:pPr>
      <w:r>
        <w:rPr>
          <w:rFonts w:hint="default" w:ascii="Times New Roman" w:hAnsi="Times New Roman" w:cs="Times New Roman"/>
          <w:iCs/>
          <w:sz w:val="24"/>
        </w:rPr>
        <w:t>乙方应对货物进行妥善包装，以满足合同货物运至甲方指定地点及在甲方指定地点保管的需要。包装应采取防潮、防晒、防锈、防腐蚀、防震动及防止其它损坏的必要保护措施，从而保护合同货物能够经受多次搬运、装卸、长途运输并适宜保管。</w:t>
      </w:r>
    </w:p>
    <w:p w14:paraId="7EB37C4B">
      <w:pPr>
        <w:numPr>
          <w:ilvl w:val="255"/>
          <w:numId w:val="0"/>
        </w:numPr>
        <w:spacing w:line="360" w:lineRule="auto"/>
        <w:jc w:val="left"/>
        <w:rPr>
          <w:rFonts w:hint="default" w:ascii="Times New Roman" w:hAnsi="Times New Roman" w:cs="Times New Roman"/>
          <w:b/>
          <w:bCs/>
          <w:iCs/>
          <w:sz w:val="24"/>
        </w:rPr>
      </w:pPr>
      <w:r>
        <w:rPr>
          <w:rFonts w:hint="default" w:ascii="Times New Roman" w:hAnsi="Times New Roman" w:cs="Times New Roman"/>
          <w:b/>
          <w:bCs/>
          <w:iCs/>
          <w:sz w:val="24"/>
        </w:rPr>
        <w:t>八、验收标准</w:t>
      </w:r>
    </w:p>
    <w:p w14:paraId="46F0F23E">
      <w:pPr>
        <w:numPr>
          <w:ilvl w:val="255"/>
          <w:numId w:val="0"/>
        </w:numPr>
        <w:spacing w:line="360" w:lineRule="auto"/>
        <w:ind w:firstLine="480" w:firstLineChars="200"/>
        <w:jc w:val="left"/>
        <w:rPr>
          <w:rFonts w:hint="default" w:ascii="Times New Roman" w:hAnsi="Times New Roman" w:cs="Times New Roman"/>
          <w:sz w:val="24"/>
        </w:rPr>
      </w:pPr>
      <w:r>
        <w:rPr>
          <w:rFonts w:hint="default" w:ascii="Times New Roman" w:hAnsi="Times New Roman" w:cs="Times New Roman"/>
          <w:iCs/>
          <w:sz w:val="24"/>
        </w:rPr>
        <w:t>货物运抵现场后，采购人按照技术参数逐条进行验收，双方签署验收报告。</w:t>
      </w:r>
      <w:r>
        <w:rPr>
          <w:rFonts w:hint="default" w:ascii="Times New Roman" w:hAnsi="Times New Roman" w:cs="Times New Roman"/>
          <w:sz w:val="24"/>
        </w:rPr>
        <w:t>如果货物不能达到投标人投标文件中的响应规格，采购人可以拒绝接受该货物。</w:t>
      </w:r>
    </w:p>
    <w:p w14:paraId="0046873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378130"/>
    <w:multiLevelType w:val="singleLevel"/>
    <w:tmpl w:val="A7378130"/>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C92944"/>
    <w:rsid w:val="72D93FA9"/>
    <w:rsid w:val="7CB654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tabs>
        <w:tab w:val="left" w:pos="567"/>
      </w:tabs>
      <w:spacing w:before="120" w:line="22" w:lineRule="atLeast"/>
    </w:pPr>
    <w:rPr>
      <w:rFonts w:ascii="宋体" w:hAnsi="宋体"/>
      <w:sz w:val="24"/>
    </w:rPr>
  </w:style>
  <w:style w:type="paragraph" w:styleId="3">
    <w:name w:val="Normal Indent"/>
    <w:basedOn w:val="1"/>
    <w:next w:val="1"/>
    <w:qFormat/>
    <w:uiPriority w:val="0"/>
    <w:pPr>
      <w:autoSpaceDE w:val="0"/>
      <w:autoSpaceDN w:val="0"/>
      <w:adjustRightInd w:val="0"/>
      <w:ind w:firstLine="420"/>
      <w:jc w:val="left"/>
    </w:pPr>
    <w:rPr>
      <w:rFonts w:ascii="宋体"/>
      <w:sz w:val="24"/>
    </w:rPr>
  </w:style>
  <w:style w:type="paragraph" w:styleId="6">
    <w:name w:val="List Paragraph"/>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4422</Words>
  <Characters>5782</Characters>
  <Lines>0</Lines>
  <Paragraphs>0</Paragraphs>
  <TotalTime>0</TotalTime>
  <ScaleCrop>false</ScaleCrop>
  <LinksUpToDate>false</LinksUpToDate>
  <CharactersWithSpaces>6097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2025-03-12T07:18:00Z</dcterms:created>
  <dc:creator>13792</dc:creator>
  <cp:lastModifiedBy>清</cp:lastModifiedBy>
  <dcterms:modified xsi:type="dcterms:W3CDTF">2025-05-06T03:46:57Z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eyJoZGlkIjoiMzdlNzFhZTdiZjFiMzVjNWMwNGM1OTUxNjEwOWJhMGUiLCJ1c2VySWQiOiI1Nzg0OTc3ODYifQ==</vt:lpwstr>
  </property>
  <property fmtid="{D5CDD505-2E9C-101B-9397-08002B2CF9AE}" pid="4" name="ICV">
    <vt:lpwstr>7C6EB84D883F488980FBD13A015B91F9_13</vt:lpwstr>
  </property>
</Properties>
</file>