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F8364C">
      <w:pPr>
        <w:adjustRightInd w:val="0"/>
        <w:snapToGrid w:val="0"/>
        <w:spacing w:after="156" w:afterLines="50" w:line="360" w:lineRule="auto"/>
        <w:jc w:val="center"/>
        <w:outlineLvl w:val="0"/>
        <w:rPr>
          <w:rFonts w:ascii="黑体" w:eastAsia="黑体"/>
          <w:b/>
          <w:kern w:val="44"/>
          <w:sz w:val="48"/>
          <w:szCs w:val="20"/>
        </w:rPr>
      </w:pPr>
      <w:bookmarkStart w:id="1" w:name="_GoBack"/>
      <w:bookmarkEnd w:id="1"/>
      <w:bookmarkStart w:id="0" w:name="_Toc129880039"/>
      <w:r>
        <w:rPr>
          <w:rFonts w:hint="eastAsia" w:ascii="宋体" w:hAnsi="宋体"/>
          <w:b/>
          <w:sz w:val="30"/>
          <w:szCs w:val="30"/>
        </w:rPr>
        <w:t>第八部分 采购需求</w:t>
      </w:r>
      <w:bookmarkEnd w:id="0"/>
    </w:p>
    <w:p w14:paraId="0D2777FC">
      <w:pPr>
        <w:adjustRightInd w:val="0"/>
        <w:snapToGrid w:val="0"/>
        <w:spacing w:before="156" w:beforeLines="50" w:after="156" w:afterLines="50" w:line="360" w:lineRule="auto"/>
        <w:jc w:val="center"/>
        <w:rPr>
          <w:rFonts w:ascii="宋体" w:hAnsi="宋体"/>
          <w:b/>
          <w:sz w:val="24"/>
        </w:rPr>
      </w:pPr>
      <w:r>
        <w:rPr>
          <w:rFonts w:hint="eastAsia" w:ascii="宋体" w:hAnsi="宋体"/>
          <w:b/>
          <w:sz w:val="24"/>
        </w:rPr>
        <w:t>货物需求一览表</w:t>
      </w:r>
    </w:p>
    <w:p w14:paraId="16AA18FF">
      <w:pPr>
        <w:adjustRightInd w:val="0"/>
        <w:snapToGrid w:val="0"/>
        <w:jc w:val="center"/>
        <w:rPr>
          <w:rFonts w:ascii="宋体" w:hAnsi="宋体"/>
          <w:b/>
          <w:sz w:val="30"/>
          <w:szCs w:val="30"/>
        </w:rPr>
      </w:pPr>
    </w:p>
    <w:tbl>
      <w:tblPr>
        <w:tblStyle w:val="4"/>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70EAB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vAlign w:val="center"/>
          </w:tcPr>
          <w:p w14:paraId="597DC388">
            <w:pPr>
              <w:jc w:val="center"/>
              <w:rPr>
                <w:rFonts w:ascii="宋体" w:hAnsi="Bookman Old Style"/>
                <w:sz w:val="24"/>
              </w:rPr>
            </w:pPr>
            <w:r>
              <w:rPr>
                <w:rFonts w:hint="eastAsia" w:ascii="宋体" w:hAnsi="Bookman Old Style"/>
                <w:sz w:val="24"/>
              </w:rPr>
              <w:t>包号</w:t>
            </w:r>
          </w:p>
        </w:tc>
        <w:tc>
          <w:tcPr>
            <w:tcW w:w="2357" w:type="dxa"/>
            <w:vAlign w:val="center"/>
          </w:tcPr>
          <w:p w14:paraId="323F808F">
            <w:pPr>
              <w:jc w:val="center"/>
              <w:rPr>
                <w:rFonts w:ascii="宋体" w:hAnsi="Bookman Old Style"/>
                <w:sz w:val="24"/>
              </w:rPr>
            </w:pPr>
            <w:r>
              <w:rPr>
                <w:rFonts w:hint="eastAsia" w:ascii="宋体" w:hAnsi="Bookman Old Style"/>
                <w:sz w:val="24"/>
              </w:rPr>
              <w:t>货物名称</w:t>
            </w:r>
          </w:p>
        </w:tc>
        <w:tc>
          <w:tcPr>
            <w:tcW w:w="1329" w:type="dxa"/>
            <w:vAlign w:val="center"/>
          </w:tcPr>
          <w:p w14:paraId="7BFAE28C">
            <w:pPr>
              <w:jc w:val="center"/>
              <w:rPr>
                <w:rFonts w:ascii="宋体" w:hAnsi="Bookman Old Style"/>
                <w:sz w:val="24"/>
              </w:rPr>
            </w:pPr>
            <w:r>
              <w:rPr>
                <w:rFonts w:hint="eastAsia" w:ascii="宋体" w:hAnsi="Bookman Old Style"/>
                <w:sz w:val="24"/>
              </w:rPr>
              <w:t>数量</w:t>
            </w:r>
          </w:p>
        </w:tc>
        <w:tc>
          <w:tcPr>
            <w:tcW w:w="2470" w:type="dxa"/>
            <w:vAlign w:val="center"/>
          </w:tcPr>
          <w:p w14:paraId="27F1BEFF">
            <w:pPr>
              <w:jc w:val="center"/>
              <w:rPr>
                <w:rFonts w:ascii="宋体" w:hAnsi="Bookman Old Style"/>
                <w:sz w:val="24"/>
              </w:rPr>
            </w:pPr>
            <w:r>
              <w:rPr>
                <w:rFonts w:hint="eastAsia" w:ascii="宋体" w:hAnsi="Bookman Old Style"/>
                <w:sz w:val="24"/>
              </w:rPr>
              <w:t>是否接受进口</w:t>
            </w:r>
          </w:p>
        </w:tc>
      </w:tr>
      <w:tr w14:paraId="247AE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vAlign w:val="center"/>
          </w:tcPr>
          <w:p w14:paraId="34DE5D46">
            <w:pPr>
              <w:jc w:val="center"/>
              <w:rPr>
                <w:rFonts w:ascii="宋体"/>
                <w:sz w:val="24"/>
              </w:rPr>
            </w:pPr>
            <w:r>
              <w:rPr>
                <w:rFonts w:hint="eastAsia" w:ascii="宋体"/>
                <w:sz w:val="24"/>
              </w:rPr>
              <w:t>1</w:t>
            </w:r>
          </w:p>
        </w:tc>
        <w:tc>
          <w:tcPr>
            <w:tcW w:w="2357" w:type="dxa"/>
            <w:vAlign w:val="center"/>
          </w:tcPr>
          <w:p w14:paraId="670757F6">
            <w:pPr>
              <w:jc w:val="center"/>
              <w:rPr>
                <w:rFonts w:ascii="Bookman Old Style" w:hAnsi="Bookman Old Style"/>
                <w:sz w:val="24"/>
              </w:rPr>
            </w:pPr>
            <w:r>
              <w:rPr>
                <w:rFonts w:hint="eastAsia" w:ascii="Bookman Old Style" w:hAnsi="Bookman Old Style"/>
                <w:sz w:val="24"/>
              </w:rPr>
              <w:t>荧光光谱仪</w:t>
            </w:r>
          </w:p>
        </w:tc>
        <w:tc>
          <w:tcPr>
            <w:tcW w:w="1329" w:type="dxa"/>
            <w:vAlign w:val="center"/>
          </w:tcPr>
          <w:p w14:paraId="7C7521E6">
            <w:pPr>
              <w:jc w:val="center"/>
              <w:rPr>
                <w:rFonts w:ascii="宋体" w:hAnsi="Bookman Old Style"/>
                <w:sz w:val="24"/>
              </w:rPr>
            </w:pPr>
            <w:r>
              <w:rPr>
                <w:rFonts w:hint="eastAsia" w:ascii="宋体" w:hAnsi="Bookman Old Style"/>
                <w:sz w:val="24"/>
              </w:rPr>
              <w:t>1套</w:t>
            </w:r>
          </w:p>
        </w:tc>
        <w:tc>
          <w:tcPr>
            <w:tcW w:w="2470" w:type="dxa"/>
            <w:vAlign w:val="center"/>
          </w:tcPr>
          <w:p w14:paraId="3D0F2F20">
            <w:pPr>
              <w:jc w:val="center"/>
              <w:rPr>
                <w:rFonts w:ascii="宋体" w:hAnsi="Bookman Old Style"/>
                <w:sz w:val="24"/>
              </w:rPr>
            </w:pPr>
            <w:r>
              <w:rPr>
                <w:rFonts w:hint="eastAsia" w:ascii="宋体" w:hAnsi="Bookman Old Style"/>
                <w:sz w:val="24"/>
              </w:rPr>
              <w:t>是</w:t>
            </w:r>
          </w:p>
        </w:tc>
      </w:tr>
    </w:tbl>
    <w:p w14:paraId="57A865C3">
      <w:pPr>
        <w:adjustRightInd w:val="0"/>
        <w:snapToGrid w:val="0"/>
        <w:jc w:val="center"/>
        <w:rPr>
          <w:rFonts w:ascii="宋体" w:hAnsi="宋体"/>
          <w:b/>
          <w:sz w:val="30"/>
          <w:szCs w:val="30"/>
        </w:rPr>
      </w:pPr>
    </w:p>
    <w:p w14:paraId="1E0801B6">
      <w:pPr>
        <w:adjustRightInd w:val="0"/>
        <w:snapToGrid w:val="0"/>
        <w:jc w:val="center"/>
        <w:rPr>
          <w:rFonts w:ascii="宋体" w:hAnsi="宋体"/>
          <w:b/>
          <w:sz w:val="30"/>
          <w:szCs w:val="30"/>
        </w:rPr>
      </w:pPr>
    </w:p>
    <w:p w14:paraId="222B99C4">
      <w:pPr>
        <w:rPr>
          <w:rFonts w:ascii="Bookman Old Style" w:hAnsi="Bookman Old Style"/>
          <w:sz w:val="24"/>
        </w:rPr>
      </w:pPr>
      <w:r>
        <w:rPr>
          <w:rFonts w:hint="eastAsia"/>
          <w:sz w:val="24"/>
        </w:rPr>
        <w:t>注：投标人须对上述投标内容中完整的一包或几包进行投标，</w:t>
      </w:r>
      <w:r>
        <w:rPr>
          <w:rFonts w:hint="eastAsia" w:ascii="Bookman Old Style" w:hAnsi="Bookman Old Style"/>
          <w:sz w:val="24"/>
        </w:rPr>
        <w:t>不完整的投标将视为非响应性投标予以拒绝。</w:t>
      </w:r>
    </w:p>
    <w:p w14:paraId="0CA38CA0">
      <w:pPr>
        <w:adjustRightInd w:val="0"/>
        <w:snapToGrid w:val="0"/>
        <w:rPr>
          <w:rFonts w:ascii="宋体" w:hAnsi="宋体"/>
          <w:szCs w:val="21"/>
        </w:rPr>
      </w:pPr>
    </w:p>
    <w:p w14:paraId="6D67B9DF">
      <w:pPr>
        <w:adjustRightInd w:val="0"/>
        <w:snapToGrid w:val="0"/>
        <w:rPr>
          <w:rFonts w:ascii="宋体" w:hAnsi="宋体"/>
          <w:szCs w:val="21"/>
        </w:rPr>
      </w:pPr>
    </w:p>
    <w:p w14:paraId="6FD12944">
      <w:pPr>
        <w:adjustRightInd w:val="0"/>
        <w:snapToGrid w:val="0"/>
        <w:rPr>
          <w:rFonts w:ascii="宋体" w:hAnsi="宋体"/>
          <w:szCs w:val="21"/>
        </w:rPr>
      </w:pPr>
    </w:p>
    <w:p w14:paraId="4C6255A5">
      <w:pPr>
        <w:adjustRightInd w:val="0"/>
        <w:snapToGrid w:val="0"/>
        <w:spacing w:line="360" w:lineRule="auto"/>
        <w:rPr>
          <w:rFonts w:ascii="宋体" w:hAnsi="宋体"/>
          <w:b/>
          <w:sz w:val="28"/>
          <w:szCs w:val="28"/>
        </w:rPr>
      </w:pPr>
      <w:r>
        <w:rPr>
          <w:rFonts w:ascii="宋体" w:hAnsi="宋体"/>
          <w:b/>
          <w:sz w:val="30"/>
          <w:szCs w:val="30"/>
        </w:rPr>
        <w:br w:type="page"/>
      </w:r>
      <w:r>
        <w:rPr>
          <w:rFonts w:hint="eastAsia" w:ascii="宋体" w:hAnsi="宋体"/>
          <w:b/>
          <w:sz w:val="28"/>
          <w:szCs w:val="28"/>
        </w:rPr>
        <w:t>一、总则</w:t>
      </w:r>
    </w:p>
    <w:p w14:paraId="1189A07E">
      <w:pPr>
        <w:adjustRightInd w:val="0"/>
        <w:snapToGrid w:val="0"/>
        <w:spacing w:line="360" w:lineRule="auto"/>
        <w:rPr>
          <w:rFonts w:ascii="宋体" w:hAnsi="宋体"/>
          <w:b/>
          <w:sz w:val="28"/>
          <w:szCs w:val="28"/>
        </w:rPr>
      </w:pPr>
      <w:r>
        <w:rPr>
          <w:rFonts w:ascii="宋体" w:hAnsi="宋体"/>
          <w:b/>
          <w:sz w:val="28"/>
          <w:szCs w:val="28"/>
        </w:rPr>
        <w:t>1</w:t>
      </w:r>
      <w:r>
        <w:rPr>
          <w:rFonts w:hint="eastAsia" w:ascii="宋体" w:hAnsi="宋体"/>
          <w:b/>
          <w:sz w:val="28"/>
          <w:szCs w:val="28"/>
        </w:rPr>
        <w:t>、投标要求</w:t>
      </w:r>
    </w:p>
    <w:p w14:paraId="6AE8AADF">
      <w:pPr>
        <w:spacing w:line="360" w:lineRule="auto"/>
        <w:ind w:left="554" w:hanging="554" w:hangingChars="231"/>
        <w:rPr>
          <w:rFonts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14:paraId="461774EA">
      <w:pPr>
        <w:spacing w:line="360" w:lineRule="auto"/>
        <w:ind w:left="554" w:hanging="554" w:hangingChars="231"/>
        <w:rPr>
          <w:rFonts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3C208E20">
      <w:pPr>
        <w:spacing w:line="360" w:lineRule="auto"/>
        <w:ind w:left="554" w:hanging="554" w:hangingChars="231"/>
        <w:rPr>
          <w:rFonts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14:paraId="3B145053">
      <w:pPr>
        <w:spacing w:line="360" w:lineRule="auto"/>
        <w:ind w:left="554" w:hanging="554" w:hangingChars="231"/>
        <w:rPr>
          <w:rFonts w:ascii="宋体"/>
          <w:sz w:val="24"/>
        </w:rPr>
      </w:pPr>
      <w:r>
        <w:rPr>
          <w:rFonts w:hint="eastAsia" w:ascii="宋体"/>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5FF7C4F3">
      <w:pPr>
        <w:adjustRightInd w:val="0"/>
        <w:snapToGrid w:val="0"/>
        <w:spacing w:line="360" w:lineRule="auto"/>
        <w:rPr>
          <w:rFonts w:ascii="宋体" w:hAnsi="宋体"/>
          <w:b/>
          <w:sz w:val="28"/>
          <w:szCs w:val="28"/>
        </w:rPr>
      </w:pPr>
      <w:r>
        <w:rPr>
          <w:rFonts w:hint="eastAsia" w:ascii="宋体" w:hAnsi="宋体"/>
          <w:b/>
          <w:sz w:val="28"/>
          <w:szCs w:val="28"/>
        </w:rPr>
        <w:t>2、评标标准</w:t>
      </w:r>
    </w:p>
    <w:p w14:paraId="2A279611">
      <w:pPr>
        <w:spacing w:line="360" w:lineRule="auto"/>
        <w:ind w:left="554" w:hanging="554" w:hangingChars="231"/>
        <w:rPr>
          <w:rFonts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14:paraId="6BCE3D51">
      <w:pPr>
        <w:spacing w:line="360" w:lineRule="auto"/>
        <w:ind w:left="554" w:hanging="554" w:hangingChars="231"/>
        <w:rPr>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p>
    <w:p w14:paraId="667C963E">
      <w:pPr>
        <w:spacing w:line="360" w:lineRule="auto"/>
        <w:ind w:left="554" w:hanging="554" w:hangingChars="231"/>
        <w:rPr>
          <w:rFonts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14:paraId="2D60EF86">
      <w:pPr>
        <w:spacing w:line="360" w:lineRule="auto"/>
        <w:ind w:left="554" w:hanging="554" w:hangingChars="231"/>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14:paraId="2733D363">
      <w:pPr>
        <w:spacing w:line="360" w:lineRule="auto"/>
        <w:ind w:left="554" w:hanging="554" w:hangingChars="231"/>
        <w:rPr>
          <w:rFonts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14:paraId="1CFEA52E">
      <w:pPr>
        <w:adjustRightInd w:val="0"/>
        <w:snapToGrid w:val="0"/>
        <w:spacing w:line="360" w:lineRule="auto"/>
        <w:rPr>
          <w:rFonts w:ascii="宋体" w:hAnsi="宋体"/>
          <w:b/>
          <w:sz w:val="28"/>
          <w:szCs w:val="28"/>
        </w:rPr>
      </w:pPr>
      <w:r>
        <w:rPr>
          <w:rFonts w:hint="eastAsia" w:ascii="宋体" w:hAnsi="宋体"/>
          <w:b/>
          <w:sz w:val="28"/>
          <w:szCs w:val="28"/>
        </w:rPr>
        <w:t>3、工作条件</w:t>
      </w:r>
    </w:p>
    <w:p w14:paraId="7901D215">
      <w:pPr>
        <w:spacing w:after="312" w:afterLines="100" w:line="360" w:lineRule="auto"/>
        <w:rPr>
          <w:rFonts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14:paraId="38D03D1C">
      <w:pPr>
        <w:spacing w:line="360" w:lineRule="auto"/>
        <w:ind w:left="554" w:hanging="554" w:hangingChars="231"/>
        <w:rPr>
          <w:rFonts w:ascii="宋体" w:hAnsi="宋体"/>
          <w:sz w:val="24"/>
        </w:rPr>
      </w:pPr>
      <w:r>
        <w:rPr>
          <w:rFonts w:hint="eastAsia" w:ascii="宋体" w:hAnsi="宋体"/>
          <w:sz w:val="24"/>
        </w:rPr>
        <w:t>3.1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14:paraId="2770C8B1">
      <w:pPr>
        <w:spacing w:line="360" w:lineRule="auto"/>
        <w:ind w:left="554" w:hanging="554" w:hangingChars="231"/>
        <w:rPr>
          <w:rFonts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14:paraId="42AF5057">
      <w:pPr>
        <w:spacing w:line="360" w:lineRule="auto"/>
        <w:ind w:left="554" w:hanging="554" w:hangingChars="231"/>
        <w:rPr>
          <w:rFonts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14:paraId="3C77BD39">
      <w:pPr>
        <w:spacing w:line="360" w:lineRule="auto"/>
        <w:ind w:left="554" w:hanging="554" w:hangingChars="231"/>
        <w:rPr>
          <w:rFonts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14:paraId="6F9BFA0A">
      <w:pPr>
        <w:rPr>
          <w:rFonts w:eastAsia="黑体"/>
          <w:b/>
          <w:bCs/>
          <w:kern w:val="44"/>
          <w:sz w:val="24"/>
        </w:rPr>
      </w:pPr>
    </w:p>
    <w:p w14:paraId="53177F56">
      <w:pPr>
        <w:adjustRightInd w:val="0"/>
        <w:snapToGrid w:val="0"/>
        <w:spacing w:line="360" w:lineRule="auto"/>
        <w:rPr>
          <w:rFonts w:ascii="宋体" w:hAnsi="宋体"/>
          <w:b/>
          <w:sz w:val="28"/>
          <w:szCs w:val="28"/>
        </w:rPr>
      </w:pPr>
      <w:r>
        <w:rPr>
          <w:rFonts w:hint="eastAsia" w:ascii="宋体" w:hAnsi="宋体"/>
          <w:b/>
          <w:sz w:val="28"/>
          <w:szCs w:val="28"/>
        </w:rPr>
        <w:t>4、验收标准</w:t>
      </w:r>
    </w:p>
    <w:p w14:paraId="4CFD188D">
      <w:pPr>
        <w:spacing w:after="312" w:afterLines="100" w:line="360" w:lineRule="auto"/>
        <w:rPr>
          <w:rFonts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14:paraId="2FDA4773">
      <w:pPr>
        <w:spacing w:line="360" w:lineRule="auto"/>
        <w:ind w:left="554" w:hanging="554" w:hangingChars="231"/>
        <w:rPr>
          <w:rFonts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14:paraId="7CAE3866">
      <w:pPr>
        <w:spacing w:line="360" w:lineRule="auto"/>
        <w:ind w:left="554" w:hanging="554" w:hangingChars="231"/>
        <w:rPr>
          <w:rFonts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3E081979">
      <w:pPr>
        <w:spacing w:line="360" w:lineRule="auto"/>
        <w:ind w:left="554" w:hanging="554" w:hangingChars="231"/>
        <w:rPr>
          <w:rFonts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14:paraId="0AA2FF69">
      <w:pPr>
        <w:pStyle w:val="3"/>
        <w:spacing w:line="360" w:lineRule="auto"/>
        <w:ind w:left="410" w:hanging="410" w:hangingChars="170"/>
        <w:rPr>
          <w:rFonts w:hAnsi="宋体"/>
          <w:b/>
          <w:sz w:val="24"/>
          <w:szCs w:val="24"/>
        </w:rPr>
      </w:pPr>
    </w:p>
    <w:p w14:paraId="797556FA">
      <w:pPr>
        <w:adjustRightInd w:val="0"/>
        <w:snapToGrid w:val="0"/>
        <w:spacing w:line="360" w:lineRule="auto"/>
        <w:rPr>
          <w:rFonts w:hAnsi="宋体"/>
          <w:b/>
          <w:sz w:val="24"/>
        </w:rPr>
      </w:pPr>
      <w:r>
        <w:rPr>
          <w:rFonts w:hint="eastAsia"/>
          <w:b/>
          <w:bCs/>
          <w:sz w:val="24"/>
        </w:rPr>
        <w:t>5、本采购需求书中标注“</w:t>
      </w:r>
      <w:r>
        <w:rPr>
          <w:rFonts w:hint="eastAsia"/>
          <w:b/>
          <w:bCs/>
          <w:sz w:val="24"/>
          <w:lang w:eastAsia="zh-CN"/>
        </w:rPr>
        <w:t>★</w:t>
      </w:r>
      <w:r>
        <w:rPr>
          <w:rFonts w:hint="eastAsia"/>
          <w:b/>
          <w:bCs/>
          <w:sz w:val="24"/>
        </w:rPr>
        <w:t>”号技术条款的为实质性要求，不满足其投标将视为无效投标被拒绝。</w:t>
      </w:r>
    </w:p>
    <w:p w14:paraId="23F03DCE">
      <w:pPr>
        <w:adjustRightInd w:val="0"/>
        <w:snapToGrid w:val="0"/>
        <w:spacing w:line="360" w:lineRule="auto"/>
        <w:rPr>
          <w:rFonts w:ascii="宋体" w:hAnsi="宋体"/>
          <w:b/>
          <w:sz w:val="24"/>
        </w:rPr>
      </w:pPr>
    </w:p>
    <w:p w14:paraId="6161A801">
      <w:pPr>
        <w:adjustRightInd w:val="0"/>
        <w:snapToGrid w:val="0"/>
        <w:spacing w:line="360" w:lineRule="auto"/>
        <w:rPr>
          <w:rFonts w:ascii="宋体" w:hAnsi="宋体"/>
          <w:b/>
          <w:sz w:val="24"/>
        </w:rPr>
      </w:pPr>
      <w:r>
        <w:rPr>
          <w:rFonts w:hint="eastAsia" w:ascii="宋体" w:hAnsi="宋体"/>
          <w:b/>
          <w:sz w:val="24"/>
        </w:rPr>
        <w:t>6、如在具体技术规格中有本总则不一致之处，以具体技术规格中的要求为准。</w:t>
      </w:r>
    </w:p>
    <w:p w14:paraId="5F19E369">
      <w:pPr>
        <w:adjustRightInd w:val="0"/>
        <w:snapToGrid w:val="0"/>
        <w:spacing w:line="360" w:lineRule="auto"/>
        <w:rPr>
          <w:rFonts w:ascii="宋体" w:hAnsi="宋体"/>
          <w:b/>
          <w:sz w:val="28"/>
          <w:szCs w:val="28"/>
        </w:rPr>
      </w:pPr>
      <w:r>
        <w:rPr>
          <w:rFonts w:ascii="宋体" w:hAnsi="宋体"/>
          <w:b/>
          <w:sz w:val="28"/>
        </w:rPr>
        <w:br w:type="page"/>
      </w:r>
      <w:r>
        <w:rPr>
          <w:rFonts w:hint="eastAsia" w:ascii="宋体" w:hAnsi="宋体"/>
          <w:b/>
          <w:sz w:val="28"/>
          <w:szCs w:val="28"/>
        </w:rPr>
        <w:t>二、具体技术规格</w:t>
      </w:r>
    </w:p>
    <w:p w14:paraId="75018A49">
      <w:pPr>
        <w:jc w:val="center"/>
        <w:rPr>
          <w:b/>
          <w:sz w:val="24"/>
        </w:rPr>
      </w:pPr>
      <w:r>
        <w:rPr>
          <w:rFonts w:hint="eastAsia"/>
          <w:b/>
          <w:sz w:val="24"/>
        </w:rPr>
        <w:t>第1包 荧光光谱仪</w:t>
      </w:r>
    </w:p>
    <w:p w14:paraId="0C7C309B">
      <w:pPr>
        <w:rPr>
          <w:b/>
          <w:sz w:val="24"/>
        </w:rPr>
      </w:pPr>
    </w:p>
    <w:p w14:paraId="4FBCAF18">
      <w:pPr>
        <w:rPr>
          <w:b/>
          <w:sz w:val="24"/>
        </w:rPr>
      </w:pPr>
    </w:p>
    <w:p w14:paraId="5A789D9E">
      <w:pPr>
        <w:numPr>
          <w:ilvl w:val="0"/>
          <w:numId w:val="1"/>
        </w:numPr>
        <w:rPr>
          <w:b/>
          <w:sz w:val="24"/>
        </w:rPr>
      </w:pPr>
      <w:r>
        <w:rPr>
          <w:rFonts w:hint="eastAsia"/>
          <w:b/>
          <w:sz w:val="24"/>
        </w:rPr>
        <w:t>技术要求：</w:t>
      </w:r>
    </w:p>
    <w:p w14:paraId="59291F01">
      <w:pPr>
        <w:rPr>
          <w:b/>
          <w:sz w:val="24"/>
        </w:rPr>
      </w:pPr>
    </w:p>
    <w:p w14:paraId="797DD48A">
      <w:pPr>
        <w:numPr>
          <w:ilvl w:val="0"/>
          <w:numId w:val="2"/>
        </w:numPr>
        <w:spacing w:line="360" w:lineRule="auto"/>
        <w:rPr>
          <w:b/>
          <w:sz w:val="24"/>
        </w:rPr>
      </w:pPr>
      <w:r>
        <w:rPr>
          <w:rFonts w:hint="eastAsia"/>
          <w:b/>
          <w:sz w:val="24"/>
        </w:rPr>
        <w:t>工作条件：</w:t>
      </w:r>
    </w:p>
    <w:p w14:paraId="2E818E30">
      <w:pPr>
        <w:spacing w:line="360" w:lineRule="auto"/>
        <w:rPr>
          <w:sz w:val="24"/>
        </w:rPr>
      </w:pPr>
      <w:r>
        <w:rPr>
          <w:rFonts w:hint="eastAsia"/>
          <w:sz w:val="24"/>
        </w:rPr>
        <w:t>1.1 工作电压：单相AC 220V (±10%)/50Hz</w:t>
      </w:r>
    </w:p>
    <w:p w14:paraId="42B6BE13">
      <w:pPr>
        <w:spacing w:line="360" w:lineRule="auto"/>
        <w:rPr>
          <w:sz w:val="24"/>
        </w:rPr>
      </w:pPr>
      <w:r>
        <w:rPr>
          <w:rFonts w:hint="eastAsia"/>
          <w:sz w:val="24"/>
        </w:rPr>
        <w:t>1.2 环境温度：22</w:t>
      </w:r>
      <w:r>
        <w:rPr>
          <w:rFonts w:hint="eastAsia"/>
          <w:sz w:val="24"/>
        </w:rPr>
        <w:sym w:font="Symbol" w:char="F0B0"/>
      </w:r>
      <w:r>
        <w:rPr>
          <w:rFonts w:hint="eastAsia"/>
          <w:sz w:val="24"/>
        </w:rPr>
        <w:t>C ± 10</w:t>
      </w:r>
      <w:r>
        <w:rPr>
          <w:rFonts w:hint="eastAsia"/>
          <w:sz w:val="24"/>
        </w:rPr>
        <w:sym w:font="Symbol" w:char="F0B0"/>
      </w:r>
      <w:r>
        <w:rPr>
          <w:rFonts w:hint="eastAsia"/>
          <w:sz w:val="24"/>
        </w:rPr>
        <w:t>C；</w:t>
      </w:r>
    </w:p>
    <w:p w14:paraId="4BC9578F">
      <w:pPr>
        <w:spacing w:line="360" w:lineRule="auto"/>
        <w:rPr>
          <w:sz w:val="24"/>
        </w:rPr>
      </w:pPr>
      <w:r>
        <w:rPr>
          <w:rFonts w:hint="eastAsia"/>
          <w:sz w:val="24"/>
        </w:rPr>
        <w:t>1.3 相对湿度：&lt; 80% 无冷凝</w:t>
      </w:r>
    </w:p>
    <w:p w14:paraId="38B19CE5">
      <w:pPr>
        <w:spacing w:line="360" w:lineRule="auto"/>
        <w:rPr>
          <w:sz w:val="24"/>
        </w:rPr>
      </w:pPr>
      <w:r>
        <w:rPr>
          <w:rFonts w:hint="eastAsia"/>
          <w:sz w:val="24"/>
        </w:rPr>
        <w:t>1.4 环境空气：无腐蚀性蒸汽，无密集灰尘暴露</w:t>
      </w:r>
    </w:p>
    <w:p w14:paraId="3FD5BEA5">
      <w:pPr>
        <w:spacing w:line="360" w:lineRule="auto"/>
        <w:ind w:left="435" w:firstLine="240"/>
        <w:rPr>
          <w:sz w:val="24"/>
        </w:rPr>
      </w:pPr>
    </w:p>
    <w:p w14:paraId="031EEECE">
      <w:pPr>
        <w:numPr>
          <w:ilvl w:val="0"/>
          <w:numId w:val="2"/>
        </w:numPr>
        <w:spacing w:line="360" w:lineRule="auto"/>
        <w:rPr>
          <w:b/>
          <w:sz w:val="24"/>
        </w:rPr>
      </w:pPr>
      <w:r>
        <w:rPr>
          <w:rFonts w:hint="eastAsia"/>
          <w:b/>
          <w:sz w:val="24"/>
        </w:rPr>
        <w:t>设备用途：</w:t>
      </w:r>
    </w:p>
    <w:p w14:paraId="68AABB1E">
      <w:pPr>
        <w:spacing w:line="360" w:lineRule="auto"/>
        <w:ind w:firstLine="480" w:firstLineChars="200"/>
        <w:rPr>
          <w:sz w:val="24"/>
        </w:rPr>
      </w:pPr>
      <w:r>
        <w:rPr>
          <w:rFonts w:hint="eastAsia"/>
          <w:sz w:val="24"/>
        </w:rPr>
        <w:t>该仪器主要用于测试液体、粉末或者薄膜样品的荧光激发光谱、荧光发射光谱、同步光谱、三维光谱、荧光衰减谱、荧光时间分辨发射谱，变温光谱及寿命测试等。</w:t>
      </w:r>
    </w:p>
    <w:p w14:paraId="4543AAA7">
      <w:pPr>
        <w:spacing w:line="360" w:lineRule="auto"/>
        <w:rPr>
          <w:sz w:val="24"/>
        </w:rPr>
      </w:pPr>
    </w:p>
    <w:p w14:paraId="2D485773">
      <w:pPr>
        <w:numPr>
          <w:ilvl w:val="0"/>
          <w:numId w:val="2"/>
        </w:numPr>
        <w:spacing w:line="360" w:lineRule="auto"/>
        <w:rPr>
          <w:b/>
          <w:sz w:val="24"/>
        </w:rPr>
      </w:pPr>
      <w:r>
        <w:rPr>
          <w:rFonts w:hint="eastAsia"/>
          <w:b/>
          <w:sz w:val="24"/>
        </w:rPr>
        <w:t>技术规格：</w:t>
      </w:r>
    </w:p>
    <w:p w14:paraId="0803AABC">
      <w:pPr>
        <w:spacing w:line="360" w:lineRule="auto"/>
        <w:rPr>
          <w:color w:val="000000"/>
          <w:sz w:val="24"/>
        </w:rPr>
      </w:pPr>
      <w:r>
        <w:rPr>
          <w:rFonts w:hint="eastAsia"/>
          <w:sz w:val="24"/>
        </w:rPr>
        <w:t>3.1光学系统结构：</w:t>
      </w:r>
      <w:r>
        <w:rPr>
          <w:rFonts w:hint="eastAsia"/>
          <w:color w:val="000000"/>
          <w:sz w:val="24"/>
        </w:rPr>
        <w:t>L</w:t>
      </w:r>
      <w:r>
        <w:rPr>
          <w:color w:val="000000"/>
          <w:sz w:val="24"/>
        </w:rPr>
        <w:t>型，配有透镜聚焦光路</w:t>
      </w:r>
    </w:p>
    <w:p w14:paraId="72E1CE40">
      <w:pPr>
        <w:spacing w:line="360" w:lineRule="auto"/>
        <w:rPr>
          <w:sz w:val="24"/>
        </w:rPr>
      </w:pPr>
      <w:r>
        <w:rPr>
          <w:rFonts w:hint="eastAsia"/>
          <w:sz w:val="24"/>
        </w:rPr>
        <w:t>3.2光源：</w:t>
      </w:r>
    </w:p>
    <w:p w14:paraId="4A00BBDA">
      <w:pPr>
        <w:spacing w:line="360" w:lineRule="auto"/>
        <w:ind w:firstLine="480" w:firstLineChars="200"/>
        <w:rPr>
          <w:sz w:val="24"/>
        </w:rPr>
      </w:pPr>
      <w:r>
        <w:rPr>
          <w:rFonts w:hint="eastAsia"/>
          <w:sz w:val="24"/>
          <w:lang w:eastAsia="zh-CN"/>
        </w:rPr>
        <w:t>★</w:t>
      </w:r>
      <w:r>
        <w:rPr>
          <w:rFonts w:hint="eastAsia"/>
          <w:sz w:val="24"/>
        </w:rPr>
        <w:t xml:space="preserve">3.2.1 </w:t>
      </w:r>
      <w:r>
        <w:rPr>
          <w:sz w:val="24"/>
        </w:rPr>
        <w:t>除臭氧氙灯（集成式电源），</w:t>
      </w:r>
      <w:r>
        <w:rPr>
          <w:rFonts w:hint="eastAsia"/>
          <w:sz w:val="24"/>
        </w:rPr>
        <w:t>功率≥450W，</w:t>
      </w:r>
      <w:r>
        <w:rPr>
          <w:sz w:val="24"/>
        </w:rPr>
        <w:t>可以显示功率、电压、电流和使用时间</w:t>
      </w:r>
      <w:r>
        <w:rPr>
          <w:rFonts w:hint="eastAsia"/>
          <w:sz w:val="24"/>
        </w:rPr>
        <w:t>；</w:t>
      </w:r>
    </w:p>
    <w:p w14:paraId="34C9E2A0">
      <w:pPr>
        <w:spacing w:line="360" w:lineRule="auto"/>
        <w:ind w:firstLine="480" w:firstLineChars="200"/>
        <w:rPr>
          <w:sz w:val="24"/>
        </w:rPr>
      </w:pPr>
      <w:r>
        <w:rPr>
          <w:rFonts w:hint="eastAsia"/>
          <w:sz w:val="24"/>
        </w:rPr>
        <w:t>3.2.2 脉冲激光器光源：波长</w:t>
      </w:r>
      <w:r>
        <w:rPr>
          <w:sz w:val="24"/>
        </w:rPr>
        <w:t>448 nm ±8 nm</w:t>
      </w:r>
      <w:r>
        <w:rPr>
          <w:rFonts w:hint="eastAsia"/>
          <w:sz w:val="24"/>
        </w:rPr>
        <w:t>，</w:t>
      </w:r>
      <w:r>
        <w:rPr>
          <w:sz w:val="24"/>
        </w:rPr>
        <w:t>脉冲频率20MHz-20KHz</w:t>
      </w:r>
      <w:r>
        <w:rPr>
          <w:rFonts w:hint="eastAsia"/>
          <w:sz w:val="24"/>
        </w:rPr>
        <w:t>，脉宽</w:t>
      </w:r>
      <w:r>
        <w:rPr>
          <w:rFonts w:hint="eastAsia" w:ascii="宋体" w:hAnsi="宋体"/>
          <w:sz w:val="24"/>
        </w:rPr>
        <w:t>≤</w:t>
      </w:r>
      <w:r>
        <w:rPr>
          <w:sz w:val="24"/>
        </w:rPr>
        <w:t>120 ps @ 10 MHz</w:t>
      </w:r>
      <w:r>
        <w:rPr>
          <w:rFonts w:hint="eastAsia"/>
          <w:sz w:val="24"/>
        </w:rPr>
        <w:t>；</w:t>
      </w:r>
    </w:p>
    <w:p w14:paraId="7E3D2EF2">
      <w:pPr>
        <w:spacing w:line="360" w:lineRule="auto"/>
        <w:ind w:left="34"/>
        <w:rPr>
          <w:color w:val="000000"/>
          <w:sz w:val="24"/>
          <w:lang w:val="en-AU"/>
        </w:rPr>
      </w:pPr>
      <w:r>
        <w:rPr>
          <w:rFonts w:hint="eastAsia"/>
          <w:sz w:val="24"/>
        </w:rPr>
        <w:t>3.3</w:t>
      </w:r>
      <w:r>
        <w:rPr>
          <w:sz w:val="24"/>
        </w:rPr>
        <w:t>信噪比：</w:t>
      </w:r>
      <w:r>
        <w:rPr>
          <w:rFonts w:hint="eastAsia"/>
          <w:sz w:val="24"/>
        </w:rPr>
        <w:t>≥</w:t>
      </w:r>
      <w:r>
        <w:rPr>
          <w:sz w:val="24"/>
        </w:rPr>
        <w:t>3</w:t>
      </w:r>
      <w:r>
        <w:rPr>
          <w:rFonts w:hint="eastAsia"/>
          <w:sz w:val="24"/>
        </w:rPr>
        <w:t>5</w:t>
      </w:r>
      <w:r>
        <w:rPr>
          <w:sz w:val="24"/>
        </w:rPr>
        <w:t>,000:1，水拉曼峰测试</w:t>
      </w:r>
      <w:r>
        <w:rPr>
          <w:color w:val="000000"/>
          <w:sz w:val="24"/>
        </w:rPr>
        <w:t>，激发波长350nm，狭缝5nm，积分时间1s，</w:t>
      </w:r>
      <w:r>
        <w:rPr>
          <w:color w:val="000000"/>
          <w:sz w:val="24"/>
          <w:lang w:val="en-AU"/>
        </w:rPr>
        <w:t>计算公式为S/N=(I</w:t>
      </w:r>
      <w:r>
        <w:rPr>
          <w:color w:val="000000"/>
          <w:sz w:val="24"/>
          <w:vertAlign w:val="subscript"/>
          <w:lang w:val="en-AU"/>
        </w:rPr>
        <w:t>397</w:t>
      </w:r>
      <w:r>
        <w:rPr>
          <w:color w:val="000000"/>
          <w:sz w:val="24"/>
          <w:lang w:val="en-AU"/>
        </w:rPr>
        <w:t>-I</w:t>
      </w:r>
      <w:r>
        <w:rPr>
          <w:color w:val="000000"/>
          <w:sz w:val="24"/>
          <w:vertAlign w:val="subscript"/>
          <w:lang w:val="en-AU"/>
        </w:rPr>
        <w:t>450</w:t>
      </w:r>
      <w:r>
        <w:rPr>
          <w:color w:val="000000"/>
          <w:sz w:val="24"/>
          <w:lang w:val="en-AU"/>
        </w:rPr>
        <w:t>)/I</w:t>
      </w:r>
      <w:r>
        <w:rPr>
          <w:color w:val="000000"/>
          <w:sz w:val="24"/>
          <w:vertAlign w:val="subscript"/>
          <w:lang w:val="en-AU"/>
        </w:rPr>
        <w:t>450</w:t>
      </w:r>
      <w:r>
        <w:rPr>
          <w:color w:val="000000"/>
          <w:sz w:val="24"/>
          <w:vertAlign w:val="superscript"/>
          <w:lang w:val="en-AU"/>
        </w:rPr>
        <w:t>1/2</w:t>
      </w:r>
    </w:p>
    <w:p w14:paraId="358B98BD">
      <w:pPr>
        <w:spacing w:line="360" w:lineRule="auto"/>
        <w:rPr>
          <w:sz w:val="24"/>
        </w:rPr>
      </w:pPr>
      <w:r>
        <w:rPr>
          <w:rFonts w:hint="eastAsia"/>
          <w:sz w:val="24"/>
        </w:rPr>
        <w:t>3.4激发单色器</w:t>
      </w:r>
    </w:p>
    <w:p w14:paraId="5FBB86FD">
      <w:pPr>
        <w:spacing w:line="360" w:lineRule="auto"/>
        <w:ind w:firstLine="480" w:firstLineChars="200"/>
        <w:rPr>
          <w:sz w:val="24"/>
        </w:rPr>
      </w:pPr>
      <w:r>
        <w:rPr>
          <w:rFonts w:hint="eastAsia"/>
          <w:sz w:val="24"/>
        </w:rPr>
        <w:t>3.4.1类型：对称型Czerny-Turner；</w:t>
      </w:r>
    </w:p>
    <w:p w14:paraId="13841A28">
      <w:pPr>
        <w:spacing w:line="360" w:lineRule="auto"/>
        <w:ind w:firstLine="480" w:firstLineChars="200"/>
        <w:rPr>
          <w:sz w:val="24"/>
        </w:rPr>
      </w:pPr>
      <w:r>
        <w:rPr>
          <w:rFonts w:hint="eastAsia"/>
          <w:sz w:val="24"/>
        </w:rPr>
        <w:t>3.4.2三光栅塔轮结构，全软件控制转动；</w:t>
      </w:r>
    </w:p>
    <w:p w14:paraId="6F4BAFF6">
      <w:pPr>
        <w:spacing w:line="360" w:lineRule="auto"/>
        <w:ind w:firstLine="480" w:firstLineChars="200"/>
        <w:rPr>
          <w:sz w:val="24"/>
        </w:rPr>
      </w:pPr>
      <w:r>
        <w:rPr>
          <w:rFonts w:hint="eastAsia"/>
          <w:sz w:val="24"/>
        </w:rPr>
        <w:t>3.4.3四个光源入口；</w:t>
      </w:r>
    </w:p>
    <w:p w14:paraId="1817D916">
      <w:pPr>
        <w:spacing w:line="360" w:lineRule="auto"/>
        <w:ind w:firstLine="480" w:firstLineChars="200"/>
        <w:rPr>
          <w:sz w:val="24"/>
        </w:rPr>
      </w:pPr>
      <w:r>
        <w:rPr>
          <w:rFonts w:hint="eastAsia"/>
          <w:sz w:val="24"/>
          <w:lang w:eastAsia="zh-CN"/>
        </w:rPr>
        <w:t>★</w:t>
      </w:r>
      <w:r>
        <w:rPr>
          <w:rFonts w:hint="eastAsia"/>
          <w:sz w:val="24"/>
        </w:rPr>
        <w:t>3.4.4焦距：≥2×325mm；</w:t>
      </w:r>
    </w:p>
    <w:p w14:paraId="0F840909">
      <w:pPr>
        <w:spacing w:line="360" w:lineRule="auto"/>
        <w:ind w:firstLine="480" w:firstLineChars="200"/>
        <w:rPr>
          <w:sz w:val="24"/>
        </w:rPr>
      </w:pPr>
      <w:r>
        <w:rPr>
          <w:rFonts w:hint="eastAsia"/>
          <w:sz w:val="24"/>
        </w:rPr>
        <w:t>3.4.6 光谱带宽：0-30nm；</w:t>
      </w:r>
    </w:p>
    <w:p w14:paraId="572E6000">
      <w:pPr>
        <w:spacing w:line="360" w:lineRule="auto"/>
        <w:ind w:firstLine="480" w:firstLineChars="200"/>
        <w:rPr>
          <w:sz w:val="24"/>
        </w:rPr>
      </w:pPr>
      <w:r>
        <w:rPr>
          <w:rFonts w:hint="eastAsia"/>
          <w:sz w:val="24"/>
        </w:rPr>
        <w:t>3.4.7波长准确度：±0.2nm；</w:t>
      </w:r>
    </w:p>
    <w:p w14:paraId="7A329D5C">
      <w:pPr>
        <w:spacing w:line="360" w:lineRule="auto"/>
        <w:ind w:firstLine="480" w:firstLineChars="200"/>
        <w:rPr>
          <w:sz w:val="24"/>
        </w:rPr>
      </w:pPr>
      <w:r>
        <w:rPr>
          <w:rFonts w:hint="eastAsia"/>
          <w:sz w:val="24"/>
        </w:rPr>
        <w:t>3.4.8波长重复性：±0.1nm；</w:t>
      </w:r>
    </w:p>
    <w:p w14:paraId="76624454">
      <w:pPr>
        <w:spacing w:line="360" w:lineRule="auto"/>
        <w:ind w:firstLine="480" w:firstLineChars="200"/>
        <w:rPr>
          <w:sz w:val="24"/>
        </w:rPr>
      </w:pPr>
      <w:r>
        <w:rPr>
          <w:rFonts w:hint="eastAsia"/>
          <w:sz w:val="24"/>
        </w:rPr>
        <w:t>#3.4.9最小步进：≤0.05nm；（提供软件截图证明）</w:t>
      </w:r>
    </w:p>
    <w:p w14:paraId="32D20C5C">
      <w:pPr>
        <w:spacing w:line="360" w:lineRule="auto"/>
        <w:ind w:firstLine="480" w:firstLineChars="200"/>
        <w:rPr>
          <w:sz w:val="24"/>
        </w:rPr>
      </w:pPr>
      <w:r>
        <w:rPr>
          <w:rFonts w:hint="eastAsia"/>
          <w:sz w:val="24"/>
        </w:rPr>
        <w:t>#3.4.10内置电动滤光片轮消除高级衍射光；（提供软件截图证明）</w:t>
      </w:r>
    </w:p>
    <w:p w14:paraId="71C9E309">
      <w:pPr>
        <w:spacing w:line="360" w:lineRule="auto"/>
        <w:rPr>
          <w:sz w:val="24"/>
        </w:rPr>
      </w:pPr>
      <w:r>
        <w:rPr>
          <w:rFonts w:hint="eastAsia"/>
          <w:sz w:val="24"/>
        </w:rPr>
        <w:t>3.5</w:t>
      </w:r>
      <w:r>
        <w:rPr>
          <w:rFonts w:hint="eastAsia"/>
          <w:sz w:val="24"/>
        </w:rPr>
        <w:tab/>
      </w:r>
      <w:r>
        <w:rPr>
          <w:rFonts w:hint="eastAsia"/>
          <w:sz w:val="24"/>
        </w:rPr>
        <w:t>发射单色器</w:t>
      </w:r>
    </w:p>
    <w:p w14:paraId="4D3DE7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rPr>
      </w:pPr>
      <w:r>
        <w:rPr>
          <w:rFonts w:hint="eastAsia"/>
          <w:sz w:val="24"/>
        </w:rPr>
        <w:t>3.5.1类型：对称型Czerny-Turner；</w:t>
      </w:r>
    </w:p>
    <w:p w14:paraId="2A4928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rPr>
      </w:pPr>
      <w:r>
        <w:rPr>
          <w:rFonts w:hint="eastAsia"/>
          <w:sz w:val="24"/>
        </w:rPr>
        <w:t>3.5.2三光栅塔轮结构，全软件控制转动；</w:t>
      </w:r>
    </w:p>
    <w:p w14:paraId="31D43A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rPr>
      </w:pPr>
      <w:r>
        <w:rPr>
          <w:rFonts w:hint="eastAsia"/>
          <w:sz w:val="24"/>
        </w:rPr>
        <w:t>3.5.3两个检测器出口；</w:t>
      </w:r>
    </w:p>
    <w:p w14:paraId="6E3596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rPr>
      </w:pPr>
      <w:r>
        <w:rPr>
          <w:rFonts w:hint="eastAsia"/>
          <w:sz w:val="24"/>
        </w:rPr>
        <w:t>3.5.4焦距：≥325mm；</w:t>
      </w:r>
    </w:p>
    <w:p w14:paraId="0567B8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rPr>
      </w:pPr>
      <w:r>
        <w:rPr>
          <w:rFonts w:hint="eastAsia"/>
          <w:sz w:val="24"/>
        </w:rPr>
        <w:t>3.5.5 光谱带宽：0-30nm；</w:t>
      </w:r>
    </w:p>
    <w:p w14:paraId="2337F8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rPr>
      </w:pPr>
      <w:r>
        <w:rPr>
          <w:rFonts w:hint="eastAsia"/>
          <w:sz w:val="24"/>
        </w:rPr>
        <w:t>3.5.6波长准确度：±0.2nm；</w:t>
      </w:r>
    </w:p>
    <w:p w14:paraId="06B3A1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rPr>
      </w:pPr>
      <w:r>
        <w:rPr>
          <w:rFonts w:hint="eastAsia"/>
          <w:sz w:val="24"/>
        </w:rPr>
        <w:t>3.5.7波长重复性：±0.1nm；</w:t>
      </w:r>
    </w:p>
    <w:p w14:paraId="607558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rPr>
      </w:pPr>
      <w:r>
        <w:rPr>
          <w:rFonts w:hint="eastAsia"/>
          <w:sz w:val="24"/>
        </w:rPr>
        <w:t>#3.5.8最小步进：≤0.05nm；（提供软件截图证明）</w:t>
      </w:r>
    </w:p>
    <w:p w14:paraId="6FBA04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rPr>
      </w:pPr>
      <w:r>
        <w:rPr>
          <w:rFonts w:hint="eastAsia"/>
          <w:sz w:val="24"/>
        </w:rPr>
        <w:t>#3.5.9内置电动滤光片轮消除高级衍射光；（提供软件截图证明）</w:t>
      </w:r>
    </w:p>
    <w:p w14:paraId="76DA8B72">
      <w:pPr>
        <w:spacing w:line="360" w:lineRule="auto"/>
        <w:rPr>
          <w:sz w:val="24"/>
        </w:rPr>
      </w:pPr>
      <w:r>
        <w:rPr>
          <w:rFonts w:hint="eastAsia"/>
          <w:sz w:val="24"/>
        </w:rPr>
        <w:t>3.6检测器：</w:t>
      </w:r>
    </w:p>
    <w:p w14:paraId="6A07BCB9">
      <w:pPr>
        <w:spacing w:line="360" w:lineRule="auto"/>
        <w:ind w:firstLine="480" w:firstLineChars="200"/>
        <w:rPr>
          <w:sz w:val="24"/>
        </w:rPr>
      </w:pPr>
      <w:r>
        <w:rPr>
          <w:rFonts w:hint="eastAsia"/>
          <w:sz w:val="24"/>
        </w:rPr>
        <w:t>3.6.1紫外可见PMT检测器；</w:t>
      </w:r>
    </w:p>
    <w:p w14:paraId="5717301B">
      <w:pPr>
        <w:spacing w:line="360" w:lineRule="auto"/>
        <w:ind w:firstLine="480" w:firstLineChars="200"/>
        <w:rPr>
          <w:sz w:val="24"/>
        </w:rPr>
      </w:pPr>
      <w:r>
        <w:rPr>
          <w:rFonts w:hint="eastAsia"/>
          <w:sz w:val="24"/>
        </w:rPr>
        <w:t>3.6.2半导体制冷模块，工作温度-20℃；</w:t>
      </w:r>
    </w:p>
    <w:p w14:paraId="39201619">
      <w:pPr>
        <w:spacing w:line="360" w:lineRule="auto"/>
        <w:ind w:firstLine="480" w:firstLineChars="200"/>
        <w:rPr>
          <w:sz w:val="24"/>
        </w:rPr>
      </w:pPr>
      <w:r>
        <w:rPr>
          <w:rFonts w:hint="eastAsia"/>
          <w:sz w:val="24"/>
        </w:rPr>
        <w:t>3.6.3光谱范围：200-980nm；</w:t>
      </w:r>
    </w:p>
    <w:p w14:paraId="4C7A34F1">
      <w:pPr>
        <w:spacing w:line="360" w:lineRule="auto"/>
        <w:ind w:firstLine="480" w:firstLineChars="200"/>
        <w:rPr>
          <w:sz w:val="24"/>
        </w:rPr>
      </w:pPr>
      <w:r>
        <w:rPr>
          <w:rFonts w:hint="eastAsia"/>
          <w:sz w:val="24"/>
        </w:rPr>
        <w:t>3.6.4</w:t>
      </w:r>
      <w:r>
        <w:rPr>
          <w:sz w:val="24"/>
        </w:rPr>
        <w:t>暗计数：</w:t>
      </w:r>
      <w:r>
        <w:rPr>
          <w:rFonts w:hint="eastAsia"/>
          <w:sz w:val="24"/>
        </w:rPr>
        <w:t>≤100</w:t>
      </w:r>
      <w:r>
        <w:rPr>
          <w:sz w:val="24"/>
        </w:rPr>
        <w:t>cps</w:t>
      </w:r>
      <w:r>
        <w:rPr>
          <w:rFonts w:hint="eastAsia"/>
          <w:sz w:val="24"/>
        </w:rPr>
        <w:t xml:space="preserve"> </w:t>
      </w:r>
      <w:r>
        <w:rPr>
          <w:sz w:val="24"/>
        </w:rPr>
        <w:t>(-</w:t>
      </w:r>
      <w:r>
        <w:rPr>
          <w:rFonts w:hint="eastAsia"/>
          <w:sz w:val="24"/>
        </w:rPr>
        <w:t>20</w:t>
      </w:r>
      <w:r>
        <w:rPr>
          <w:sz w:val="24"/>
        </w:rPr>
        <w:t>℃)</w:t>
      </w:r>
      <w:r>
        <w:rPr>
          <w:rFonts w:hint="eastAsia"/>
          <w:sz w:val="24"/>
        </w:rPr>
        <w:t>；</w:t>
      </w:r>
    </w:p>
    <w:p w14:paraId="5FD3D67D">
      <w:pPr>
        <w:spacing w:line="360" w:lineRule="auto"/>
        <w:rPr>
          <w:sz w:val="24"/>
        </w:rPr>
      </w:pPr>
      <w:r>
        <w:rPr>
          <w:rFonts w:hint="eastAsia"/>
          <w:sz w:val="24"/>
        </w:rPr>
        <w:t>3.7</w:t>
      </w:r>
      <w:r>
        <w:rPr>
          <w:rFonts w:hint="eastAsia"/>
          <w:sz w:val="24"/>
        </w:rPr>
        <w:tab/>
      </w:r>
      <w:r>
        <w:rPr>
          <w:rFonts w:hint="eastAsia"/>
          <w:sz w:val="24"/>
        </w:rPr>
        <w:t>荧光寿命部分</w:t>
      </w:r>
    </w:p>
    <w:p w14:paraId="0C12A9DB">
      <w:pPr>
        <w:spacing w:line="360" w:lineRule="auto"/>
        <w:ind w:firstLine="480" w:firstLineChars="200"/>
        <w:rPr>
          <w:sz w:val="24"/>
        </w:rPr>
      </w:pPr>
      <w:r>
        <w:rPr>
          <w:rFonts w:hint="eastAsia"/>
          <w:sz w:val="24"/>
        </w:rPr>
        <w:t>3.7.1工作原理：时间相关单光子计数（TCSPC）测量；</w:t>
      </w:r>
    </w:p>
    <w:p w14:paraId="4D59E406">
      <w:pPr>
        <w:spacing w:line="360" w:lineRule="auto"/>
        <w:ind w:firstLine="480" w:firstLineChars="200"/>
        <w:rPr>
          <w:sz w:val="24"/>
        </w:rPr>
      </w:pPr>
      <w:r>
        <w:rPr>
          <w:rFonts w:hint="eastAsia"/>
          <w:sz w:val="24"/>
        </w:rPr>
        <w:t>3.7.2荧光寿命范围150ps-50us；</w:t>
      </w:r>
    </w:p>
    <w:p w14:paraId="0379A375">
      <w:pPr>
        <w:spacing w:line="360" w:lineRule="auto"/>
        <w:ind w:firstLine="480" w:firstLineChars="200"/>
        <w:rPr>
          <w:sz w:val="24"/>
        </w:rPr>
      </w:pPr>
      <w:r>
        <w:rPr>
          <w:rFonts w:hint="eastAsia"/>
          <w:sz w:val="24"/>
          <w:lang w:eastAsia="zh-CN"/>
        </w:rPr>
        <w:t>★</w:t>
      </w:r>
      <w:r>
        <w:rPr>
          <w:rFonts w:hint="eastAsia"/>
          <w:sz w:val="24"/>
        </w:rPr>
        <w:t>3.7.3最小时间分辨率：≤306fs, 计算方法：最小测试时间宽度/最大通道数；（提供软件截图证明）</w:t>
      </w:r>
    </w:p>
    <w:p w14:paraId="473EA87D">
      <w:pPr>
        <w:spacing w:line="360" w:lineRule="auto"/>
        <w:ind w:firstLine="480" w:firstLineChars="200"/>
        <w:rPr>
          <w:sz w:val="24"/>
        </w:rPr>
      </w:pPr>
      <w:r>
        <w:rPr>
          <w:rFonts w:hint="eastAsia"/>
          <w:sz w:val="24"/>
        </w:rPr>
        <w:t>3.7.4通道数256-8192；</w:t>
      </w:r>
      <w:r>
        <w:rPr>
          <w:sz w:val="24"/>
        </w:rPr>
        <w:t xml:space="preserve"> </w:t>
      </w:r>
    </w:p>
    <w:p w14:paraId="1A5AFE81">
      <w:pPr>
        <w:spacing w:line="360" w:lineRule="auto"/>
        <w:ind w:firstLine="480" w:firstLineChars="200"/>
        <w:rPr>
          <w:sz w:val="24"/>
        </w:rPr>
      </w:pPr>
      <w:r>
        <w:rPr>
          <w:rFonts w:hint="eastAsia"/>
          <w:sz w:val="24"/>
        </w:rPr>
        <w:t>3.7.5检测器通道数（START）：3；</w:t>
      </w:r>
    </w:p>
    <w:p w14:paraId="62461074">
      <w:pPr>
        <w:spacing w:line="360" w:lineRule="auto"/>
        <w:ind w:firstLine="480" w:firstLineChars="200"/>
        <w:rPr>
          <w:sz w:val="24"/>
        </w:rPr>
      </w:pPr>
      <w:r>
        <w:rPr>
          <w:rFonts w:hint="eastAsia"/>
          <w:sz w:val="24"/>
        </w:rPr>
        <w:t>3.7.6检测器通道数（STOP）： 3；</w:t>
      </w:r>
    </w:p>
    <w:p w14:paraId="7CF0CC13">
      <w:pPr>
        <w:spacing w:line="360" w:lineRule="auto"/>
        <w:ind w:left="34"/>
        <w:rPr>
          <w:sz w:val="24"/>
        </w:rPr>
      </w:pPr>
      <w:r>
        <w:rPr>
          <w:rFonts w:hint="eastAsia"/>
          <w:sz w:val="24"/>
        </w:rPr>
        <w:t>3.8</w:t>
      </w:r>
      <w:r>
        <w:rPr>
          <w:rFonts w:hint="eastAsia"/>
          <w:sz w:val="24"/>
        </w:rPr>
        <w:tab/>
      </w:r>
      <w:r>
        <w:rPr>
          <w:rFonts w:hint="eastAsia"/>
          <w:sz w:val="24"/>
        </w:rPr>
        <w:t>大样品仓（大于40L），可以从顶部、侧面和底部进样；</w:t>
      </w:r>
    </w:p>
    <w:p w14:paraId="0D5E6751">
      <w:pPr>
        <w:spacing w:line="360" w:lineRule="auto"/>
        <w:ind w:left="34"/>
        <w:rPr>
          <w:color w:val="000000"/>
          <w:sz w:val="24"/>
        </w:rPr>
      </w:pPr>
      <w:r>
        <w:rPr>
          <w:rFonts w:hint="eastAsia"/>
          <w:sz w:val="24"/>
        </w:rPr>
        <w:t>3.9</w:t>
      </w:r>
      <w:r>
        <w:rPr>
          <w:rFonts w:hint="eastAsia"/>
          <w:sz w:val="24"/>
        </w:rPr>
        <w:tab/>
      </w:r>
      <w:r>
        <w:rPr>
          <w:rFonts w:hint="eastAsia"/>
          <w:sz w:val="24"/>
        </w:rPr>
        <w:t>样品室内包含液体石英皿支架及带有温度传感器的循环水出入口；用于保护探测器的开关；计算机控制的信号衰减器</w:t>
      </w:r>
      <w:r>
        <w:rPr>
          <w:rFonts w:hint="eastAsia"/>
          <w:color w:val="000000"/>
          <w:sz w:val="24"/>
        </w:rPr>
        <w:t>；</w:t>
      </w:r>
    </w:p>
    <w:p w14:paraId="0E4F1004">
      <w:pPr>
        <w:spacing w:line="360" w:lineRule="auto"/>
        <w:ind w:left="34"/>
        <w:rPr>
          <w:color w:val="000000"/>
          <w:sz w:val="24"/>
        </w:rPr>
      </w:pPr>
      <w:r>
        <w:rPr>
          <w:rFonts w:hint="eastAsia"/>
          <w:color w:val="000000"/>
          <w:sz w:val="24"/>
        </w:rPr>
        <w:t>3.10液氮变温附件；</w:t>
      </w:r>
    </w:p>
    <w:p w14:paraId="5DE81C09">
      <w:pPr>
        <w:spacing w:line="360" w:lineRule="auto"/>
        <w:ind w:firstLine="480" w:firstLineChars="200"/>
        <w:rPr>
          <w:sz w:val="24"/>
        </w:rPr>
      </w:pPr>
      <w:r>
        <w:rPr>
          <w:rFonts w:hint="eastAsia"/>
          <w:sz w:val="24"/>
        </w:rPr>
        <w:t>3.10.1 温度范围-196℃到600℃</w:t>
      </w:r>
    </w:p>
    <w:p w14:paraId="7809E75C">
      <w:pPr>
        <w:spacing w:line="360" w:lineRule="auto"/>
        <w:ind w:firstLine="480" w:firstLineChars="200"/>
        <w:rPr>
          <w:sz w:val="24"/>
        </w:rPr>
      </w:pPr>
      <w:r>
        <w:rPr>
          <w:rFonts w:hint="eastAsia"/>
          <w:sz w:val="24"/>
        </w:rPr>
        <w:t>3.10.2加热速率≥150℃/min</w:t>
      </w:r>
    </w:p>
    <w:p w14:paraId="38FE20A3">
      <w:pPr>
        <w:spacing w:line="360" w:lineRule="auto"/>
        <w:ind w:firstLine="480" w:firstLineChars="200"/>
        <w:rPr>
          <w:sz w:val="24"/>
        </w:rPr>
      </w:pPr>
      <w:r>
        <w:rPr>
          <w:rFonts w:hint="eastAsia"/>
          <w:sz w:val="24"/>
        </w:rPr>
        <w:t>#3.10.3荧光软件可反控液氮变温系统，可以实现在荧光软件控制下自动测试一系列温度依赖的稳态和寿命光谱； （提供软件截图证明）</w:t>
      </w:r>
    </w:p>
    <w:p w14:paraId="417651AF">
      <w:pPr>
        <w:spacing w:line="360" w:lineRule="auto"/>
        <w:rPr>
          <w:sz w:val="24"/>
        </w:rPr>
      </w:pPr>
      <w:r>
        <w:rPr>
          <w:rFonts w:hint="eastAsia"/>
          <w:sz w:val="24"/>
        </w:rPr>
        <w:t>3.11.</w:t>
      </w:r>
      <w:r>
        <w:rPr>
          <w:color w:val="000000"/>
          <w:sz w:val="24"/>
        </w:rPr>
        <w:t xml:space="preserve"> 系统软件：</w:t>
      </w:r>
    </w:p>
    <w:p w14:paraId="077FC249">
      <w:pPr>
        <w:spacing w:line="360" w:lineRule="auto"/>
        <w:ind w:firstLine="480" w:firstLineChars="200"/>
        <w:rPr>
          <w:sz w:val="24"/>
        </w:rPr>
      </w:pPr>
      <w:r>
        <w:rPr>
          <w:rFonts w:hint="eastAsia"/>
          <w:sz w:val="24"/>
        </w:rPr>
        <w:t>3.11.1采用单光子计数技术，实现单光子探测灵敏度；</w:t>
      </w:r>
    </w:p>
    <w:p w14:paraId="59C320D6">
      <w:pPr>
        <w:spacing w:line="360" w:lineRule="auto"/>
        <w:ind w:firstLine="480" w:firstLineChars="200"/>
        <w:rPr>
          <w:sz w:val="24"/>
        </w:rPr>
      </w:pPr>
      <w:r>
        <w:rPr>
          <w:rFonts w:hint="eastAsia"/>
          <w:sz w:val="24"/>
        </w:rPr>
        <w:t>3.11.2系统控制及数据采集分析软件，最大光子计数率：100MHz；</w:t>
      </w:r>
    </w:p>
    <w:p w14:paraId="5895DD5E">
      <w:pPr>
        <w:spacing w:line="360" w:lineRule="auto"/>
        <w:ind w:firstLine="480" w:firstLineChars="200"/>
        <w:rPr>
          <w:sz w:val="24"/>
        </w:rPr>
      </w:pPr>
      <w:r>
        <w:rPr>
          <w:rFonts w:hint="eastAsia"/>
          <w:sz w:val="24"/>
        </w:rPr>
        <w:t>#3.11.3数据采集卡，具有计数、MCS和TCSPC操作模式，具有forward以及reverse双采集模式，同步兼顾时间分辨率以及采集速率；（提供软件截图证明）</w:t>
      </w:r>
    </w:p>
    <w:p w14:paraId="07E9F824">
      <w:pPr>
        <w:spacing w:line="360" w:lineRule="auto"/>
        <w:ind w:firstLine="480" w:firstLineChars="200"/>
        <w:rPr>
          <w:sz w:val="24"/>
        </w:rPr>
      </w:pPr>
      <w:r>
        <w:rPr>
          <w:rFonts w:hint="eastAsia"/>
          <w:sz w:val="24"/>
        </w:rPr>
        <w:t>3.11.4具有光色测量功能，诸如色坐标。</w:t>
      </w:r>
    </w:p>
    <w:p w14:paraId="0D806F7D">
      <w:pPr>
        <w:spacing w:line="360" w:lineRule="auto"/>
        <w:ind w:firstLine="480"/>
        <w:rPr>
          <w:sz w:val="24"/>
        </w:rPr>
      </w:pPr>
    </w:p>
    <w:p w14:paraId="6F60208F">
      <w:pPr>
        <w:numPr>
          <w:ilvl w:val="0"/>
          <w:numId w:val="2"/>
        </w:numPr>
        <w:spacing w:line="360" w:lineRule="auto"/>
        <w:rPr>
          <w:b/>
          <w:sz w:val="24"/>
        </w:rPr>
      </w:pPr>
      <w:r>
        <w:rPr>
          <w:rFonts w:hint="eastAsia"/>
          <w:b/>
          <w:sz w:val="24"/>
        </w:rPr>
        <w:t>产品配置要求</w:t>
      </w:r>
    </w:p>
    <w:p w14:paraId="25FFBEAF">
      <w:pPr>
        <w:spacing w:line="360" w:lineRule="auto"/>
        <w:rPr>
          <w:sz w:val="24"/>
        </w:rPr>
      </w:pPr>
      <w:r>
        <w:rPr>
          <w:rFonts w:hint="eastAsia"/>
          <w:sz w:val="24"/>
        </w:rPr>
        <w:t>4.1荧光光谱仪主机：1套，包括：</w:t>
      </w:r>
    </w:p>
    <w:p w14:paraId="5A6AA426">
      <w:pPr>
        <w:spacing w:line="360" w:lineRule="auto"/>
        <w:ind w:firstLine="480" w:firstLineChars="200"/>
        <w:rPr>
          <w:sz w:val="24"/>
        </w:rPr>
      </w:pPr>
      <w:r>
        <w:rPr>
          <w:rFonts w:hint="eastAsia"/>
          <w:sz w:val="24"/>
        </w:rPr>
        <w:t>4.1.1激发单色器（三光栅塔轮结构，标配自动滤光片轮）1个；</w:t>
      </w:r>
    </w:p>
    <w:p w14:paraId="3A2F80BC">
      <w:pPr>
        <w:spacing w:line="360" w:lineRule="auto"/>
        <w:ind w:firstLine="480" w:firstLineChars="200"/>
        <w:rPr>
          <w:sz w:val="24"/>
        </w:rPr>
      </w:pPr>
      <w:r>
        <w:rPr>
          <w:rFonts w:hint="eastAsia"/>
          <w:sz w:val="24"/>
        </w:rPr>
        <w:t>4.1.2发射单色器（三光栅塔轮结构，标配自动滤光片轮）1个；</w:t>
      </w:r>
    </w:p>
    <w:p w14:paraId="23B9DBFC">
      <w:pPr>
        <w:spacing w:line="360" w:lineRule="auto"/>
        <w:ind w:firstLine="480" w:firstLineChars="200"/>
        <w:rPr>
          <w:sz w:val="24"/>
        </w:rPr>
      </w:pPr>
      <w:r>
        <w:rPr>
          <w:rFonts w:hint="eastAsia"/>
          <w:sz w:val="24"/>
        </w:rPr>
        <w:t>4.1.3多功能大样品仓1个；</w:t>
      </w:r>
    </w:p>
    <w:p w14:paraId="57B5B32E">
      <w:pPr>
        <w:spacing w:line="360" w:lineRule="auto"/>
        <w:ind w:firstLine="480" w:firstLineChars="200"/>
        <w:rPr>
          <w:sz w:val="24"/>
        </w:rPr>
      </w:pPr>
      <w:r>
        <w:rPr>
          <w:rFonts w:hint="eastAsia"/>
          <w:sz w:val="24"/>
        </w:rPr>
        <w:t>4.1.4标准液体样品池支架1个；</w:t>
      </w:r>
    </w:p>
    <w:p w14:paraId="2AECEFB4">
      <w:pPr>
        <w:spacing w:line="360" w:lineRule="auto"/>
        <w:ind w:firstLine="480" w:firstLineChars="200"/>
        <w:rPr>
          <w:sz w:val="24"/>
        </w:rPr>
      </w:pPr>
      <w:r>
        <w:rPr>
          <w:rFonts w:hint="eastAsia"/>
          <w:sz w:val="24"/>
        </w:rPr>
        <w:t>4.1.5电制冷紫外可见PMT检测器1个；</w:t>
      </w:r>
    </w:p>
    <w:p w14:paraId="46EEDD3B">
      <w:pPr>
        <w:spacing w:line="360" w:lineRule="auto"/>
        <w:ind w:firstLine="480" w:firstLineChars="200"/>
        <w:rPr>
          <w:sz w:val="24"/>
        </w:rPr>
      </w:pPr>
      <w:r>
        <w:rPr>
          <w:rFonts w:hint="eastAsia"/>
          <w:sz w:val="24"/>
        </w:rPr>
        <w:t>4.1.6包含全部操控测试分析功能的软件1套。</w:t>
      </w:r>
    </w:p>
    <w:p w14:paraId="76C67103">
      <w:pPr>
        <w:spacing w:line="360" w:lineRule="auto"/>
        <w:rPr>
          <w:sz w:val="24"/>
        </w:rPr>
      </w:pPr>
      <w:r>
        <w:rPr>
          <w:rFonts w:hint="eastAsia"/>
          <w:sz w:val="24"/>
        </w:rPr>
        <w:t>4.2功能附件，包括：</w:t>
      </w:r>
    </w:p>
    <w:p w14:paraId="2FDDB299">
      <w:pPr>
        <w:spacing w:line="360" w:lineRule="auto"/>
        <w:ind w:firstLine="480" w:firstLineChars="200"/>
        <w:rPr>
          <w:sz w:val="24"/>
        </w:rPr>
      </w:pPr>
      <w:r>
        <w:rPr>
          <w:rFonts w:hint="eastAsia"/>
          <w:sz w:val="24"/>
        </w:rPr>
        <w:t>4.2.1前表面固体样品支架及附件1套；</w:t>
      </w:r>
    </w:p>
    <w:p w14:paraId="6ED927D8">
      <w:pPr>
        <w:spacing w:line="360" w:lineRule="auto"/>
        <w:ind w:firstLine="480" w:firstLineChars="200"/>
        <w:rPr>
          <w:sz w:val="24"/>
        </w:rPr>
      </w:pPr>
      <w:r>
        <w:rPr>
          <w:rFonts w:hint="eastAsia"/>
          <w:sz w:val="24"/>
        </w:rPr>
        <w:t>4.2.2液氮变温附件1套；</w:t>
      </w:r>
    </w:p>
    <w:p w14:paraId="18782A9B">
      <w:pPr>
        <w:spacing w:line="360" w:lineRule="auto"/>
        <w:ind w:firstLine="480" w:firstLineChars="200"/>
        <w:rPr>
          <w:sz w:val="24"/>
        </w:rPr>
      </w:pPr>
      <w:r>
        <w:rPr>
          <w:rFonts w:hint="eastAsia"/>
          <w:sz w:val="24"/>
        </w:rPr>
        <w:t>4.2.3 448nm脉冲激光器；</w:t>
      </w:r>
    </w:p>
    <w:p w14:paraId="63D6BA7E">
      <w:pPr>
        <w:spacing w:line="360" w:lineRule="auto"/>
        <w:ind w:firstLine="480" w:firstLineChars="200"/>
        <w:rPr>
          <w:sz w:val="24"/>
        </w:rPr>
      </w:pPr>
      <w:r>
        <w:rPr>
          <w:rFonts w:hint="eastAsia"/>
          <w:sz w:val="24"/>
        </w:rPr>
        <w:t>4.2.4 石英比色皿1个；</w:t>
      </w:r>
    </w:p>
    <w:p w14:paraId="0A2B8789">
      <w:pPr>
        <w:spacing w:line="360" w:lineRule="auto"/>
        <w:ind w:firstLine="480" w:firstLineChars="200"/>
        <w:rPr>
          <w:sz w:val="24"/>
        </w:rPr>
      </w:pPr>
      <w:r>
        <w:rPr>
          <w:rFonts w:hint="eastAsia"/>
          <w:sz w:val="24"/>
        </w:rPr>
        <w:t>4.2.5 固体粉末夹具2个。</w:t>
      </w:r>
    </w:p>
    <w:p w14:paraId="645743A8">
      <w:pPr>
        <w:spacing w:line="360" w:lineRule="auto"/>
        <w:ind w:left="420" w:firstLine="240"/>
        <w:rPr>
          <w:sz w:val="24"/>
        </w:rPr>
      </w:pPr>
    </w:p>
    <w:p w14:paraId="38C192F3">
      <w:pPr>
        <w:numPr>
          <w:ilvl w:val="0"/>
          <w:numId w:val="2"/>
        </w:numPr>
        <w:spacing w:line="360" w:lineRule="auto"/>
        <w:rPr>
          <w:b/>
          <w:sz w:val="24"/>
        </w:rPr>
      </w:pPr>
      <w:r>
        <w:rPr>
          <w:rFonts w:hint="eastAsia"/>
          <w:b/>
          <w:sz w:val="24"/>
        </w:rPr>
        <w:t>选购附件、备件及消耗品</w:t>
      </w:r>
    </w:p>
    <w:p w14:paraId="72A49170">
      <w:pPr>
        <w:spacing w:line="360" w:lineRule="auto"/>
        <w:rPr>
          <w:sz w:val="24"/>
        </w:rPr>
      </w:pPr>
      <w:r>
        <w:rPr>
          <w:rFonts w:hint="eastAsia"/>
          <w:sz w:val="24"/>
          <w:lang w:val="en-US" w:eastAsia="zh-CN"/>
        </w:rPr>
        <w:t>无</w:t>
      </w:r>
      <w:r>
        <w:rPr>
          <w:rFonts w:hint="eastAsia"/>
          <w:sz w:val="24"/>
        </w:rPr>
        <w:t xml:space="preserve">   </w:t>
      </w:r>
    </w:p>
    <w:p w14:paraId="4F35A158">
      <w:pPr>
        <w:tabs>
          <w:tab w:val="left" w:pos="540"/>
        </w:tabs>
        <w:spacing w:line="360" w:lineRule="auto"/>
        <w:rPr>
          <w:sz w:val="24"/>
        </w:rPr>
      </w:pPr>
      <w:r>
        <w:rPr>
          <w:rFonts w:hint="eastAsia"/>
          <w:sz w:val="24"/>
        </w:rPr>
        <w:t xml:space="preserve">   </w:t>
      </w:r>
    </w:p>
    <w:p w14:paraId="21771CF6">
      <w:pPr>
        <w:tabs>
          <w:tab w:val="left" w:pos="540"/>
        </w:tabs>
        <w:spacing w:line="360" w:lineRule="auto"/>
        <w:rPr>
          <w:b/>
          <w:sz w:val="24"/>
        </w:rPr>
      </w:pPr>
      <w:r>
        <w:rPr>
          <w:rFonts w:hint="eastAsia"/>
          <w:b/>
          <w:sz w:val="24"/>
        </w:rPr>
        <w:t>6.  技术文件：</w:t>
      </w:r>
    </w:p>
    <w:p w14:paraId="582F38D1">
      <w:pPr>
        <w:spacing w:line="360" w:lineRule="auto"/>
        <w:rPr>
          <w:sz w:val="24"/>
        </w:rPr>
      </w:pPr>
      <w:r>
        <w:rPr>
          <w:rFonts w:hint="eastAsia"/>
          <w:sz w:val="24"/>
        </w:rPr>
        <w:t>6.1 投标人应提供仪器电子版说明书。</w:t>
      </w:r>
    </w:p>
    <w:p w14:paraId="3A8FA3EE">
      <w:pPr>
        <w:spacing w:line="360" w:lineRule="auto"/>
        <w:rPr>
          <w:sz w:val="24"/>
        </w:rPr>
      </w:pPr>
      <w:r>
        <w:rPr>
          <w:rFonts w:hint="eastAsia"/>
          <w:sz w:val="24"/>
        </w:rPr>
        <w:t>6.2 投标人应提供仪器使用软件的备份。</w:t>
      </w:r>
    </w:p>
    <w:p w14:paraId="03BC837C">
      <w:pPr>
        <w:spacing w:line="360" w:lineRule="auto"/>
        <w:rPr>
          <w:sz w:val="24"/>
        </w:rPr>
      </w:pPr>
      <w:r>
        <w:rPr>
          <w:rFonts w:hint="eastAsia"/>
          <w:sz w:val="24"/>
        </w:rPr>
        <w:t>6.3 提供电子版操作手册。</w:t>
      </w:r>
    </w:p>
    <w:p w14:paraId="01B908DC">
      <w:pPr>
        <w:spacing w:line="360" w:lineRule="auto"/>
        <w:rPr>
          <w:rFonts w:hint="eastAsia"/>
          <w:sz w:val="24"/>
          <w:lang w:val="en-US" w:eastAsia="zh-CN"/>
        </w:rPr>
      </w:pPr>
      <w:r>
        <w:rPr>
          <w:rFonts w:hint="eastAsia"/>
          <w:sz w:val="24"/>
          <w:lang w:val="en-US" w:eastAsia="zh-CN"/>
        </w:rPr>
        <w:t>6.4 投标人应提供仪器主体及主要附件的详细的操作、安装及调整说明书。</w:t>
      </w:r>
    </w:p>
    <w:p w14:paraId="696AEDF4">
      <w:pPr>
        <w:spacing w:line="360" w:lineRule="auto"/>
        <w:rPr>
          <w:sz w:val="24"/>
        </w:rPr>
      </w:pPr>
    </w:p>
    <w:p w14:paraId="79FFE6D0">
      <w:pPr>
        <w:spacing w:line="360" w:lineRule="auto"/>
        <w:rPr>
          <w:b/>
          <w:sz w:val="24"/>
        </w:rPr>
      </w:pPr>
      <w:r>
        <w:rPr>
          <w:rFonts w:hint="eastAsia"/>
          <w:b/>
          <w:sz w:val="24"/>
        </w:rPr>
        <w:t>（二）质保及售后服务：</w:t>
      </w:r>
    </w:p>
    <w:p w14:paraId="7D3390EE">
      <w:pPr>
        <w:spacing w:line="360" w:lineRule="auto"/>
        <w:rPr>
          <w:sz w:val="24"/>
        </w:rPr>
      </w:pPr>
      <w:r>
        <w:rPr>
          <w:rFonts w:hint="eastAsia"/>
          <w:sz w:val="24"/>
        </w:rPr>
        <w:t xml:space="preserve">1.1 设备安装、调试和验收 </w:t>
      </w:r>
    </w:p>
    <w:p w14:paraId="7EF22E65">
      <w:pPr>
        <w:spacing w:line="360" w:lineRule="auto"/>
        <w:ind w:firstLine="480" w:firstLineChars="200"/>
        <w:rPr>
          <w:sz w:val="24"/>
        </w:rPr>
      </w:pPr>
      <w:r>
        <w:rPr>
          <w:rFonts w:hint="eastAsia"/>
          <w:sz w:val="24"/>
        </w:rPr>
        <w:t>1.1.1 卖方应在合同生效后的1个月内到向买方提出详细的安装要求并提供技术咨询。</w:t>
      </w:r>
    </w:p>
    <w:p w14:paraId="2336555D">
      <w:pPr>
        <w:spacing w:line="360" w:lineRule="auto"/>
        <w:ind w:firstLine="480" w:firstLineChars="200"/>
        <w:rPr>
          <w:sz w:val="24"/>
        </w:rPr>
      </w:pPr>
      <w:r>
        <w:rPr>
          <w:rFonts w:hint="eastAsia"/>
          <w:sz w:val="24"/>
        </w:rPr>
        <w:t>1.1.2 仪器到达买方所在地后，在接到买方通知后2周内卖方进行现场安装调试，并在1个月内完成所有技术指标。若1个月内无法达到技术指标，买方有权退货，此时卖方必须全额退回买方已支付的款项，同时承担由此给买方带来的一切经济损失和其它相关责任。卖方免费提供全面安装工具，安装工程师技术服务费用由供应商承担。安装调试过程中，工程师有义务对采购人讲解仪器操作及注意事项，对采购人提出的问题安装工程师须认真讲解和回答。</w:t>
      </w:r>
    </w:p>
    <w:p w14:paraId="4E1279E1">
      <w:pPr>
        <w:spacing w:line="360" w:lineRule="auto"/>
        <w:ind w:firstLine="480" w:firstLineChars="200"/>
        <w:rPr>
          <w:sz w:val="24"/>
        </w:rPr>
      </w:pPr>
      <w:r>
        <w:rPr>
          <w:rFonts w:hint="eastAsia"/>
          <w:sz w:val="24"/>
        </w:rPr>
        <w:t>1.1.3 卖方、买方共同参加开箱检验，及时对货物数量、品种、型号、规格进行核对、检验，如果在联合开箱检验中发现货物有任何短少，缺损，缺陷或与合同规定不符，双方代表应当场签署1份详细报告，该报告将作为买方在卖方有责任的情况下要求卖方进行更换、修理或补充发货的有效证据。</w:t>
      </w:r>
    </w:p>
    <w:p w14:paraId="7241B5FE">
      <w:pPr>
        <w:spacing w:line="360" w:lineRule="auto"/>
        <w:rPr>
          <w:sz w:val="24"/>
        </w:rPr>
      </w:pPr>
      <w:r>
        <w:rPr>
          <w:rFonts w:hint="eastAsia"/>
          <w:sz w:val="24"/>
        </w:rPr>
        <w:t>1.2 质量保证：卖方保证所提供产品是全新的、其功能与指标满足制造商的技术标准，并保证无条件满足中华人民共和国国家强制性执行标准，确保人身安全和劳动保护条件。</w:t>
      </w:r>
    </w:p>
    <w:p w14:paraId="63E31CFF">
      <w:pPr>
        <w:spacing w:line="360" w:lineRule="auto"/>
        <w:rPr>
          <w:sz w:val="24"/>
        </w:rPr>
      </w:pPr>
      <w:r>
        <w:rPr>
          <w:rFonts w:hint="eastAsia"/>
          <w:sz w:val="24"/>
        </w:rPr>
        <w:t>1.3 技术培训：卖方设备安装调试完成后，应对用户技术人员进行设备工作原理、数据处理、调试、操作、仪器维护、故障排除等方面的现场培训，直至用户学会为止。培训时提供完整的培训资料，包括使用说明书、工作原理图、数据处理、电气连接图、操作流程、注意事项等。</w:t>
      </w:r>
    </w:p>
    <w:p w14:paraId="7DD0DB78">
      <w:pPr>
        <w:spacing w:line="360" w:lineRule="auto"/>
        <w:rPr>
          <w:sz w:val="24"/>
        </w:rPr>
      </w:pPr>
      <w:r>
        <w:rPr>
          <w:rFonts w:hint="eastAsia"/>
          <w:sz w:val="24"/>
        </w:rPr>
        <w:t>1.4 保修期：保修期至少为壹年，保修期自用户验收签字之日起计算。保修范围为整机、附属设备及备品备件。如因客户原因未能及时安装调试，保修期从到货之日计起至少15个月。保修期内出现故障导致仪器停用的时间，从保修期中扣除。保修期满前1个月内卖方应负责一次免费全面检查，并写出正式报告，如发现潜在问题，应负责排除。</w:t>
      </w:r>
    </w:p>
    <w:p w14:paraId="7C689EBF">
      <w:pPr>
        <w:spacing w:line="360" w:lineRule="auto"/>
        <w:rPr>
          <w:sz w:val="24"/>
        </w:rPr>
      </w:pPr>
      <w:r>
        <w:rPr>
          <w:rFonts w:hint="eastAsia"/>
          <w:sz w:val="24"/>
        </w:rPr>
        <w:t>1.5 维修响应时间：如出现故障，在接到采购人维修服务的请求后，卖方应在4小时内对用户的服务要求作出响应，维修服务包括但不限于电话指导、远程调控和现场维修；需要现场维修的，卖方工程师应尽快到达仪器现场；当设备故障严重时,须在五个工作日内到现场解决问题。</w:t>
      </w:r>
    </w:p>
    <w:p w14:paraId="4E94F595">
      <w:pPr>
        <w:spacing w:line="360" w:lineRule="auto"/>
        <w:rPr>
          <w:sz w:val="24"/>
        </w:rPr>
      </w:pPr>
      <w:r>
        <w:rPr>
          <w:rFonts w:hint="eastAsia"/>
          <w:sz w:val="24"/>
        </w:rPr>
        <w:t>1.6 软、硬件升级：卖方应向用户提供仪器软件终身免费升级服务，与之相关的硬件升级收取成本费。</w:t>
      </w:r>
    </w:p>
    <w:p w14:paraId="42100C37">
      <w:pPr>
        <w:spacing w:line="360" w:lineRule="auto"/>
        <w:rPr>
          <w:sz w:val="24"/>
        </w:rPr>
      </w:pPr>
    </w:p>
    <w:p w14:paraId="13DFA0B8">
      <w:pPr>
        <w:spacing w:line="360" w:lineRule="auto"/>
        <w:rPr>
          <w:b/>
          <w:sz w:val="24"/>
        </w:rPr>
      </w:pPr>
      <w:r>
        <w:rPr>
          <w:rFonts w:hint="eastAsia"/>
          <w:b/>
          <w:sz w:val="24"/>
        </w:rPr>
        <w:t>（三） 订货数量：</w:t>
      </w:r>
    </w:p>
    <w:p w14:paraId="1D272D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rPr>
      </w:pPr>
      <w:r>
        <w:rPr>
          <w:rFonts w:hint="eastAsia"/>
          <w:sz w:val="24"/>
        </w:rPr>
        <w:t>1套</w:t>
      </w:r>
    </w:p>
    <w:p w14:paraId="5FE0D4FD">
      <w:pPr>
        <w:spacing w:line="360" w:lineRule="auto"/>
        <w:rPr>
          <w:sz w:val="24"/>
        </w:rPr>
      </w:pPr>
    </w:p>
    <w:p w14:paraId="4CAFDDC1">
      <w:pPr>
        <w:spacing w:line="360" w:lineRule="auto"/>
        <w:rPr>
          <w:b/>
          <w:sz w:val="24"/>
        </w:rPr>
      </w:pPr>
      <w:r>
        <w:rPr>
          <w:rFonts w:hint="eastAsia"/>
          <w:b/>
          <w:sz w:val="24"/>
        </w:rPr>
        <w:t>（四）交货日期和交货地点（项目现场）：</w:t>
      </w:r>
    </w:p>
    <w:p w14:paraId="14DB84DD">
      <w:pPr>
        <w:spacing w:line="360" w:lineRule="auto"/>
        <w:ind w:firstLine="480" w:firstLineChars="200"/>
        <w:rPr>
          <w:sz w:val="24"/>
        </w:rPr>
      </w:pPr>
      <w:r>
        <w:rPr>
          <w:rFonts w:hint="eastAsia"/>
          <w:sz w:val="24"/>
        </w:rPr>
        <w:t>合同生效后5个月内。</w:t>
      </w:r>
    </w:p>
    <w:p w14:paraId="4FD4C551">
      <w:pPr>
        <w:spacing w:line="360" w:lineRule="auto"/>
        <w:ind w:firstLine="480" w:firstLineChars="200"/>
        <w:rPr>
          <w:sz w:val="24"/>
        </w:rPr>
      </w:pPr>
      <w:r>
        <w:rPr>
          <w:rFonts w:hint="eastAsia"/>
          <w:sz w:val="24"/>
        </w:rPr>
        <w:t>中国科学院福建物质结构研究所</w:t>
      </w:r>
    </w:p>
    <w:p w14:paraId="423C2051">
      <w:pPr>
        <w:spacing w:line="360" w:lineRule="auto"/>
        <w:rPr>
          <w:sz w:val="24"/>
        </w:rPr>
      </w:pPr>
    </w:p>
    <w:p w14:paraId="193141B9">
      <w:pPr>
        <w:spacing w:line="360" w:lineRule="auto"/>
        <w:rPr>
          <w:sz w:val="24"/>
        </w:rPr>
      </w:pPr>
      <w:r>
        <w:rPr>
          <w:rFonts w:hint="eastAsia"/>
          <w:b/>
          <w:sz w:val="24"/>
        </w:rPr>
        <w:t xml:space="preserve">（五）付款方式：  </w:t>
      </w:r>
      <w:r>
        <w:rPr>
          <w:rFonts w:hint="eastAsia"/>
          <w:sz w:val="24"/>
        </w:rPr>
        <w:t xml:space="preserve">                                       </w:t>
      </w:r>
    </w:p>
    <w:p w14:paraId="59BDD8CA">
      <w:pPr>
        <w:adjustRightInd w:val="0"/>
        <w:snapToGrid w:val="0"/>
        <w:spacing w:line="360" w:lineRule="auto"/>
        <w:ind w:firstLine="480" w:firstLineChars="200"/>
        <w:rPr>
          <w:rFonts w:hint="eastAsia" w:ascii="宋体" w:hAnsi="宋体"/>
          <w:sz w:val="24"/>
          <w:highlight w:val="none"/>
        </w:rPr>
      </w:pPr>
      <w:r>
        <w:rPr>
          <w:rFonts w:hint="eastAsia" w:ascii="宋体" w:hAnsi="宋体"/>
          <w:sz w:val="24"/>
          <w:highlight w:val="none"/>
        </w:rPr>
        <w:t>对于国产产品，100%凭用户代表签字并加盖单位公章后的验收报告支付；</w:t>
      </w:r>
    </w:p>
    <w:p w14:paraId="1479F88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sz w:val="24"/>
        </w:rPr>
      </w:pPr>
      <w:r>
        <w:rPr>
          <w:rFonts w:hint="eastAsia" w:ascii="宋体" w:hAnsi="宋体"/>
          <w:sz w:val="24"/>
          <w:highlight w:val="none"/>
        </w:rPr>
        <w:t>对于进口产品</w:t>
      </w:r>
      <w:r>
        <w:rPr>
          <w:rFonts w:hint="eastAsia" w:ascii="宋体" w:hAnsi="宋体"/>
          <w:sz w:val="24"/>
          <w:highlight w:val="none"/>
          <w:lang w:eastAsia="zh-CN"/>
        </w:rPr>
        <w:t>，</w:t>
      </w:r>
      <w:r>
        <w:rPr>
          <w:rFonts w:hint="eastAsia" w:ascii="宋体" w:hAnsi="宋体"/>
          <w:sz w:val="24"/>
        </w:rPr>
        <w:t>采用即期不可撤消信用证等国际贸易支付条件支付：</w:t>
      </w:r>
    </w:p>
    <w:p w14:paraId="4AED9CE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sz w:val="24"/>
        </w:rPr>
      </w:pPr>
      <w:r>
        <w:rPr>
          <w:rFonts w:ascii="宋体" w:hAnsi="宋体"/>
          <w:sz w:val="24"/>
        </w:rPr>
        <w:t>90</w:t>
      </w:r>
      <w:r>
        <w:rPr>
          <w:rFonts w:hint="eastAsia" w:ascii="宋体" w:hAnsi="宋体"/>
          <w:sz w:val="24"/>
        </w:rPr>
        <w:t>%凭到岸运保凭证支付；</w:t>
      </w:r>
    </w:p>
    <w:p w14:paraId="0EEC7779">
      <w:pPr>
        <w:pStyle w:val="2"/>
        <w:keepNext w:val="0"/>
        <w:keepLines w:val="0"/>
        <w:pageBreakBefore w:val="0"/>
        <w:widowControl w:val="0"/>
        <w:kinsoku/>
        <w:wordWrap/>
        <w:overflowPunct/>
        <w:topLinePunct w:val="0"/>
        <w:autoSpaceDE/>
        <w:autoSpaceDN/>
        <w:bidi w:val="0"/>
        <w:spacing w:line="360" w:lineRule="auto"/>
        <w:ind w:firstLine="480" w:firstLineChars="200"/>
        <w:textAlignment w:val="auto"/>
      </w:pPr>
      <w:r>
        <w:rPr>
          <w:rFonts w:ascii="宋体" w:hAnsi="宋体"/>
          <w:sz w:val="24"/>
        </w:rPr>
        <w:t>10</w:t>
      </w:r>
      <w:r>
        <w:rPr>
          <w:rFonts w:hint="eastAsia" w:ascii="宋体" w:hAnsi="宋体"/>
          <w:sz w:val="24"/>
        </w:rPr>
        <w:t>%凭用户代表签字并加盖单位公章后的验收报告支付。</w:t>
      </w:r>
    </w:p>
    <w:p w14:paraId="3522C2D9">
      <w:pPr>
        <w:spacing w:line="360" w:lineRule="auto"/>
        <w:rPr>
          <w:sz w:val="24"/>
        </w:rPr>
      </w:pPr>
    </w:p>
    <w:p w14:paraId="29E15628">
      <w:pPr>
        <w:spacing w:line="360" w:lineRule="auto"/>
        <w:rPr>
          <w:b/>
          <w:sz w:val="24"/>
        </w:rPr>
      </w:pPr>
      <w:r>
        <w:rPr>
          <w:rFonts w:hint="eastAsia"/>
          <w:b/>
          <w:sz w:val="24"/>
        </w:rPr>
        <w:t>（六）执行的相关标准</w:t>
      </w:r>
    </w:p>
    <w:p w14:paraId="2F04AA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inherit" w:hAnsi="inherit" w:cs="宋体"/>
          <w:kern w:val="0"/>
          <w:sz w:val="24"/>
        </w:rPr>
      </w:pPr>
      <w:r>
        <w:rPr>
          <w:rFonts w:hint="eastAsia" w:ascii="inherit" w:hAnsi="inherit" w:cs="宋体"/>
          <w:kern w:val="0"/>
          <w:sz w:val="24"/>
        </w:rPr>
        <w:t>产品应满足相关国家标准及行业标准。</w:t>
      </w:r>
    </w:p>
    <w:p w14:paraId="4B5DBF9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Bookman Old Style">
    <w:panose1 w:val="02050604050505020204"/>
    <w:charset w:val="00"/>
    <w:family w:val="roman"/>
    <w:pitch w:val="default"/>
    <w:sig w:usb0="00000287" w:usb1="00000000" w:usb2="00000000" w:usb3="00000000" w:csb0="2000009F" w:csb1="DFD70000"/>
  </w:font>
  <w:font w:name="inherit">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6BE2682"/>
    <w:rsid w:val="52345D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99"/>
    <w:pPr>
      <w:jc w:val="left"/>
    </w:pPr>
    <w:rPr>
      <w:rFonts w:ascii="Cambria" w:hAnsi="Cambria"/>
      <w:szCs w:val="21"/>
    </w:rPr>
  </w:style>
  <w:style w:type="paragraph" w:styleId="3">
    <w:name w:val="Plain Text"/>
    <w:basedOn w:val="1"/>
    <w:qFormat/>
    <w:uiPriority w:val="99"/>
    <w:rPr>
      <w:rFonts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3864</Words>
  <Characters>4441</Characters>
  <Lines>0</Lines>
  <Paragraphs>0</Paragraphs>
  <TotalTime>0</TotalTime>
  <ScaleCrop>false</ScaleCrop>
  <LinksUpToDate>false</LinksUpToDate>
  <CharactersWithSpaces>4579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2025-04-25T08:03:00Z</dcterms:created>
  <dc:creator>yzjia</dc:creator>
  <cp:lastModifiedBy>清</cp:lastModifiedBy>
  <dcterms:modified xsi:type="dcterms:W3CDTF">2025-04-28T01:37:43Z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eyJoZGlkIjoiYzIzNjhjZjkxMjg2OGJjOTQ0NThhNzBhOGI4YTVmYWYiLCJ1c2VySWQiOiIyNDgyNzkwNjcifQ==</vt:lpwstr>
  </property>
  <property fmtid="{D5CDD505-2E9C-101B-9397-08002B2CF9AE}" pid="4" name="ICV">
    <vt:lpwstr>3F7DCE5DD17D4D12A5417BFC9C7533FE_13</vt:lpwstr>
  </property>
</Properties>
</file>