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727312">
      <w:pPr>
        <w:adjustRightInd w:val="0"/>
        <w:snapToGrid w:val="0"/>
        <w:jc w:val="center"/>
        <w:rPr>
          <w:rFonts w:hint="eastAsia" w:ascii="宋体" w:hAnsi="宋体"/>
          <w:bCs/>
          <w:szCs w:val="32"/>
        </w:rPr>
      </w:pPr>
      <w:bookmarkStart w:id="5" w:name="_GoBack"/>
      <w:bookmarkEnd w:id="5"/>
      <w:r>
        <w:rPr>
          <w:rFonts w:hint="eastAsia"/>
          <w:b/>
          <w:sz w:val="44"/>
        </w:rPr>
        <w:drawing>
          <wp:anchor distT="0" distB="0" distL="114300" distR="114300" simplePos="0" relativeHeight="251659264" behindDoc="1" locked="0" layoutInCell="1" allowOverlap="1">
            <wp:simplePos x="0" y="0"/>
            <wp:positionH relativeFrom="column">
              <wp:posOffset>4242435</wp:posOffset>
            </wp:positionH>
            <wp:positionV relativeFrom="paragraph">
              <wp:posOffset>31115</wp:posOffset>
            </wp:positionV>
            <wp:extent cx="1628775" cy="600075"/>
            <wp:effectExtent l="0" t="0" r="9525" b="9525"/>
            <wp:wrapTight wrapText="bothSides">
              <wp:wrapPolygon>
                <wp:start x="-126" y="0"/>
                <wp:lineTo x="-126" y="21257"/>
                <wp:lineTo x="21600" y="21257"/>
                <wp:lineTo x="21600" y="0"/>
                <wp:lineTo x="-126" y="0"/>
              </wp:wrapPolygon>
            </wp:wrapTight>
            <wp:docPr id="5" name="图片 8"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无标题"/>
                    <pic:cNvPicPr>
                      <a:picLocks noChangeAspect="1"/>
                    </pic:cNvPicPr>
                  </pic:nvPicPr>
                  <pic:blipFill>
                    <a:blip r:embed="rId8"/>
                    <a:stretch>
                      <a:fillRect/>
                    </a:stretch>
                  </pic:blipFill>
                  <pic:spPr>
                    <a:xfrm>
                      <a:off x="0" y="0"/>
                      <a:ext cx="1628775" cy="600075"/>
                    </a:xfrm>
                    <a:prstGeom prst="rect">
                      <a:avLst/>
                    </a:prstGeom>
                    <a:noFill/>
                    <a:ln>
                      <a:noFill/>
                    </a:ln>
                  </pic:spPr>
                </pic:pic>
              </a:graphicData>
            </a:graphic>
          </wp:anchor>
        </w:drawing>
      </w:r>
      <w:r>
        <w:rPr>
          <w:rFonts w:hint="eastAsia" w:ascii="宋体" w:hAnsi="宋体"/>
          <w:b/>
          <w:sz w:val="32"/>
          <w:szCs w:val="32"/>
        </w:rPr>
        <w:t xml:space="preserve">                                           </w:t>
      </w:r>
    </w:p>
    <w:p w14:paraId="2B23FF25">
      <w:pPr>
        <w:ind w:right="-281"/>
        <w:jc w:val="right"/>
        <w:rPr>
          <w:rFonts w:ascii="Bookman Old Style" w:hAnsi="Bookman Old Style"/>
          <w:b/>
          <w:sz w:val="28"/>
        </w:rPr>
      </w:pPr>
    </w:p>
    <w:p w14:paraId="2D042A5F">
      <w:pPr>
        <w:spacing w:after="240" w:afterLines="100" w:line="500" w:lineRule="exact"/>
        <w:jc w:val="center"/>
        <w:rPr>
          <w:b/>
          <w:sz w:val="44"/>
          <w:szCs w:val="44"/>
        </w:rPr>
      </w:pPr>
    </w:p>
    <w:p w14:paraId="5C538155">
      <w:pPr>
        <w:spacing w:after="240" w:afterLines="100" w:line="500" w:lineRule="exact"/>
        <w:jc w:val="center"/>
        <w:rPr>
          <w:b/>
          <w:sz w:val="52"/>
          <w:szCs w:val="52"/>
        </w:rPr>
      </w:pPr>
    </w:p>
    <w:p w14:paraId="4892CF7C">
      <w:pPr>
        <w:spacing w:after="240" w:afterLines="100" w:line="500" w:lineRule="exact"/>
        <w:jc w:val="center"/>
        <w:rPr>
          <w:b/>
          <w:sz w:val="52"/>
          <w:szCs w:val="52"/>
        </w:rPr>
      </w:pPr>
      <w:r>
        <w:rPr>
          <w:rFonts w:hint="eastAsia"/>
          <w:b/>
          <w:sz w:val="52"/>
          <w:szCs w:val="52"/>
        </w:rPr>
        <w:t>中国科学院重庆绿色智能技术研究院</w:t>
      </w:r>
    </w:p>
    <w:p w14:paraId="48F60477">
      <w:pPr>
        <w:spacing w:after="240" w:afterLines="100"/>
        <w:jc w:val="center"/>
        <w:rPr>
          <w:b/>
          <w:sz w:val="52"/>
          <w:szCs w:val="52"/>
        </w:rPr>
      </w:pPr>
      <w:r>
        <w:rPr>
          <w:rFonts w:hint="eastAsia"/>
          <w:b/>
          <w:sz w:val="52"/>
          <w:szCs w:val="52"/>
        </w:rPr>
        <w:t>X射线光电子能谱仪采购项目</w:t>
      </w:r>
    </w:p>
    <w:p w14:paraId="374F2726">
      <w:pPr>
        <w:spacing w:line="360" w:lineRule="auto"/>
        <w:jc w:val="center"/>
        <w:rPr>
          <w:b/>
          <w:sz w:val="44"/>
        </w:rPr>
      </w:pPr>
    </w:p>
    <w:p w14:paraId="5A1617C2">
      <w:pPr>
        <w:spacing w:line="360" w:lineRule="auto"/>
        <w:rPr>
          <w:b/>
          <w:sz w:val="44"/>
        </w:rPr>
      </w:pPr>
    </w:p>
    <w:p w14:paraId="459A66BA">
      <w:pPr>
        <w:spacing w:line="360" w:lineRule="auto"/>
        <w:jc w:val="center"/>
        <w:rPr>
          <w:rFonts w:hint="eastAsia" w:ascii="宋体" w:hAnsi="宋体"/>
          <w:b/>
          <w:szCs w:val="21"/>
        </w:rPr>
      </w:pPr>
      <w:r>
        <w:rPr>
          <w:rFonts w:hint="eastAsia" w:ascii="宋体" w:hAnsi="宋体"/>
          <w:b/>
          <w:sz w:val="72"/>
          <w:szCs w:val="52"/>
        </w:rPr>
        <w:t>招</w:t>
      </w:r>
      <w:r>
        <w:rPr>
          <w:rFonts w:ascii="宋体" w:hAnsi="宋体"/>
          <w:b/>
          <w:sz w:val="72"/>
          <w:szCs w:val="52"/>
        </w:rPr>
        <w:t xml:space="preserve">  </w:t>
      </w:r>
      <w:r>
        <w:rPr>
          <w:rFonts w:hint="eastAsia" w:ascii="宋体" w:hAnsi="宋体"/>
          <w:b/>
          <w:sz w:val="72"/>
          <w:szCs w:val="52"/>
        </w:rPr>
        <w:t>标</w:t>
      </w:r>
      <w:r>
        <w:rPr>
          <w:rFonts w:ascii="宋体" w:hAnsi="宋体"/>
          <w:b/>
          <w:sz w:val="72"/>
          <w:szCs w:val="52"/>
        </w:rPr>
        <w:t xml:space="preserve">  </w:t>
      </w:r>
      <w:r>
        <w:rPr>
          <w:rFonts w:hint="eastAsia" w:ascii="宋体" w:hAnsi="宋体"/>
          <w:b/>
          <w:sz w:val="72"/>
          <w:szCs w:val="52"/>
        </w:rPr>
        <w:t>文</w:t>
      </w:r>
      <w:r>
        <w:rPr>
          <w:rFonts w:ascii="宋体" w:hAnsi="宋体"/>
          <w:b/>
          <w:sz w:val="72"/>
          <w:szCs w:val="52"/>
        </w:rPr>
        <w:t xml:space="preserve">  </w:t>
      </w:r>
      <w:r>
        <w:rPr>
          <w:rFonts w:hint="eastAsia" w:ascii="宋体" w:hAnsi="宋体"/>
          <w:b/>
          <w:sz w:val="72"/>
          <w:szCs w:val="52"/>
        </w:rPr>
        <w:t>件</w:t>
      </w:r>
    </w:p>
    <w:p w14:paraId="41EC9BA8">
      <w:pPr>
        <w:spacing w:line="360" w:lineRule="auto"/>
        <w:jc w:val="center"/>
        <w:rPr>
          <w:rFonts w:hint="eastAsia" w:ascii="宋体" w:hAnsi="宋体"/>
          <w:b/>
          <w:sz w:val="32"/>
          <w:szCs w:val="32"/>
        </w:rPr>
      </w:pPr>
    </w:p>
    <w:p w14:paraId="41C822D7">
      <w:pPr>
        <w:spacing w:line="360" w:lineRule="auto"/>
        <w:jc w:val="center"/>
        <w:rPr>
          <w:rFonts w:hint="eastAsia" w:ascii="宋体" w:hAnsi="宋体"/>
          <w:b/>
          <w:sz w:val="30"/>
          <w:szCs w:val="30"/>
        </w:rPr>
      </w:pPr>
    </w:p>
    <w:p w14:paraId="282967DE">
      <w:pPr>
        <w:spacing w:line="360" w:lineRule="auto"/>
        <w:ind w:firstLine="2168" w:firstLineChars="600"/>
        <w:rPr>
          <w:b/>
          <w:sz w:val="32"/>
          <w:u w:val="single"/>
        </w:rPr>
      </w:pPr>
      <w:r>
        <w:rPr>
          <w:rFonts w:hint="eastAsia" w:ascii="宋体" w:hAnsi="宋体"/>
          <w:b/>
          <w:sz w:val="36"/>
          <w:szCs w:val="36"/>
        </w:rPr>
        <w:t>招标编号：OITC-G250360366</w:t>
      </w:r>
    </w:p>
    <w:p w14:paraId="2E2BD624">
      <w:pPr>
        <w:spacing w:line="360" w:lineRule="auto"/>
        <w:jc w:val="center"/>
        <w:rPr>
          <w:b/>
          <w:sz w:val="32"/>
        </w:rPr>
      </w:pPr>
    </w:p>
    <w:p w14:paraId="44CA55EF">
      <w:pPr>
        <w:spacing w:line="360" w:lineRule="auto"/>
        <w:jc w:val="center"/>
        <w:rPr>
          <w:b/>
          <w:sz w:val="32"/>
        </w:rPr>
      </w:pPr>
    </w:p>
    <w:p w14:paraId="0D3C7652">
      <w:pPr>
        <w:adjustRightInd w:val="0"/>
        <w:snapToGrid w:val="0"/>
        <w:spacing w:before="120"/>
        <w:ind w:firstLine="1204" w:firstLineChars="300"/>
        <w:rPr>
          <w:rFonts w:hint="eastAsia" w:ascii="宋体" w:hAnsi="宋体"/>
          <w:b/>
          <w:bCs/>
          <w:snapToGrid w:val="0"/>
          <w:spacing w:val="20"/>
          <w:sz w:val="36"/>
          <w:szCs w:val="36"/>
          <w:u w:val="single"/>
        </w:rPr>
      </w:pPr>
      <w:r>
        <w:rPr>
          <w:rFonts w:hint="eastAsia" w:ascii="宋体" w:hAnsi="宋体"/>
          <w:b/>
          <w:bCs/>
          <w:snapToGrid w:val="0"/>
          <w:spacing w:val="20"/>
          <w:sz w:val="36"/>
          <w:szCs w:val="36"/>
        </w:rPr>
        <w:t>采购人：中国科学院重庆绿色智能技术研究院</w:t>
      </w:r>
    </w:p>
    <w:p w14:paraId="0C1FB31B">
      <w:pPr>
        <w:adjustRightInd w:val="0"/>
        <w:snapToGrid w:val="0"/>
        <w:spacing w:before="120"/>
        <w:ind w:firstLine="1204" w:firstLineChars="300"/>
        <w:rPr>
          <w:rFonts w:hint="eastAsia" w:ascii="宋体" w:hAnsi="宋体"/>
          <w:b/>
          <w:bCs/>
          <w:snapToGrid w:val="0"/>
          <w:spacing w:val="20"/>
          <w:sz w:val="36"/>
          <w:szCs w:val="36"/>
        </w:rPr>
      </w:pPr>
    </w:p>
    <w:p w14:paraId="4FD64518">
      <w:pPr>
        <w:adjustRightInd w:val="0"/>
        <w:snapToGrid w:val="0"/>
        <w:spacing w:before="120"/>
        <w:ind w:firstLine="1204" w:firstLineChars="300"/>
        <w:rPr>
          <w:rFonts w:hint="eastAsia" w:ascii="宋体" w:hAnsi="宋体"/>
          <w:b/>
          <w:bCs/>
          <w:snapToGrid w:val="0"/>
          <w:spacing w:val="20"/>
          <w:sz w:val="36"/>
          <w:szCs w:val="36"/>
        </w:rPr>
      </w:pPr>
      <w:r>
        <w:rPr>
          <w:rFonts w:hint="eastAsia" w:ascii="宋体" w:hAnsi="宋体"/>
          <w:b/>
          <w:bCs/>
          <w:snapToGrid w:val="0"/>
          <w:spacing w:val="20"/>
          <w:sz w:val="36"/>
          <w:szCs w:val="36"/>
        </w:rPr>
        <w:t>采购代理机构：东方国际招标有限责任公司</w:t>
      </w:r>
    </w:p>
    <w:p w14:paraId="210B97FD">
      <w:pPr>
        <w:adjustRightInd w:val="0"/>
        <w:snapToGrid w:val="0"/>
        <w:jc w:val="center"/>
        <w:rPr>
          <w:rFonts w:hint="eastAsia" w:ascii="宋体" w:hAnsi="宋体"/>
          <w:b/>
          <w:snapToGrid w:val="0"/>
          <w:sz w:val="36"/>
          <w:szCs w:val="36"/>
        </w:rPr>
      </w:pPr>
    </w:p>
    <w:p w14:paraId="4F53763F">
      <w:pPr>
        <w:adjustRightInd w:val="0"/>
        <w:snapToGrid w:val="0"/>
        <w:jc w:val="center"/>
        <w:rPr>
          <w:rFonts w:hint="eastAsia" w:ascii="宋体" w:hAnsi="宋体"/>
          <w:b/>
          <w:sz w:val="32"/>
          <w:szCs w:val="32"/>
        </w:rPr>
      </w:pPr>
      <w:r>
        <w:rPr>
          <w:rFonts w:hint="eastAsia" w:ascii="宋体" w:hAnsi="宋体"/>
          <w:b/>
          <w:snapToGrid w:val="0"/>
          <w:sz w:val="36"/>
          <w:szCs w:val="36"/>
        </w:rPr>
        <w:t>2025年4月</w:t>
      </w:r>
    </w:p>
    <w:p w14:paraId="569AA7C7">
      <w:pPr>
        <w:adjustRightInd w:val="0"/>
        <w:snapToGrid w:val="0"/>
        <w:spacing w:after="156" w:afterLines="50" w:line="360" w:lineRule="auto"/>
        <w:jc w:val="center"/>
        <w:outlineLvl w:val="0"/>
        <w:rPr>
          <w:rFonts w:ascii="黑体" w:eastAsia="黑体"/>
          <w:b/>
          <w:kern w:val="44"/>
          <w:sz w:val="48"/>
          <w:szCs w:val="20"/>
        </w:rPr>
      </w:pPr>
      <w:r>
        <w:br w:type="page"/>
      </w:r>
      <w:bookmarkStart w:id="0" w:name="_Toc129880039"/>
      <w:bookmarkStart w:id="1" w:name="_Toc512937852"/>
      <w:r>
        <w:rPr>
          <w:rFonts w:hint="eastAsia" w:ascii="宋体" w:hAnsi="宋体"/>
          <w:b/>
          <w:sz w:val="30"/>
          <w:szCs w:val="30"/>
        </w:rPr>
        <w:t>第八部分 采购需求</w:t>
      </w:r>
      <w:bookmarkEnd w:id="0"/>
    </w:p>
    <w:bookmarkEnd w:id="1"/>
    <w:p w14:paraId="762E94BF">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货物需求一览表</w:t>
      </w:r>
    </w:p>
    <w:p w14:paraId="4E4CD9FF">
      <w:pPr>
        <w:adjustRightInd w:val="0"/>
        <w:snapToGrid w:val="0"/>
        <w:jc w:val="center"/>
        <w:rPr>
          <w:rFonts w:hint="eastAsia" w:ascii="宋体" w:hAnsi="宋体"/>
          <w:b/>
          <w:sz w:val="30"/>
          <w:szCs w:val="30"/>
        </w:rPr>
      </w:pPr>
    </w:p>
    <w:tbl>
      <w:tblPr>
        <w:tblStyle w:val="38"/>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62AE2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vAlign w:val="center"/>
          </w:tcPr>
          <w:p w14:paraId="0194D2E6">
            <w:pPr>
              <w:jc w:val="center"/>
              <w:rPr>
                <w:rFonts w:ascii="宋体" w:hAnsi="Bookman Old Style"/>
                <w:sz w:val="24"/>
              </w:rPr>
            </w:pPr>
            <w:r>
              <w:rPr>
                <w:rFonts w:hint="eastAsia" w:ascii="宋体" w:hAnsi="Bookman Old Style"/>
                <w:sz w:val="24"/>
              </w:rPr>
              <w:t>包号</w:t>
            </w:r>
          </w:p>
        </w:tc>
        <w:tc>
          <w:tcPr>
            <w:tcW w:w="2357" w:type="dxa"/>
            <w:vAlign w:val="center"/>
          </w:tcPr>
          <w:p w14:paraId="099C1185">
            <w:pPr>
              <w:jc w:val="center"/>
              <w:rPr>
                <w:rFonts w:ascii="宋体" w:hAnsi="Bookman Old Style"/>
                <w:sz w:val="24"/>
              </w:rPr>
            </w:pPr>
            <w:r>
              <w:rPr>
                <w:rFonts w:hint="eastAsia" w:ascii="宋体" w:hAnsi="Bookman Old Style"/>
                <w:sz w:val="24"/>
              </w:rPr>
              <w:t>货物名称</w:t>
            </w:r>
          </w:p>
        </w:tc>
        <w:tc>
          <w:tcPr>
            <w:tcW w:w="1329" w:type="dxa"/>
            <w:vAlign w:val="center"/>
          </w:tcPr>
          <w:p w14:paraId="7CA10D47">
            <w:pPr>
              <w:jc w:val="center"/>
              <w:rPr>
                <w:rFonts w:ascii="宋体" w:hAnsi="Bookman Old Style"/>
                <w:sz w:val="24"/>
              </w:rPr>
            </w:pPr>
            <w:r>
              <w:rPr>
                <w:rFonts w:hint="eastAsia" w:ascii="宋体" w:hAnsi="Bookman Old Style"/>
                <w:sz w:val="24"/>
              </w:rPr>
              <w:t>数量</w:t>
            </w:r>
          </w:p>
        </w:tc>
        <w:tc>
          <w:tcPr>
            <w:tcW w:w="2470" w:type="dxa"/>
            <w:vAlign w:val="center"/>
          </w:tcPr>
          <w:p w14:paraId="17388704">
            <w:pPr>
              <w:jc w:val="center"/>
              <w:rPr>
                <w:rFonts w:ascii="宋体" w:hAnsi="Bookman Old Style"/>
                <w:sz w:val="24"/>
              </w:rPr>
            </w:pPr>
            <w:r>
              <w:rPr>
                <w:rFonts w:hint="eastAsia" w:ascii="宋体" w:hAnsi="Bookman Old Style"/>
                <w:sz w:val="24"/>
              </w:rPr>
              <w:t>是否接受进口</w:t>
            </w:r>
          </w:p>
        </w:tc>
      </w:tr>
      <w:tr w14:paraId="7FC3B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08CF6A16">
            <w:pPr>
              <w:jc w:val="center"/>
              <w:rPr>
                <w:rFonts w:ascii="宋体"/>
                <w:sz w:val="24"/>
              </w:rPr>
            </w:pPr>
            <w:r>
              <w:rPr>
                <w:rFonts w:hint="eastAsia" w:ascii="宋体"/>
                <w:sz w:val="24"/>
              </w:rPr>
              <w:t>1</w:t>
            </w:r>
          </w:p>
        </w:tc>
        <w:tc>
          <w:tcPr>
            <w:tcW w:w="2357" w:type="dxa"/>
            <w:vAlign w:val="center"/>
          </w:tcPr>
          <w:p w14:paraId="111BEB3E">
            <w:pPr>
              <w:jc w:val="center"/>
              <w:rPr>
                <w:rFonts w:ascii="Bookman Old Style" w:hAnsi="Bookman Old Style"/>
                <w:sz w:val="24"/>
              </w:rPr>
            </w:pPr>
            <w:r>
              <w:rPr>
                <w:rFonts w:hint="eastAsia" w:ascii="Bookman Old Style" w:hAnsi="Bookman Old Style"/>
                <w:sz w:val="24"/>
              </w:rPr>
              <w:t>X射线光电子能谱仪</w:t>
            </w:r>
          </w:p>
        </w:tc>
        <w:tc>
          <w:tcPr>
            <w:tcW w:w="1329" w:type="dxa"/>
            <w:vAlign w:val="center"/>
          </w:tcPr>
          <w:p w14:paraId="376C2723">
            <w:pPr>
              <w:jc w:val="center"/>
              <w:rPr>
                <w:rFonts w:ascii="宋体" w:hAnsi="Bookman Old Style"/>
                <w:sz w:val="24"/>
              </w:rPr>
            </w:pPr>
            <w:r>
              <w:rPr>
                <w:rFonts w:hint="eastAsia" w:ascii="宋体" w:hAnsi="Bookman Old Style"/>
                <w:sz w:val="24"/>
              </w:rPr>
              <w:t>1套</w:t>
            </w:r>
          </w:p>
        </w:tc>
        <w:tc>
          <w:tcPr>
            <w:tcW w:w="2470" w:type="dxa"/>
            <w:vAlign w:val="center"/>
          </w:tcPr>
          <w:p w14:paraId="56B1CC12">
            <w:pPr>
              <w:jc w:val="center"/>
              <w:rPr>
                <w:rFonts w:ascii="宋体" w:hAnsi="Bookman Old Style"/>
                <w:sz w:val="24"/>
              </w:rPr>
            </w:pPr>
            <w:r>
              <w:rPr>
                <w:rFonts w:hint="eastAsia" w:ascii="宋体" w:hAnsi="Bookman Old Style"/>
                <w:sz w:val="24"/>
              </w:rPr>
              <w:t>是</w:t>
            </w:r>
          </w:p>
        </w:tc>
      </w:tr>
    </w:tbl>
    <w:p w14:paraId="446E6BD2">
      <w:pPr>
        <w:adjustRightInd w:val="0"/>
        <w:snapToGrid w:val="0"/>
        <w:jc w:val="center"/>
        <w:rPr>
          <w:rFonts w:hint="eastAsia" w:ascii="宋体" w:hAnsi="宋体"/>
          <w:b/>
          <w:sz w:val="30"/>
          <w:szCs w:val="30"/>
        </w:rPr>
      </w:pPr>
    </w:p>
    <w:p w14:paraId="45A50988">
      <w:pPr>
        <w:adjustRightInd w:val="0"/>
        <w:snapToGrid w:val="0"/>
        <w:jc w:val="center"/>
        <w:rPr>
          <w:rFonts w:hint="eastAsia" w:ascii="宋体" w:hAnsi="宋体"/>
          <w:b/>
          <w:sz w:val="30"/>
          <w:szCs w:val="30"/>
        </w:rPr>
      </w:pPr>
    </w:p>
    <w:p w14:paraId="1B294ED2">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47474D86">
      <w:pPr>
        <w:adjustRightInd w:val="0"/>
        <w:snapToGrid w:val="0"/>
        <w:rPr>
          <w:rFonts w:hint="eastAsia" w:ascii="宋体" w:hAnsi="宋体"/>
          <w:szCs w:val="21"/>
        </w:rPr>
      </w:pPr>
    </w:p>
    <w:p w14:paraId="4A832FC9">
      <w:pPr>
        <w:adjustRightInd w:val="0"/>
        <w:snapToGrid w:val="0"/>
        <w:rPr>
          <w:rFonts w:hint="eastAsia" w:ascii="宋体" w:hAnsi="宋体"/>
          <w:szCs w:val="21"/>
        </w:rPr>
      </w:pPr>
    </w:p>
    <w:p w14:paraId="0FE5FADD">
      <w:pPr>
        <w:adjustRightInd w:val="0"/>
        <w:snapToGrid w:val="0"/>
        <w:rPr>
          <w:rFonts w:hint="eastAsia" w:ascii="宋体" w:hAnsi="宋体"/>
          <w:szCs w:val="21"/>
        </w:rPr>
      </w:pPr>
    </w:p>
    <w:p w14:paraId="3ABD8058">
      <w:pPr>
        <w:adjustRightInd w:val="0"/>
        <w:snapToGrid w:val="0"/>
        <w:spacing w:line="360" w:lineRule="auto"/>
        <w:rPr>
          <w:rFonts w:hint="eastAsia" w:ascii="宋体" w:hAnsi="宋体"/>
          <w:b/>
          <w:sz w:val="28"/>
          <w:szCs w:val="28"/>
        </w:rPr>
      </w:pPr>
      <w:r>
        <w:rPr>
          <w:rFonts w:ascii="宋体" w:hAnsi="宋体"/>
          <w:b/>
          <w:sz w:val="30"/>
          <w:szCs w:val="30"/>
        </w:rPr>
        <w:br w:type="page"/>
      </w:r>
      <w:r>
        <w:rPr>
          <w:rFonts w:hint="eastAsia" w:ascii="宋体" w:hAnsi="宋体"/>
          <w:b/>
          <w:sz w:val="28"/>
          <w:szCs w:val="28"/>
        </w:rPr>
        <w:t>一、总则</w:t>
      </w:r>
    </w:p>
    <w:p w14:paraId="704EB573">
      <w:pPr>
        <w:adjustRightInd w:val="0"/>
        <w:snapToGrid w:val="0"/>
        <w:spacing w:line="360" w:lineRule="auto"/>
        <w:rPr>
          <w:rFonts w:hint="eastAsia" w:ascii="宋体" w:hAnsi="宋体"/>
          <w:b/>
          <w:sz w:val="28"/>
          <w:szCs w:val="28"/>
        </w:rPr>
      </w:pPr>
      <w:r>
        <w:rPr>
          <w:rFonts w:ascii="宋体" w:hAnsi="宋体"/>
          <w:b/>
          <w:sz w:val="28"/>
          <w:szCs w:val="28"/>
        </w:rPr>
        <w:t>1</w:t>
      </w:r>
      <w:r>
        <w:rPr>
          <w:rFonts w:hint="eastAsia" w:ascii="宋体" w:hAnsi="宋体"/>
          <w:b/>
          <w:sz w:val="28"/>
          <w:szCs w:val="28"/>
        </w:rPr>
        <w:t>、投标要求</w:t>
      </w:r>
    </w:p>
    <w:p w14:paraId="7D040269">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3122A608">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6F6E1053">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32767DCD">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7DCF0C42">
      <w:pPr>
        <w:adjustRightInd w:val="0"/>
        <w:snapToGrid w:val="0"/>
        <w:spacing w:line="360" w:lineRule="auto"/>
        <w:rPr>
          <w:rFonts w:hint="eastAsia" w:ascii="宋体" w:hAnsi="宋体"/>
          <w:b/>
          <w:sz w:val="28"/>
          <w:szCs w:val="28"/>
        </w:rPr>
      </w:pPr>
      <w:r>
        <w:rPr>
          <w:rFonts w:hint="eastAsia" w:ascii="宋体" w:hAnsi="宋体"/>
          <w:b/>
          <w:sz w:val="28"/>
          <w:szCs w:val="28"/>
        </w:rPr>
        <w:t>2、评标标准</w:t>
      </w:r>
    </w:p>
    <w:p w14:paraId="1B373796">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72680594">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15405973">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797EC710">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30C04796">
      <w:pPr>
        <w:spacing w:line="360" w:lineRule="auto"/>
        <w:ind w:left="554" w:hanging="554" w:hangingChars="231"/>
        <w:rPr>
          <w:rFonts w:hint="eastAsia"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316B9BBA">
      <w:pPr>
        <w:adjustRightInd w:val="0"/>
        <w:snapToGrid w:val="0"/>
        <w:spacing w:line="360" w:lineRule="auto"/>
        <w:rPr>
          <w:rFonts w:hint="eastAsia" w:ascii="宋体" w:hAnsi="宋体"/>
          <w:b/>
          <w:sz w:val="28"/>
          <w:szCs w:val="28"/>
        </w:rPr>
      </w:pPr>
      <w:r>
        <w:rPr>
          <w:rFonts w:hint="eastAsia" w:ascii="宋体" w:hAnsi="宋体"/>
          <w:b/>
          <w:sz w:val="28"/>
          <w:szCs w:val="28"/>
        </w:rPr>
        <w:t>3、工作条件</w:t>
      </w:r>
    </w:p>
    <w:p w14:paraId="0C1365E3">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67C4A2EA">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7E4E4F3B">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235BF5C2">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36468673">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539E3B98">
      <w:pPr>
        <w:rPr>
          <w:rFonts w:eastAsia="黑体"/>
          <w:b/>
          <w:bCs/>
          <w:kern w:val="44"/>
          <w:sz w:val="24"/>
        </w:rPr>
      </w:pPr>
    </w:p>
    <w:p w14:paraId="6C28A731">
      <w:pPr>
        <w:adjustRightInd w:val="0"/>
        <w:snapToGrid w:val="0"/>
        <w:spacing w:line="360" w:lineRule="auto"/>
        <w:rPr>
          <w:rFonts w:hint="eastAsia" w:ascii="宋体" w:hAnsi="宋体"/>
          <w:b/>
          <w:sz w:val="28"/>
          <w:szCs w:val="28"/>
        </w:rPr>
      </w:pPr>
      <w:r>
        <w:rPr>
          <w:rFonts w:hint="eastAsia" w:ascii="宋体" w:hAnsi="宋体"/>
          <w:b/>
          <w:sz w:val="28"/>
          <w:szCs w:val="28"/>
        </w:rPr>
        <w:t>4、验收标准</w:t>
      </w:r>
    </w:p>
    <w:p w14:paraId="1AF365B0">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52B77494">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3AA6DDE0">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53329920">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2027477E">
      <w:pPr>
        <w:pStyle w:val="20"/>
        <w:spacing w:line="360" w:lineRule="auto"/>
        <w:ind w:left="410" w:hanging="410" w:hangingChars="170"/>
        <w:rPr>
          <w:rFonts w:hint="eastAsia" w:hAnsi="宋体"/>
          <w:b/>
          <w:sz w:val="24"/>
          <w:szCs w:val="24"/>
        </w:rPr>
      </w:pPr>
    </w:p>
    <w:p w14:paraId="78DDB2D2">
      <w:pPr>
        <w:adjustRightInd w:val="0"/>
        <w:snapToGrid w:val="0"/>
        <w:spacing w:line="360" w:lineRule="auto"/>
        <w:rPr>
          <w:rFonts w:hint="eastAsia" w:hAnsi="宋体"/>
          <w:b/>
          <w:sz w:val="24"/>
        </w:rPr>
      </w:pPr>
      <w:r>
        <w:rPr>
          <w:rFonts w:hint="eastAsia"/>
          <w:b/>
          <w:bCs/>
          <w:sz w:val="24"/>
        </w:rPr>
        <w:t>5、本采购需求书中标注“★”号技术条款的为实质性要求，不满足其投标将视为无效投标被拒绝。</w:t>
      </w:r>
    </w:p>
    <w:p w14:paraId="08A83FF0">
      <w:pPr>
        <w:adjustRightInd w:val="0"/>
        <w:snapToGrid w:val="0"/>
        <w:spacing w:line="360" w:lineRule="auto"/>
        <w:rPr>
          <w:rFonts w:hint="eastAsia" w:ascii="宋体" w:hAnsi="宋体"/>
          <w:b/>
          <w:sz w:val="24"/>
        </w:rPr>
      </w:pPr>
    </w:p>
    <w:p w14:paraId="13A263A1">
      <w:pPr>
        <w:adjustRightInd w:val="0"/>
        <w:snapToGrid w:val="0"/>
        <w:spacing w:line="360" w:lineRule="auto"/>
        <w:rPr>
          <w:rFonts w:hint="eastAsia" w:ascii="宋体" w:hAnsi="宋体"/>
          <w:b/>
          <w:sz w:val="24"/>
        </w:rPr>
      </w:pPr>
      <w:r>
        <w:rPr>
          <w:rFonts w:hint="eastAsia" w:ascii="宋体" w:hAnsi="宋体"/>
          <w:b/>
          <w:sz w:val="24"/>
        </w:rPr>
        <w:t>6、如在具体技术规格中有本总则不一致之处，以具体技术规格中的要求为准。</w:t>
      </w:r>
    </w:p>
    <w:p w14:paraId="047445B5">
      <w:pPr>
        <w:adjustRightInd w:val="0"/>
        <w:snapToGrid w:val="0"/>
        <w:spacing w:line="360" w:lineRule="auto"/>
        <w:rPr>
          <w:rFonts w:hint="eastAsia" w:ascii="宋体" w:hAnsi="宋体"/>
          <w:b/>
          <w:sz w:val="28"/>
          <w:szCs w:val="28"/>
        </w:rPr>
      </w:pPr>
      <w:r>
        <w:rPr>
          <w:rFonts w:ascii="宋体" w:hAnsi="宋体"/>
          <w:b/>
          <w:sz w:val="28"/>
        </w:rPr>
        <w:br w:type="page"/>
      </w:r>
      <w:r>
        <w:rPr>
          <w:rFonts w:hint="eastAsia" w:ascii="宋体" w:hAnsi="宋体"/>
          <w:b/>
          <w:sz w:val="28"/>
          <w:szCs w:val="28"/>
        </w:rPr>
        <w:t>二、具体技术规格</w:t>
      </w:r>
    </w:p>
    <w:p w14:paraId="2BA000F8">
      <w:pPr>
        <w:jc w:val="center"/>
        <w:rPr>
          <w:b/>
          <w:sz w:val="24"/>
        </w:rPr>
      </w:pPr>
      <w:r>
        <w:rPr>
          <w:rFonts w:hint="eastAsia"/>
          <w:b/>
          <w:sz w:val="24"/>
        </w:rPr>
        <w:t>第1包 X射线光电子能谱仪</w:t>
      </w:r>
    </w:p>
    <w:p w14:paraId="36DEB7CC">
      <w:pPr>
        <w:rPr>
          <w:b/>
          <w:sz w:val="24"/>
        </w:rPr>
      </w:pPr>
    </w:p>
    <w:p w14:paraId="16BC17E9">
      <w:pPr>
        <w:numPr>
          <w:ilvl w:val="0"/>
          <w:numId w:val="1"/>
        </w:numPr>
        <w:rPr>
          <w:b/>
          <w:sz w:val="24"/>
        </w:rPr>
      </w:pPr>
      <w:r>
        <w:rPr>
          <w:rFonts w:hint="eastAsia"/>
          <w:b/>
          <w:sz w:val="24"/>
        </w:rPr>
        <w:t>技术要求：</w:t>
      </w:r>
    </w:p>
    <w:p w14:paraId="28A75580">
      <w:pPr>
        <w:rPr>
          <w:b/>
          <w:sz w:val="24"/>
        </w:rPr>
      </w:pPr>
    </w:p>
    <w:p w14:paraId="074F5B28">
      <w:pPr>
        <w:numPr>
          <w:ilvl w:val="0"/>
          <w:numId w:val="2"/>
        </w:numPr>
        <w:spacing w:line="360" w:lineRule="auto"/>
        <w:rPr>
          <w:b/>
          <w:sz w:val="24"/>
        </w:rPr>
      </w:pPr>
      <w:r>
        <w:rPr>
          <w:rFonts w:hint="eastAsia"/>
          <w:b/>
          <w:sz w:val="24"/>
        </w:rPr>
        <w:t>工作条件：</w:t>
      </w:r>
    </w:p>
    <w:p w14:paraId="4FE5C4BA">
      <w:pPr>
        <w:spacing w:line="360" w:lineRule="auto"/>
        <w:ind w:firstLine="480" w:firstLineChars="200"/>
        <w:rPr>
          <w:sz w:val="24"/>
        </w:rPr>
      </w:pPr>
      <w:r>
        <w:rPr>
          <w:rFonts w:hint="eastAsia"/>
          <w:sz w:val="24"/>
        </w:rPr>
        <w:t>1.1 适于在气温为摄氏</w:t>
      </w:r>
      <w:r>
        <w:rPr>
          <w:sz w:val="24"/>
        </w:rPr>
        <w:t>-</w:t>
      </w:r>
      <w:r>
        <w:rPr>
          <w:rFonts w:hint="eastAsia"/>
          <w:sz w:val="24"/>
        </w:rPr>
        <w:t>2</w:t>
      </w:r>
      <w:r>
        <w:rPr>
          <w:sz w:val="24"/>
        </w:rPr>
        <w:t>0</w:t>
      </w:r>
      <w:r>
        <w:rPr>
          <w:rFonts w:hint="eastAsia"/>
          <w:sz w:val="24"/>
        </w:rPr>
        <w:t>℃～＋4</w:t>
      </w:r>
      <w:r>
        <w:rPr>
          <w:sz w:val="24"/>
        </w:rPr>
        <w:t>0</w:t>
      </w:r>
      <w:r>
        <w:rPr>
          <w:rFonts w:hint="eastAsia"/>
          <w:sz w:val="24"/>
        </w:rPr>
        <w:t>℃和相对湿度为</w:t>
      </w:r>
      <w:r>
        <w:rPr>
          <w:sz w:val="24"/>
        </w:rPr>
        <w:t>90</w:t>
      </w:r>
      <w:r>
        <w:rPr>
          <w:rFonts w:hint="eastAsia"/>
          <w:sz w:val="24"/>
        </w:rPr>
        <w:t>％的环境条件下运输和贮存。</w:t>
      </w:r>
    </w:p>
    <w:p w14:paraId="638188B3">
      <w:pPr>
        <w:spacing w:line="360" w:lineRule="auto"/>
        <w:ind w:firstLine="480" w:firstLineChars="200"/>
        <w:rPr>
          <w:sz w:val="24"/>
        </w:rPr>
      </w:pPr>
      <w:r>
        <w:rPr>
          <w:rFonts w:hint="eastAsia"/>
          <w:sz w:val="24"/>
        </w:rPr>
        <w:t>1.2 适于在电源</w:t>
      </w:r>
      <w:r>
        <w:rPr>
          <w:sz w:val="24"/>
        </w:rPr>
        <w:t>220V</w:t>
      </w:r>
      <w:r>
        <w:rPr>
          <w:rFonts w:hint="eastAsia"/>
          <w:sz w:val="24"/>
        </w:rPr>
        <w:t>（</w:t>
      </w:r>
      <w:r>
        <w:rPr>
          <w:sz w:val="24"/>
        </w:rPr>
        <w:sym w:font="Symbol" w:char="F0B1"/>
      </w:r>
      <w:r>
        <w:rPr>
          <w:sz w:val="24"/>
        </w:rPr>
        <w:t>10</w:t>
      </w:r>
      <w:r>
        <w:rPr>
          <w:rFonts w:hint="eastAsia"/>
          <w:sz w:val="24"/>
        </w:rPr>
        <w:t>％）</w:t>
      </w:r>
      <w:r>
        <w:rPr>
          <w:sz w:val="24"/>
        </w:rPr>
        <w:t>/50Hz</w:t>
      </w:r>
      <w:r>
        <w:rPr>
          <w:rFonts w:hint="eastAsia"/>
          <w:sz w:val="24"/>
        </w:rPr>
        <w:t>、气温摄氏+1</w:t>
      </w:r>
      <w:r>
        <w:rPr>
          <w:sz w:val="24"/>
        </w:rPr>
        <w:t>5</w:t>
      </w:r>
      <w:r>
        <w:rPr>
          <w:rFonts w:hint="eastAsia"/>
          <w:sz w:val="24"/>
        </w:rPr>
        <w:t>℃～＋25℃和相对湿度小于65％的环境条件下运行。能够连续正常工作。</w:t>
      </w:r>
    </w:p>
    <w:p w14:paraId="0E4E2162">
      <w:pPr>
        <w:spacing w:line="360" w:lineRule="auto"/>
        <w:ind w:firstLine="480" w:firstLineChars="200"/>
        <w:rPr>
          <w:sz w:val="24"/>
        </w:rPr>
      </w:pPr>
      <w:r>
        <w:rPr>
          <w:rFonts w:hint="eastAsia"/>
          <w:sz w:val="24"/>
        </w:rPr>
        <w:t>1.3 配置符合中国有关标准要求的插头，如果没有这样的插头，则需提供适当的转换插座。</w:t>
      </w:r>
    </w:p>
    <w:p w14:paraId="0F2CF9EA">
      <w:pPr>
        <w:spacing w:line="360" w:lineRule="auto"/>
        <w:ind w:firstLine="480" w:firstLineChars="200"/>
        <w:rPr>
          <w:sz w:val="24"/>
        </w:rPr>
      </w:pPr>
      <w:r>
        <w:rPr>
          <w:rFonts w:hint="eastAsia"/>
          <w:sz w:val="24"/>
        </w:rPr>
        <w:t>1.4 如产品达不到上述要求，投标人应注明其偏差。如仪器设备需要特殊工作条件（如水、电源、磁场强度、温度、湿度、动强度等）投标人应在投标书中加以说明。</w:t>
      </w:r>
    </w:p>
    <w:p w14:paraId="7E5685B2">
      <w:pPr>
        <w:spacing w:line="360" w:lineRule="auto"/>
        <w:ind w:left="435" w:firstLine="240"/>
        <w:rPr>
          <w:sz w:val="24"/>
        </w:rPr>
      </w:pPr>
    </w:p>
    <w:p w14:paraId="1D51E220">
      <w:pPr>
        <w:numPr>
          <w:ilvl w:val="0"/>
          <w:numId w:val="2"/>
        </w:numPr>
        <w:spacing w:line="360" w:lineRule="auto"/>
        <w:rPr>
          <w:b/>
          <w:sz w:val="24"/>
        </w:rPr>
      </w:pPr>
      <w:r>
        <w:rPr>
          <w:rFonts w:hint="eastAsia"/>
          <w:b/>
          <w:sz w:val="24"/>
        </w:rPr>
        <w:t>设备用途：</w:t>
      </w:r>
    </w:p>
    <w:p w14:paraId="258D2554">
      <w:pPr>
        <w:spacing w:line="360" w:lineRule="auto"/>
        <w:ind w:firstLine="480" w:firstLineChars="200"/>
        <w:rPr>
          <w:bCs/>
          <w:sz w:val="24"/>
        </w:rPr>
      </w:pPr>
      <w:r>
        <w:rPr>
          <w:rFonts w:hint="eastAsia"/>
          <w:bCs/>
          <w:sz w:val="24"/>
        </w:rPr>
        <w:t>X射线光电子能谱仪（XPS）是广泛应用于材料科学领域的高技术分析仪器，主要用于固体材料的表面（10nm以内深度）元素成分和价态的定性和定量分析。</w:t>
      </w:r>
    </w:p>
    <w:p w14:paraId="7F7A4C2C">
      <w:pPr>
        <w:spacing w:line="360" w:lineRule="auto"/>
        <w:ind w:firstLine="480" w:firstLineChars="200"/>
        <w:rPr>
          <w:bCs/>
          <w:sz w:val="24"/>
          <w:highlight w:val="none"/>
        </w:rPr>
      </w:pPr>
      <w:r>
        <w:rPr>
          <w:rFonts w:hint="eastAsia"/>
          <w:bCs/>
          <w:sz w:val="24"/>
          <w:highlight w:val="none"/>
        </w:rPr>
        <w:t>XPS全谱、窄谱扫描，元素鉴定、价态分析，定量分析，平面化学成像，微区回溯成谱，角分辨分析，ISS分析，REELS分析，UPS分析，荷电中和、电子束成像，离子束刻蚀、深度剖析，材料原位测试。</w:t>
      </w:r>
    </w:p>
    <w:p w14:paraId="551C58C7">
      <w:pPr>
        <w:spacing w:line="360" w:lineRule="auto"/>
        <w:rPr>
          <w:sz w:val="24"/>
        </w:rPr>
      </w:pPr>
    </w:p>
    <w:p w14:paraId="0D00506F">
      <w:pPr>
        <w:numPr>
          <w:ilvl w:val="0"/>
          <w:numId w:val="2"/>
        </w:numPr>
        <w:spacing w:line="360" w:lineRule="auto"/>
        <w:rPr>
          <w:b/>
          <w:sz w:val="24"/>
        </w:rPr>
      </w:pPr>
      <w:r>
        <w:rPr>
          <w:rFonts w:hint="eastAsia"/>
          <w:b/>
          <w:sz w:val="24"/>
        </w:rPr>
        <w:t>技术规格：</w:t>
      </w:r>
    </w:p>
    <w:p w14:paraId="093DC8AA">
      <w:pPr>
        <w:spacing w:line="360" w:lineRule="auto"/>
        <w:ind w:firstLine="480"/>
        <w:rPr>
          <w:sz w:val="24"/>
        </w:rPr>
      </w:pPr>
      <w:r>
        <w:rPr>
          <w:rFonts w:hint="eastAsia"/>
          <w:sz w:val="24"/>
        </w:rPr>
        <w:t>X射线光电子能谱仪：</w:t>
      </w:r>
    </w:p>
    <w:p w14:paraId="65FD6B04">
      <w:pPr>
        <w:spacing w:line="360" w:lineRule="auto"/>
        <w:ind w:firstLine="480"/>
        <w:rPr>
          <w:sz w:val="24"/>
        </w:rPr>
      </w:pPr>
      <w:r>
        <w:rPr>
          <w:sz w:val="24"/>
        </w:rPr>
        <w:t>1.真空系统</w:t>
      </w:r>
    </w:p>
    <w:p w14:paraId="7C5CB45E">
      <w:pPr>
        <w:spacing w:line="360" w:lineRule="auto"/>
        <w:ind w:firstLine="480"/>
        <w:rPr>
          <w:sz w:val="24"/>
        </w:rPr>
      </w:pPr>
      <w:r>
        <w:rPr>
          <w:sz w:val="24"/>
        </w:rPr>
        <w:t>1.1</w:t>
      </w:r>
      <w:r>
        <w:rPr>
          <w:rFonts w:hint="eastAsia"/>
          <w:sz w:val="24"/>
        </w:rPr>
        <w:t xml:space="preserve"> </w:t>
      </w:r>
      <w:r>
        <w:rPr>
          <w:sz w:val="24"/>
        </w:rPr>
        <w:t>分析室腔体：≥5 mm厚</w:t>
      </w:r>
      <w:r>
        <w:rPr>
          <w:rFonts w:hint="eastAsia"/>
          <w:sz w:val="24"/>
        </w:rPr>
        <w:t>，</w:t>
      </w:r>
      <w:r>
        <w:rPr>
          <w:sz w:val="24"/>
        </w:rPr>
        <w:t>纯μ金属制造的球形分析腔；</w:t>
      </w:r>
    </w:p>
    <w:p w14:paraId="19B91667">
      <w:pPr>
        <w:spacing w:line="360" w:lineRule="auto"/>
        <w:ind w:firstLine="480"/>
        <w:rPr>
          <w:sz w:val="24"/>
        </w:rPr>
      </w:pPr>
      <w:r>
        <w:rPr>
          <w:sz w:val="24"/>
        </w:rPr>
        <w:t>1.2</w:t>
      </w:r>
      <w:r>
        <w:rPr>
          <w:rFonts w:hint="eastAsia"/>
          <w:sz w:val="24"/>
        </w:rPr>
        <w:t xml:space="preserve"> </w:t>
      </w:r>
      <w:r>
        <w:rPr>
          <w:sz w:val="24"/>
        </w:rPr>
        <w:t>分析室真空系统：独立的分子涡轮泵，机械泵及钛升华泵组合，真空度</w:t>
      </w:r>
      <w:r>
        <w:rPr>
          <w:rFonts w:hint="eastAsia"/>
          <w:sz w:val="24"/>
        </w:rPr>
        <w:t>≤</w:t>
      </w:r>
      <w:r>
        <w:rPr>
          <w:sz w:val="24"/>
        </w:rPr>
        <w:t>5.0×10</w:t>
      </w:r>
      <w:r>
        <w:rPr>
          <w:sz w:val="24"/>
          <w:vertAlign w:val="superscript"/>
        </w:rPr>
        <w:t>-10</w:t>
      </w:r>
      <w:r>
        <w:rPr>
          <w:sz w:val="24"/>
        </w:rPr>
        <w:t xml:space="preserve"> mbar； </w:t>
      </w:r>
    </w:p>
    <w:p w14:paraId="429B5500">
      <w:pPr>
        <w:spacing w:line="360" w:lineRule="auto"/>
        <w:ind w:firstLine="480"/>
        <w:rPr>
          <w:sz w:val="24"/>
        </w:rPr>
      </w:pPr>
      <w:r>
        <w:rPr>
          <w:sz w:val="24"/>
        </w:rPr>
        <w:t>1.3</w:t>
      </w:r>
      <w:r>
        <w:rPr>
          <w:rFonts w:hint="eastAsia"/>
          <w:sz w:val="24"/>
        </w:rPr>
        <w:t xml:space="preserve"> </w:t>
      </w:r>
      <w:r>
        <w:rPr>
          <w:sz w:val="24"/>
        </w:rPr>
        <w:t>配有独立的进样室：腔室上分别配有独立的分子涡轮泵，机械泵组合，真空度应</w:t>
      </w:r>
      <w:r>
        <w:rPr>
          <w:rFonts w:hint="eastAsia"/>
          <w:sz w:val="24"/>
        </w:rPr>
        <w:t>≤</w:t>
      </w:r>
      <w:r>
        <w:rPr>
          <w:sz w:val="24"/>
        </w:rPr>
        <w:t>7.0×10</w:t>
      </w:r>
      <w:r>
        <w:rPr>
          <w:sz w:val="24"/>
          <w:vertAlign w:val="superscript"/>
        </w:rPr>
        <w:t xml:space="preserve">-9 </w:t>
      </w:r>
      <w:r>
        <w:rPr>
          <w:sz w:val="24"/>
        </w:rPr>
        <w:t>mbar；</w:t>
      </w:r>
    </w:p>
    <w:p w14:paraId="6054D39C">
      <w:pPr>
        <w:spacing w:line="360" w:lineRule="auto"/>
        <w:ind w:firstLine="480"/>
        <w:rPr>
          <w:sz w:val="24"/>
        </w:rPr>
      </w:pPr>
      <w:r>
        <w:rPr>
          <w:sz w:val="24"/>
        </w:rPr>
        <w:t>1.4</w:t>
      </w:r>
      <w:r>
        <w:rPr>
          <w:rFonts w:hint="eastAsia"/>
          <w:sz w:val="24"/>
        </w:rPr>
        <w:t xml:space="preserve"> </w:t>
      </w:r>
      <w:r>
        <w:rPr>
          <w:sz w:val="24"/>
        </w:rPr>
        <w:t>超高真空监测装置：各独立超高真空舱室均配置超高真空离子规一套，可以在各舱各自隔断情况下独立实施监测真空度；</w:t>
      </w:r>
    </w:p>
    <w:p w14:paraId="1D3FD0B5">
      <w:pPr>
        <w:spacing w:line="360" w:lineRule="auto"/>
        <w:ind w:firstLine="480"/>
        <w:rPr>
          <w:sz w:val="24"/>
        </w:rPr>
      </w:pPr>
      <w:r>
        <w:rPr>
          <w:rFonts w:hint="eastAsia"/>
          <w:sz w:val="24"/>
        </w:rPr>
        <w:t>#</w:t>
      </w:r>
      <w:r>
        <w:rPr>
          <w:sz w:val="24"/>
        </w:rPr>
        <w:t>1.5</w:t>
      </w:r>
      <w:r>
        <w:rPr>
          <w:rFonts w:hint="eastAsia"/>
          <w:sz w:val="24"/>
        </w:rPr>
        <w:t xml:space="preserve"> </w:t>
      </w:r>
      <w:r>
        <w:rPr>
          <w:sz w:val="24"/>
        </w:rPr>
        <w:t>进样方式：</w:t>
      </w:r>
      <w:r>
        <w:rPr>
          <w:rFonts w:hint="eastAsia"/>
          <w:sz w:val="24"/>
        </w:rPr>
        <w:t>通过磁悬浮推杆进样，</w:t>
      </w:r>
      <w:r>
        <w:rPr>
          <w:sz w:val="24"/>
        </w:rPr>
        <w:t>进样腔室</w:t>
      </w:r>
      <w:r>
        <w:rPr>
          <w:rFonts w:hint="eastAsia"/>
          <w:sz w:val="24"/>
        </w:rPr>
        <w:t>预留真空法兰口，进样室</w:t>
      </w:r>
      <w:r>
        <w:rPr>
          <w:sz w:val="24"/>
        </w:rPr>
        <w:t>需具备</w:t>
      </w:r>
      <w:r>
        <w:rPr>
          <w:rFonts w:hint="eastAsia"/>
          <w:sz w:val="24"/>
        </w:rPr>
        <w:t>后续与手套箱、</w:t>
      </w:r>
      <w:r>
        <w:rPr>
          <w:sz w:val="24"/>
        </w:rPr>
        <w:t>超高真空原位生长系统（MBE）</w:t>
      </w:r>
      <w:r>
        <w:rPr>
          <w:rFonts w:hint="eastAsia"/>
          <w:sz w:val="24"/>
        </w:rPr>
        <w:t>、</w:t>
      </w:r>
      <w:r>
        <w:rPr>
          <w:sz w:val="24"/>
        </w:rPr>
        <w:t>扫描隧道显微镜（STM）</w:t>
      </w:r>
      <w:r>
        <w:rPr>
          <w:rFonts w:hint="eastAsia"/>
          <w:sz w:val="24"/>
        </w:rPr>
        <w:t>等其他设备</w:t>
      </w:r>
      <w:r>
        <w:rPr>
          <w:sz w:val="24"/>
        </w:rPr>
        <w:t>互联的能力，保证后期设备可进行多模式拓展</w:t>
      </w:r>
      <w:r>
        <w:rPr>
          <w:rFonts w:hint="eastAsia"/>
          <w:sz w:val="24"/>
        </w:rPr>
        <w:t>。</w:t>
      </w:r>
      <w:r>
        <w:rPr>
          <w:sz w:val="24"/>
        </w:rPr>
        <w:t>（需提供</w:t>
      </w:r>
      <w:r>
        <w:rPr>
          <w:rFonts w:hint="eastAsia"/>
          <w:sz w:val="24"/>
        </w:rPr>
        <w:t>至少</w:t>
      </w:r>
      <w:r>
        <w:rPr>
          <w:sz w:val="24"/>
        </w:rPr>
        <w:t>3</w:t>
      </w:r>
      <w:r>
        <w:rPr>
          <w:rFonts w:hint="eastAsia"/>
          <w:sz w:val="24"/>
        </w:rPr>
        <w:t>套所投品牌X</w:t>
      </w:r>
      <w:r>
        <w:rPr>
          <w:sz w:val="24"/>
        </w:rPr>
        <w:t>PS</w:t>
      </w:r>
      <w:r>
        <w:rPr>
          <w:rFonts w:hint="eastAsia"/>
          <w:sz w:val="24"/>
        </w:rPr>
        <w:t>在国内</w:t>
      </w:r>
      <w:r>
        <w:rPr>
          <w:sz w:val="24"/>
        </w:rPr>
        <w:t>近5年</w:t>
      </w:r>
      <w:r>
        <w:rPr>
          <w:rFonts w:hint="eastAsia"/>
          <w:sz w:val="24"/>
        </w:rPr>
        <w:t>内与超高真空系统互联</w:t>
      </w:r>
      <w:r>
        <w:rPr>
          <w:sz w:val="24"/>
        </w:rPr>
        <w:t>的实物</w:t>
      </w:r>
      <w:r>
        <w:rPr>
          <w:rFonts w:hint="eastAsia"/>
          <w:sz w:val="24"/>
        </w:rPr>
        <w:t>照片</w:t>
      </w:r>
      <w:r>
        <w:rPr>
          <w:sz w:val="24"/>
        </w:rPr>
        <w:t>，不提供则视为不响应）</w:t>
      </w:r>
      <w:r>
        <w:rPr>
          <w:rFonts w:hint="eastAsia"/>
          <w:sz w:val="24"/>
        </w:rPr>
        <w:t>。</w:t>
      </w:r>
    </w:p>
    <w:p w14:paraId="266BDC2D">
      <w:pPr>
        <w:spacing w:line="360" w:lineRule="auto"/>
        <w:ind w:firstLine="480"/>
        <w:rPr>
          <w:sz w:val="24"/>
        </w:rPr>
      </w:pPr>
      <w:r>
        <w:rPr>
          <w:rFonts w:hint="eastAsia"/>
          <w:sz w:val="24"/>
        </w:rPr>
        <w:t>2</w:t>
      </w:r>
      <w:r>
        <w:rPr>
          <w:sz w:val="24"/>
        </w:rPr>
        <w:t xml:space="preserve">.单色化X射线源 </w:t>
      </w:r>
    </w:p>
    <w:p w14:paraId="4619DCD7">
      <w:pPr>
        <w:spacing w:line="360" w:lineRule="auto"/>
        <w:ind w:firstLine="480"/>
        <w:rPr>
          <w:sz w:val="24"/>
        </w:rPr>
      </w:pPr>
      <w:r>
        <w:rPr>
          <w:rFonts w:hint="eastAsia"/>
          <w:sz w:val="24"/>
        </w:rPr>
        <w:t>★2</w:t>
      </w:r>
      <w:r>
        <w:rPr>
          <w:sz w:val="24"/>
        </w:rPr>
        <w:t>.1射线源类型：微聚焦单色化Al Kα X射线源</w:t>
      </w:r>
      <w:r>
        <w:rPr>
          <w:rFonts w:hint="eastAsia"/>
          <w:sz w:val="24"/>
        </w:rPr>
        <w:t>；</w:t>
      </w:r>
    </w:p>
    <w:p w14:paraId="6588CC37">
      <w:pPr>
        <w:spacing w:line="360" w:lineRule="auto"/>
        <w:ind w:firstLine="480"/>
        <w:rPr>
          <w:sz w:val="24"/>
        </w:rPr>
      </w:pPr>
      <w:r>
        <w:rPr>
          <w:rFonts w:hint="eastAsia"/>
          <w:sz w:val="24"/>
        </w:rPr>
        <w:t xml:space="preserve">2.2 </w:t>
      </w:r>
      <w:r>
        <w:rPr>
          <w:sz w:val="24"/>
        </w:rPr>
        <w:t>光源功率</w:t>
      </w:r>
      <w:r>
        <w:rPr>
          <w:rFonts w:hint="eastAsia"/>
          <w:sz w:val="24"/>
        </w:rPr>
        <w:t>≥</w:t>
      </w:r>
      <w:r>
        <w:rPr>
          <w:sz w:val="24"/>
        </w:rPr>
        <w:t xml:space="preserve">150W； </w:t>
      </w:r>
    </w:p>
    <w:p w14:paraId="1CCD9C36">
      <w:pPr>
        <w:spacing w:line="360" w:lineRule="auto"/>
        <w:ind w:firstLine="480"/>
        <w:rPr>
          <w:sz w:val="24"/>
        </w:rPr>
      </w:pPr>
      <w:r>
        <w:rPr>
          <w:rFonts w:hint="eastAsia"/>
          <w:sz w:val="24"/>
        </w:rPr>
        <w:t>#2.3</w:t>
      </w:r>
      <w:r>
        <w:rPr>
          <w:sz w:val="24"/>
        </w:rPr>
        <w:t>光源束斑尺寸至少</w:t>
      </w:r>
      <w:r>
        <w:rPr>
          <w:rFonts w:hint="eastAsia"/>
          <w:sz w:val="24"/>
        </w:rPr>
        <w:t>2</w:t>
      </w:r>
      <w:r>
        <w:rPr>
          <w:sz w:val="24"/>
        </w:rPr>
        <w:t>00/300/400/500/600/700/800/900 μm可调，以满足测试光斑大小灵活选择</w:t>
      </w:r>
      <w:r>
        <w:rPr>
          <w:rFonts w:hint="eastAsia"/>
          <w:sz w:val="24"/>
        </w:rPr>
        <w:t>（需提供软件界面截图，显示光源束斑至少具备本条指标要求的档位，否则视为负偏离）</w:t>
      </w:r>
      <w:r>
        <w:rPr>
          <w:sz w:val="24"/>
        </w:rPr>
        <w:t>；</w:t>
      </w:r>
    </w:p>
    <w:p w14:paraId="7948C0A7">
      <w:pPr>
        <w:spacing w:line="360" w:lineRule="auto"/>
        <w:ind w:firstLine="480"/>
        <w:rPr>
          <w:sz w:val="24"/>
        </w:rPr>
      </w:pPr>
      <w:r>
        <w:rPr>
          <w:rFonts w:hint="eastAsia"/>
          <w:sz w:val="24"/>
        </w:rPr>
        <w:t>2.4</w:t>
      </w:r>
      <w:r>
        <w:rPr>
          <w:sz w:val="24"/>
        </w:rPr>
        <w:t>单色化Al Kα X射线源的阳极靶可移动，可提供不少于20个Al靶工作点使用；</w:t>
      </w:r>
    </w:p>
    <w:p w14:paraId="1924490E">
      <w:pPr>
        <w:spacing w:line="360" w:lineRule="auto"/>
        <w:ind w:firstLine="480"/>
        <w:rPr>
          <w:sz w:val="24"/>
        </w:rPr>
      </w:pPr>
      <w:r>
        <w:rPr>
          <w:rFonts w:hint="eastAsia"/>
          <w:sz w:val="24"/>
        </w:rPr>
        <w:t>#2.5能量极限分辨率和对应灵敏度：在光源功率≤300W时，对Ag3d5/2峰，极限半高宽</w:t>
      </w:r>
      <w:r>
        <w:rPr>
          <w:sz w:val="24"/>
          <w:lang w:val="en"/>
        </w:rPr>
        <w:t>≤</w:t>
      </w:r>
      <w:r>
        <w:rPr>
          <w:rFonts w:hint="eastAsia"/>
          <w:sz w:val="24"/>
        </w:rPr>
        <w:t xml:space="preserve">.43eV，计数率强度≥90kcps（需提供软件界面截图，软件界面显示实测的能量分辨率满足本条指标，否则视为负偏离）； </w:t>
      </w:r>
      <w:r>
        <w:rPr>
          <w:sz w:val="24"/>
        </w:rPr>
        <w:t xml:space="preserve"> </w:t>
      </w:r>
    </w:p>
    <w:p w14:paraId="35FFC3FB">
      <w:pPr>
        <w:spacing w:line="360" w:lineRule="auto"/>
        <w:ind w:firstLine="480"/>
        <w:rPr>
          <w:sz w:val="24"/>
        </w:rPr>
      </w:pPr>
      <w:r>
        <w:rPr>
          <w:rFonts w:hint="eastAsia"/>
          <w:sz w:val="24"/>
        </w:rPr>
        <w:t>#2.6</w:t>
      </w:r>
      <w:r>
        <w:rPr>
          <w:sz w:val="24"/>
        </w:rPr>
        <w:t>大束斑能量分辨率和</w:t>
      </w:r>
      <w:r>
        <w:rPr>
          <w:rFonts w:hint="eastAsia"/>
          <w:sz w:val="24"/>
        </w:rPr>
        <w:t>对应</w:t>
      </w:r>
      <w:r>
        <w:rPr>
          <w:sz w:val="24"/>
        </w:rPr>
        <w:t>灵敏度：</w:t>
      </w:r>
      <w:r>
        <w:rPr>
          <w:rFonts w:hint="eastAsia"/>
          <w:sz w:val="24"/>
        </w:rPr>
        <w:t>在光源功率≤</w:t>
      </w:r>
      <w:r>
        <w:rPr>
          <w:sz w:val="24"/>
        </w:rPr>
        <w:t>300W</w:t>
      </w:r>
      <w:r>
        <w:rPr>
          <w:rFonts w:hint="eastAsia"/>
          <w:sz w:val="24"/>
        </w:rPr>
        <w:t>时，</w:t>
      </w:r>
      <w:r>
        <w:rPr>
          <w:sz w:val="24"/>
        </w:rPr>
        <w:t>对Ag3d5/2峰能量分辨</w:t>
      </w:r>
      <w:r>
        <w:rPr>
          <w:rFonts w:hint="eastAsia"/>
          <w:sz w:val="24"/>
        </w:rPr>
        <w:t>为</w:t>
      </w:r>
      <w:r>
        <w:rPr>
          <w:sz w:val="24"/>
        </w:rPr>
        <w:t>1.0eV时，计数率强度</w:t>
      </w:r>
      <w:r>
        <w:rPr>
          <w:rFonts w:hint="eastAsia"/>
          <w:sz w:val="24"/>
        </w:rPr>
        <w:t>≥</w:t>
      </w:r>
      <w:r>
        <w:rPr>
          <w:sz w:val="24"/>
        </w:rPr>
        <w:t>4.0Mcps；</w:t>
      </w:r>
      <w:r>
        <w:rPr>
          <w:rFonts w:hint="eastAsia"/>
          <w:sz w:val="24"/>
        </w:rPr>
        <w:t>能量分辨为0.45eV时，计数率强度≥150kcps；（需提供软件界面截图，显示功率及能量分辨率和计数率强度，否则视为负偏离）。</w:t>
      </w:r>
    </w:p>
    <w:p w14:paraId="62A38DCB">
      <w:pPr>
        <w:spacing w:line="360" w:lineRule="auto"/>
        <w:ind w:firstLine="480"/>
        <w:rPr>
          <w:sz w:val="24"/>
        </w:rPr>
      </w:pPr>
      <w:r>
        <w:rPr>
          <w:rFonts w:hint="eastAsia"/>
          <w:sz w:val="24"/>
        </w:rPr>
        <w:t>3</w:t>
      </w:r>
      <w:r>
        <w:rPr>
          <w:sz w:val="24"/>
        </w:rPr>
        <w:t>.能量分析器</w:t>
      </w:r>
    </w:p>
    <w:p w14:paraId="0FAEF7F3">
      <w:pPr>
        <w:spacing w:line="360" w:lineRule="auto"/>
        <w:ind w:firstLine="480"/>
        <w:rPr>
          <w:sz w:val="24"/>
        </w:rPr>
      </w:pPr>
      <w:r>
        <w:rPr>
          <w:rFonts w:hint="eastAsia"/>
          <w:sz w:val="24"/>
        </w:rPr>
        <w:t>3</w:t>
      </w:r>
      <w:r>
        <w:rPr>
          <w:sz w:val="24"/>
        </w:rPr>
        <w:t>.1</w:t>
      </w:r>
      <w:r>
        <w:rPr>
          <w:rFonts w:hint="eastAsia"/>
          <w:sz w:val="24"/>
        </w:rPr>
        <w:t xml:space="preserve"> </w:t>
      </w:r>
      <w:r>
        <w:rPr>
          <w:sz w:val="24"/>
        </w:rPr>
        <w:t>采谱能量分析器：180°半球能量分析器</w:t>
      </w:r>
      <w:r>
        <w:rPr>
          <w:rFonts w:hint="eastAsia"/>
          <w:sz w:val="24"/>
        </w:rPr>
        <w:t>，</w:t>
      </w:r>
      <w:r>
        <w:rPr>
          <w:sz w:val="24"/>
        </w:rPr>
        <w:t>半径≥150mm；</w:t>
      </w:r>
    </w:p>
    <w:p w14:paraId="33C9E42D">
      <w:pPr>
        <w:spacing w:line="360" w:lineRule="auto"/>
        <w:ind w:firstLine="480"/>
        <w:rPr>
          <w:sz w:val="24"/>
        </w:rPr>
      </w:pPr>
      <w:r>
        <w:rPr>
          <w:rFonts w:hint="eastAsia"/>
          <w:sz w:val="24"/>
        </w:rPr>
        <w:t>#3</w:t>
      </w:r>
      <w:r>
        <w:rPr>
          <w:sz w:val="24"/>
        </w:rPr>
        <w:t>.2</w:t>
      </w:r>
      <w:r>
        <w:rPr>
          <w:rFonts w:hint="eastAsia"/>
          <w:sz w:val="24"/>
        </w:rPr>
        <w:t xml:space="preserve"> </w:t>
      </w:r>
      <w:r>
        <w:rPr>
          <w:sz w:val="24"/>
        </w:rPr>
        <w:t>能量扫描范围</w:t>
      </w:r>
      <w:r>
        <w:rPr>
          <w:rFonts w:hint="eastAsia"/>
          <w:sz w:val="24"/>
        </w:rPr>
        <w:t>：≥</w:t>
      </w:r>
      <w:r>
        <w:rPr>
          <w:sz w:val="24"/>
        </w:rPr>
        <w:t xml:space="preserve"> 10～5000 eV，10～3200 eV适合常规XPS和UPS分析，3200～5000eV适合高能XPS分析，且无需多个能量分析器进行切换</w:t>
      </w:r>
      <w:bookmarkStart w:id="2" w:name="_Hlk190273057"/>
      <w:r>
        <w:rPr>
          <w:sz w:val="24"/>
        </w:rPr>
        <w:t>（需提供软件界面截图，显示能量扫描范围调节范围满足本条指标，否则视为负偏离）；</w:t>
      </w:r>
    </w:p>
    <w:bookmarkEnd w:id="2"/>
    <w:p w14:paraId="3BA640EE">
      <w:pPr>
        <w:spacing w:line="360" w:lineRule="auto"/>
        <w:ind w:firstLine="480"/>
        <w:rPr>
          <w:sz w:val="24"/>
        </w:rPr>
      </w:pPr>
      <w:r>
        <w:rPr>
          <w:rFonts w:hint="eastAsia"/>
          <w:sz w:val="24"/>
        </w:rPr>
        <w:t>3</w:t>
      </w:r>
      <w:r>
        <w:rPr>
          <w:sz w:val="24"/>
        </w:rPr>
        <w:t>.3</w:t>
      </w:r>
      <w:r>
        <w:rPr>
          <w:rFonts w:hint="eastAsia"/>
          <w:sz w:val="24"/>
        </w:rPr>
        <w:t xml:space="preserve"> </w:t>
      </w:r>
      <w:r>
        <w:rPr>
          <w:sz w:val="24"/>
        </w:rPr>
        <w:t>通过能范围</w:t>
      </w:r>
      <w:r>
        <w:rPr>
          <w:rFonts w:hint="eastAsia"/>
          <w:sz w:val="24"/>
        </w:rPr>
        <w:t>：≥</w:t>
      </w:r>
      <w:r>
        <w:rPr>
          <w:sz w:val="24"/>
        </w:rPr>
        <w:t>1</w:t>
      </w:r>
      <w:bookmarkStart w:id="3" w:name="OLE_LINK5"/>
      <w:bookmarkStart w:id="4" w:name="OLE_LINK6"/>
      <w:r>
        <w:rPr>
          <w:sz w:val="24"/>
        </w:rPr>
        <w:t>～</w:t>
      </w:r>
      <w:bookmarkEnd w:id="3"/>
      <w:bookmarkEnd w:id="4"/>
      <w:r>
        <w:rPr>
          <w:sz w:val="24"/>
        </w:rPr>
        <w:t>400eV</w:t>
      </w:r>
      <w:r>
        <w:rPr>
          <w:rFonts w:hint="eastAsia"/>
          <w:sz w:val="24"/>
        </w:rPr>
        <w:t>，</w:t>
      </w:r>
      <w:r>
        <w:rPr>
          <w:sz w:val="24"/>
        </w:rPr>
        <w:t>并可连续调节，调节步长</w:t>
      </w:r>
      <w:r>
        <w:rPr>
          <w:rFonts w:hint="eastAsia"/>
          <w:sz w:val="24"/>
        </w:rPr>
        <w:t>≤</w:t>
      </w:r>
      <w:r>
        <w:rPr>
          <w:sz w:val="24"/>
        </w:rPr>
        <w:t>1eV</w:t>
      </w:r>
      <w:r>
        <w:rPr>
          <w:rFonts w:hint="eastAsia"/>
          <w:sz w:val="24"/>
        </w:rPr>
        <w:t>；</w:t>
      </w:r>
    </w:p>
    <w:p w14:paraId="1F40319F">
      <w:pPr>
        <w:spacing w:line="360" w:lineRule="auto"/>
        <w:ind w:firstLine="480"/>
        <w:rPr>
          <w:sz w:val="24"/>
        </w:rPr>
      </w:pPr>
      <w:r>
        <w:rPr>
          <w:rFonts w:hint="eastAsia"/>
          <w:sz w:val="24"/>
        </w:rPr>
        <w:t>3</w:t>
      </w:r>
      <w:r>
        <w:rPr>
          <w:sz w:val="24"/>
        </w:rPr>
        <w:t>.4</w:t>
      </w:r>
      <w:r>
        <w:rPr>
          <w:rFonts w:hint="eastAsia"/>
          <w:sz w:val="24"/>
        </w:rPr>
        <w:t xml:space="preserve"> </w:t>
      </w:r>
      <w:r>
        <w:rPr>
          <w:sz w:val="24"/>
        </w:rPr>
        <w:t>双极性透镜：配备双极性透镜，可允许电子和离子通过，具有离子散射谱（ISS）功能；</w:t>
      </w:r>
    </w:p>
    <w:p w14:paraId="6F2F30FC">
      <w:pPr>
        <w:spacing w:line="360" w:lineRule="auto"/>
        <w:ind w:firstLine="480"/>
        <w:rPr>
          <w:sz w:val="24"/>
        </w:rPr>
      </w:pPr>
      <w:r>
        <w:rPr>
          <w:rFonts w:hint="eastAsia"/>
          <w:sz w:val="24"/>
        </w:rPr>
        <w:t>#3</w:t>
      </w:r>
      <w:r>
        <w:rPr>
          <w:sz w:val="24"/>
        </w:rPr>
        <w:t>.5</w:t>
      </w:r>
      <w:r>
        <w:rPr>
          <w:rFonts w:hint="eastAsia"/>
          <w:sz w:val="24"/>
        </w:rPr>
        <w:t xml:space="preserve"> </w:t>
      </w:r>
      <w:r>
        <w:rPr>
          <w:sz w:val="24"/>
        </w:rPr>
        <w:t>同时带有磁透镜模式及静电透镜模式，标配有磁透镜功能</w:t>
      </w:r>
      <w:r>
        <w:rPr>
          <w:rFonts w:hint="eastAsia"/>
          <w:sz w:val="24"/>
        </w:rPr>
        <w:t>（需提供仪器磁透镜的实物照片，否则视为负偏离）。</w:t>
      </w:r>
    </w:p>
    <w:p w14:paraId="522A1591">
      <w:pPr>
        <w:spacing w:line="360" w:lineRule="auto"/>
        <w:ind w:firstLine="480"/>
        <w:rPr>
          <w:sz w:val="24"/>
        </w:rPr>
      </w:pPr>
      <w:r>
        <w:rPr>
          <w:rFonts w:hint="eastAsia"/>
          <w:sz w:val="24"/>
        </w:rPr>
        <w:t>4.双</w:t>
      </w:r>
      <w:r>
        <w:rPr>
          <w:sz w:val="24"/>
        </w:rPr>
        <w:t>探测器</w:t>
      </w:r>
      <w:r>
        <w:rPr>
          <w:rFonts w:hint="eastAsia"/>
          <w:sz w:val="24"/>
        </w:rPr>
        <w:t>系统</w:t>
      </w:r>
    </w:p>
    <w:p w14:paraId="7464957B">
      <w:pPr>
        <w:spacing w:line="360" w:lineRule="auto"/>
        <w:ind w:firstLine="480"/>
        <w:rPr>
          <w:sz w:val="24"/>
        </w:rPr>
      </w:pPr>
      <w:r>
        <w:rPr>
          <w:rFonts w:hint="eastAsia"/>
          <w:sz w:val="24"/>
        </w:rPr>
        <w:t>4</w:t>
      </w:r>
      <w:r>
        <w:rPr>
          <w:sz w:val="24"/>
        </w:rPr>
        <w:t>.1</w:t>
      </w:r>
      <w:r>
        <w:rPr>
          <w:rFonts w:hint="eastAsia"/>
          <w:sz w:val="24"/>
        </w:rPr>
        <w:t xml:space="preserve"> 配备独立的采谱探测器，采谱探测器为多通道电子倍增器；</w:t>
      </w:r>
    </w:p>
    <w:p w14:paraId="0C7FB7B2">
      <w:pPr>
        <w:spacing w:line="360" w:lineRule="auto"/>
        <w:ind w:firstLine="480"/>
        <w:rPr>
          <w:sz w:val="24"/>
        </w:rPr>
      </w:pPr>
      <w:r>
        <w:rPr>
          <w:rFonts w:hint="eastAsia"/>
          <w:sz w:val="24"/>
        </w:rPr>
        <w:t>4</w:t>
      </w:r>
      <w:r>
        <w:rPr>
          <w:sz w:val="24"/>
        </w:rPr>
        <w:t>.2</w:t>
      </w:r>
      <w:r>
        <w:rPr>
          <w:rFonts w:hint="eastAsia"/>
          <w:sz w:val="24"/>
        </w:rPr>
        <w:t xml:space="preserve"> 配备独立的成像探测器，成像探测器结构为两套2</w:t>
      </w:r>
      <w:r>
        <w:rPr>
          <w:sz w:val="24"/>
        </w:rPr>
        <w:t>56</w:t>
      </w:r>
      <w:r>
        <w:rPr>
          <w:rFonts w:hint="eastAsia"/>
          <w:sz w:val="24"/>
        </w:rPr>
        <w:t>×</w:t>
      </w:r>
      <w:r>
        <w:rPr>
          <w:sz w:val="24"/>
        </w:rPr>
        <w:t>256</w:t>
      </w:r>
      <w:r>
        <w:rPr>
          <w:rFonts w:hint="eastAsia"/>
          <w:sz w:val="24"/>
        </w:rPr>
        <w:t>通道微通道板探测器+连续位置敏感探测器，可定位任意位置电子信息且无间隙；</w:t>
      </w:r>
    </w:p>
    <w:p w14:paraId="5F197FF7">
      <w:pPr>
        <w:spacing w:line="360" w:lineRule="auto"/>
        <w:ind w:firstLine="480"/>
        <w:rPr>
          <w:sz w:val="24"/>
        </w:rPr>
      </w:pPr>
      <w:r>
        <w:rPr>
          <w:rFonts w:hint="eastAsia"/>
          <w:sz w:val="24"/>
        </w:rPr>
        <w:t>4.3工作模式：XPS模式下可实现“扫描”以及“拍照”等工作模式，以满足动态表面X射线光电子能谱分析的需求；</w:t>
      </w:r>
    </w:p>
    <w:p w14:paraId="4D152BB2">
      <w:pPr>
        <w:spacing w:line="360" w:lineRule="auto"/>
        <w:ind w:firstLine="480"/>
        <w:rPr>
          <w:sz w:val="24"/>
        </w:rPr>
      </w:pPr>
      <w:r>
        <w:rPr>
          <w:rFonts w:hint="eastAsia"/>
          <w:sz w:val="24"/>
        </w:rPr>
        <w:t>4</w:t>
      </w:r>
      <w:r>
        <w:rPr>
          <w:sz w:val="24"/>
        </w:rPr>
        <w:t>.</w:t>
      </w:r>
      <w:r>
        <w:rPr>
          <w:rFonts w:hint="eastAsia"/>
          <w:sz w:val="24"/>
        </w:rPr>
        <w:t xml:space="preserve">4 </w:t>
      </w:r>
      <w:r>
        <w:rPr>
          <w:sz w:val="24"/>
        </w:rPr>
        <w:t>XPS成像：</w:t>
      </w:r>
      <w:r>
        <w:rPr>
          <w:rFonts w:hint="eastAsia"/>
          <w:sz w:val="24"/>
        </w:rPr>
        <w:t>成像</w:t>
      </w:r>
      <w:r>
        <w:rPr>
          <w:sz w:val="24"/>
        </w:rPr>
        <w:t>空间分辨率≤</w:t>
      </w:r>
      <w:r>
        <w:rPr>
          <w:rFonts w:hint="eastAsia"/>
          <w:sz w:val="24"/>
        </w:rPr>
        <w:t>3</w:t>
      </w:r>
      <w:r>
        <w:rPr>
          <w:sz w:val="24"/>
        </w:rPr>
        <w:t>μm</w:t>
      </w:r>
      <w:r>
        <w:rPr>
          <w:rFonts w:hint="eastAsia"/>
          <w:sz w:val="24"/>
        </w:rPr>
        <w:t>。</w:t>
      </w:r>
    </w:p>
    <w:p w14:paraId="303887BB">
      <w:pPr>
        <w:spacing w:line="360" w:lineRule="auto"/>
        <w:ind w:firstLine="480"/>
        <w:rPr>
          <w:sz w:val="24"/>
        </w:rPr>
      </w:pPr>
      <w:r>
        <w:rPr>
          <w:rFonts w:hint="eastAsia"/>
          <w:sz w:val="24"/>
        </w:rPr>
        <w:t>5</w:t>
      </w:r>
      <w:r>
        <w:rPr>
          <w:sz w:val="24"/>
        </w:rPr>
        <w:t>.</w:t>
      </w:r>
      <w:r>
        <w:rPr>
          <w:rFonts w:hint="eastAsia"/>
          <w:sz w:val="24"/>
        </w:rPr>
        <w:t>双荷电</w:t>
      </w:r>
      <w:r>
        <w:rPr>
          <w:sz w:val="24"/>
        </w:rPr>
        <w:t>中和系统</w:t>
      </w:r>
    </w:p>
    <w:p w14:paraId="21004F70">
      <w:pPr>
        <w:spacing w:line="360" w:lineRule="auto"/>
        <w:ind w:firstLine="480"/>
        <w:rPr>
          <w:sz w:val="24"/>
        </w:rPr>
      </w:pPr>
      <w:r>
        <w:rPr>
          <w:rFonts w:hint="eastAsia"/>
          <w:sz w:val="24"/>
        </w:rPr>
        <w:t>#5</w:t>
      </w:r>
      <w:r>
        <w:rPr>
          <w:sz w:val="24"/>
        </w:rPr>
        <w:t>.1</w:t>
      </w:r>
      <w:r>
        <w:rPr>
          <w:rFonts w:hint="eastAsia"/>
          <w:sz w:val="24"/>
        </w:rPr>
        <w:t xml:space="preserve"> </w:t>
      </w:r>
      <w:r>
        <w:rPr>
          <w:sz w:val="24"/>
        </w:rPr>
        <w:t>结构及操作方式：配备</w:t>
      </w:r>
      <w:r>
        <w:rPr>
          <w:rFonts w:hint="eastAsia"/>
          <w:sz w:val="24"/>
        </w:rPr>
        <w:t>“同源</w:t>
      </w:r>
      <w:r>
        <w:rPr>
          <w:sz w:val="24"/>
        </w:rPr>
        <w:t>低能离子+电子双束中和枪</w:t>
      </w:r>
      <w:r>
        <w:rPr>
          <w:rFonts w:hint="eastAsia"/>
          <w:sz w:val="24"/>
        </w:rPr>
        <w:t>”</w:t>
      </w:r>
      <w:r>
        <w:rPr>
          <w:sz w:val="24"/>
        </w:rPr>
        <w:t>，</w:t>
      </w:r>
      <w:r>
        <w:rPr>
          <w:rFonts w:hint="eastAsia"/>
          <w:sz w:val="24"/>
        </w:rPr>
        <w:t>即同一把荷电中和枪既可产生低能离子又可产生低能电子用于荷电中和，</w:t>
      </w:r>
      <w:r>
        <w:rPr>
          <w:sz w:val="24"/>
        </w:rPr>
        <w:t>满足磁性样品、UPS、常规测试中和需求，低能离子源可有效避免过中和现象；</w:t>
      </w:r>
      <w:r>
        <w:rPr>
          <w:rFonts w:hint="eastAsia"/>
          <w:sz w:val="24"/>
        </w:rPr>
        <w:t>（需提供加盖制造商加盖公章的满足本条指标要求的中和枪结构示意图）。</w:t>
      </w:r>
    </w:p>
    <w:p w14:paraId="74F91A0A">
      <w:pPr>
        <w:spacing w:line="360" w:lineRule="auto"/>
        <w:ind w:firstLine="480"/>
        <w:rPr>
          <w:sz w:val="24"/>
        </w:rPr>
      </w:pPr>
      <w:r>
        <w:rPr>
          <w:rFonts w:hint="eastAsia"/>
          <w:sz w:val="24"/>
        </w:rPr>
        <w:t>6</w:t>
      </w:r>
      <w:r>
        <w:rPr>
          <w:sz w:val="24"/>
        </w:rPr>
        <w:t>.</w:t>
      </w:r>
      <w:r>
        <w:rPr>
          <w:rFonts w:hint="eastAsia"/>
          <w:sz w:val="24"/>
        </w:rPr>
        <w:t>多模式</w:t>
      </w:r>
      <w:r>
        <w:rPr>
          <w:sz w:val="24"/>
        </w:rPr>
        <w:t>Ar离子刻蚀系统</w:t>
      </w:r>
    </w:p>
    <w:p w14:paraId="253ABF37">
      <w:pPr>
        <w:spacing w:line="360" w:lineRule="auto"/>
        <w:ind w:firstLine="480"/>
        <w:rPr>
          <w:sz w:val="24"/>
        </w:rPr>
      </w:pPr>
      <w:r>
        <w:rPr>
          <w:rFonts w:hint="eastAsia"/>
          <w:sz w:val="24"/>
        </w:rPr>
        <w:t>★6</w:t>
      </w:r>
      <w:r>
        <w:rPr>
          <w:sz w:val="24"/>
        </w:rPr>
        <w:t>.1</w:t>
      </w:r>
      <w:r>
        <w:rPr>
          <w:rFonts w:hint="eastAsia"/>
          <w:sz w:val="24"/>
        </w:rPr>
        <w:t xml:space="preserve"> </w:t>
      </w:r>
      <w:r>
        <w:rPr>
          <w:sz w:val="24"/>
        </w:rPr>
        <w:t>离子源：Ar+离子源，既包含单原子模式又包含团簇模式；</w:t>
      </w:r>
    </w:p>
    <w:p w14:paraId="777D3014">
      <w:pPr>
        <w:spacing w:line="360" w:lineRule="auto"/>
        <w:ind w:firstLine="480"/>
        <w:rPr>
          <w:sz w:val="24"/>
        </w:rPr>
      </w:pPr>
      <w:r>
        <w:rPr>
          <w:rFonts w:hint="eastAsia"/>
          <w:sz w:val="24"/>
        </w:rPr>
        <w:t>#6</w:t>
      </w:r>
      <w:r>
        <w:rPr>
          <w:sz w:val="24"/>
        </w:rPr>
        <w:t>.2</w:t>
      </w:r>
      <w:r>
        <w:rPr>
          <w:rFonts w:hint="eastAsia"/>
          <w:sz w:val="24"/>
        </w:rPr>
        <w:t xml:space="preserve"> </w:t>
      </w:r>
      <w:r>
        <w:rPr>
          <w:sz w:val="24"/>
        </w:rPr>
        <w:t>刻蚀模式：</w:t>
      </w:r>
      <w:r>
        <w:rPr>
          <w:rFonts w:hint="eastAsia"/>
          <w:sz w:val="24"/>
        </w:rPr>
        <w:t>Ar</w:t>
      </w:r>
      <w:r>
        <w:rPr>
          <w:sz w:val="24"/>
        </w:rPr>
        <w:t>单原子模式及</w:t>
      </w:r>
      <w:r>
        <w:rPr>
          <w:rFonts w:hint="eastAsia"/>
          <w:sz w:val="24"/>
        </w:rPr>
        <w:t>Ar</w:t>
      </w:r>
      <w:r>
        <w:rPr>
          <w:sz w:val="24"/>
        </w:rPr>
        <w:t>团簇模式集成于一把离子枪，保证模式切换刻蚀区域一致（</w:t>
      </w:r>
      <w:r>
        <w:rPr>
          <w:rFonts w:hint="eastAsia"/>
          <w:sz w:val="24"/>
        </w:rPr>
        <w:t>需提供加盖制造商公章的满足本条指标要求的团簇离子源结构示意图，不提供</w:t>
      </w:r>
      <w:r>
        <w:rPr>
          <w:sz w:val="24"/>
        </w:rPr>
        <w:t>均视为负偏离）；</w:t>
      </w:r>
    </w:p>
    <w:p w14:paraId="077C60E4">
      <w:pPr>
        <w:spacing w:line="360" w:lineRule="auto"/>
        <w:ind w:firstLine="480"/>
        <w:rPr>
          <w:sz w:val="24"/>
        </w:rPr>
      </w:pPr>
      <w:r>
        <w:rPr>
          <w:rFonts w:hint="eastAsia"/>
          <w:sz w:val="24"/>
        </w:rPr>
        <w:t>6</w:t>
      </w:r>
      <w:r>
        <w:rPr>
          <w:sz w:val="24"/>
        </w:rPr>
        <w:t>.3</w:t>
      </w:r>
      <w:r>
        <w:rPr>
          <w:rFonts w:hint="eastAsia"/>
          <w:sz w:val="24"/>
        </w:rPr>
        <w:t xml:space="preserve"> </w:t>
      </w:r>
      <w:r>
        <w:rPr>
          <w:sz w:val="24"/>
        </w:rPr>
        <w:t>团簇离子源数目范围：</w:t>
      </w:r>
      <w:r>
        <w:rPr>
          <w:rFonts w:hint="eastAsia"/>
          <w:sz w:val="24"/>
        </w:rPr>
        <w:t>≥</w:t>
      </w:r>
      <w:r>
        <w:rPr>
          <w:sz w:val="24"/>
        </w:rPr>
        <w:t>75-2000个/团簇；</w:t>
      </w:r>
    </w:p>
    <w:p w14:paraId="7F83E888">
      <w:pPr>
        <w:spacing w:line="360" w:lineRule="auto"/>
        <w:ind w:firstLine="480"/>
        <w:rPr>
          <w:sz w:val="24"/>
        </w:rPr>
      </w:pPr>
      <w:r>
        <w:rPr>
          <w:rFonts w:hint="eastAsia"/>
          <w:sz w:val="24"/>
        </w:rPr>
        <w:t>6</w:t>
      </w:r>
      <w:r>
        <w:rPr>
          <w:sz w:val="24"/>
        </w:rPr>
        <w:t>.4</w:t>
      </w:r>
      <w:r>
        <w:rPr>
          <w:rFonts w:hint="eastAsia"/>
          <w:sz w:val="24"/>
        </w:rPr>
        <w:t xml:space="preserve"> </w:t>
      </w:r>
      <w:r>
        <w:rPr>
          <w:sz w:val="24"/>
        </w:rPr>
        <w:t>单个团簇原子能量范围：</w:t>
      </w:r>
      <w:r>
        <w:rPr>
          <w:rFonts w:hint="eastAsia"/>
          <w:sz w:val="24"/>
        </w:rPr>
        <w:t>≥</w:t>
      </w:r>
      <w:r>
        <w:rPr>
          <w:sz w:val="24"/>
        </w:rPr>
        <w:t>1～100eV</w:t>
      </w:r>
      <w:r>
        <w:rPr>
          <w:rFonts w:hint="eastAsia"/>
          <w:sz w:val="24"/>
        </w:rPr>
        <w:t>。</w:t>
      </w:r>
    </w:p>
    <w:p w14:paraId="2B948701">
      <w:pPr>
        <w:spacing w:line="360" w:lineRule="auto"/>
        <w:ind w:firstLine="480"/>
        <w:rPr>
          <w:sz w:val="24"/>
        </w:rPr>
      </w:pPr>
      <w:r>
        <w:rPr>
          <w:rFonts w:hint="eastAsia"/>
          <w:sz w:val="24"/>
        </w:rPr>
        <w:t>7</w:t>
      </w:r>
      <w:r>
        <w:rPr>
          <w:sz w:val="24"/>
        </w:rPr>
        <w:t>.样品</w:t>
      </w:r>
      <w:r>
        <w:rPr>
          <w:rFonts w:hint="eastAsia"/>
          <w:sz w:val="24"/>
        </w:rPr>
        <w:t>进样、</w:t>
      </w:r>
      <w:r>
        <w:rPr>
          <w:sz w:val="24"/>
        </w:rPr>
        <w:t>观察和调整</w:t>
      </w:r>
    </w:p>
    <w:p w14:paraId="234F8A6D">
      <w:pPr>
        <w:spacing w:line="360" w:lineRule="auto"/>
        <w:ind w:firstLine="480"/>
        <w:rPr>
          <w:sz w:val="24"/>
        </w:rPr>
      </w:pPr>
      <w:r>
        <w:rPr>
          <w:rFonts w:hint="eastAsia"/>
          <w:sz w:val="24"/>
        </w:rPr>
        <w:t>7</w:t>
      </w:r>
      <w:r>
        <w:rPr>
          <w:sz w:val="24"/>
        </w:rPr>
        <w:t>.1</w:t>
      </w:r>
      <w:r>
        <w:rPr>
          <w:rFonts w:hint="eastAsia"/>
          <w:sz w:val="24"/>
        </w:rPr>
        <w:t xml:space="preserve"> 进样方式：应具备水平放置的、可一次装入并存储至少2个样品条的多样品停放台，应具备软件控制的全自动进样和样品交换功能；</w:t>
      </w:r>
    </w:p>
    <w:p w14:paraId="64C3CFAB">
      <w:pPr>
        <w:spacing w:line="360" w:lineRule="auto"/>
        <w:ind w:firstLine="480"/>
        <w:rPr>
          <w:sz w:val="24"/>
        </w:rPr>
      </w:pPr>
      <w:r>
        <w:rPr>
          <w:rFonts w:hint="eastAsia"/>
          <w:sz w:val="24"/>
        </w:rPr>
        <w:t>7.2 仪器分析室配备</w:t>
      </w:r>
      <w:r>
        <w:rPr>
          <w:sz w:val="24"/>
        </w:rPr>
        <w:t>可变焦</w:t>
      </w:r>
      <w:r>
        <w:rPr>
          <w:rFonts w:hint="eastAsia"/>
          <w:sz w:val="24"/>
        </w:rPr>
        <w:t>光学相机</w:t>
      </w:r>
      <w:r>
        <w:rPr>
          <w:sz w:val="24"/>
        </w:rPr>
        <w:t>，</w:t>
      </w:r>
      <w:r>
        <w:rPr>
          <w:rFonts w:hint="eastAsia"/>
          <w:sz w:val="24"/>
        </w:rPr>
        <w:t>可实现在不同放大倍数下观察样品细节，</w:t>
      </w:r>
      <w:r>
        <w:rPr>
          <w:sz w:val="24"/>
        </w:rPr>
        <w:t>能清楚观察样品图象，图像可实时显示及储存。分析室需具备观察视窗，并装有防X射线玻璃；观察窗口法线方向需位于水平线以上，以方便观察；</w:t>
      </w:r>
    </w:p>
    <w:p w14:paraId="513FAAD4">
      <w:pPr>
        <w:spacing w:line="360" w:lineRule="auto"/>
        <w:ind w:firstLine="480"/>
        <w:rPr>
          <w:sz w:val="24"/>
        </w:rPr>
      </w:pPr>
      <w:r>
        <w:rPr>
          <w:rFonts w:hint="eastAsia"/>
          <w:sz w:val="24"/>
        </w:rPr>
        <w:t>7</w:t>
      </w:r>
      <w:r>
        <w:rPr>
          <w:sz w:val="24"/>
        </w:rPr>
        <w:t>.</w:t>
      </w:r>
      <w:r>
        <w:rPr>
          <w:rFonts w:hint="eastAsia"/>
          <w:sz w:val="24"/>
        </w:rPr>
        <w:t xml:space="preserve">3 </w:t>
      </w:r>
      <w:r>
        <w:rPr>
          <w:sz w:val="24"/>
        </w:rPr>
        <w:t>分析室采用自动控制5轴样品台即X、Y、Z移动，倾斜及旋转</w:t>
      </w:r>
      <w:r>
        <w:rPr>
          <w:rFonts w:hint="eastAsia"/>
          <w:sz w:val="24"/>
        </w:rPr>
        <w:t>，可通过鼠标点击导航样品台，</w:t>
      </w:r>
      <w:r>
        <w:rPr>
          <w:sz w:val="24"/>
        </w:rPr>
        <w:t>样品台可移动范围</w:t>
      </w:r>
      <w:r>
        <w:rPr>
          <w:rFonts w:hint="eastAsia"/>
          <w:sz w:val="24"/>
        </w:rPr>
        <w:t>不小于</w:t>
      </w:r>
      <w:r>
        <w:rPr>
          <w:sz w:val="24"/>
        </w:rPr>
        <w:t>：X方向：50mm；Y方向：20mm；Z方向：</w:t>
      </w:r>
      <w:r>
        <w:rPr>
          <w:rFonts w:hint="eastAsia"/>
          <w:sz w:val="24"/>
        </w:rPr>
        <w:t xml:space="preserve">8 </w:t>
      </w:r>
      <w:r>
        <w:rPr>
          <w:sz w:val="24"/>
        </w:rPr>
        <w:t>mm；调节步</w:t>
      </w:r>
      <w:r>
        <w:rPr>
          <w:rFonts w:hint="eastAsia"/>
          <w:sz w:val="24"/>
        </w:rPr>
        <w:t>距</w:t>
      </w:r>
      <w:r>
        <w:rPr>
          <w:sz w:val="24"/>
        </w:rPr>
        <w:t>：1μm；倾斜角度范围：-90°～90°；面内旋转：360°；变角步距：1°</w:t>
      </w:r>
      <w:r>
        <w:rPr>
          <w:rFonts w:hint="eastAsia"/>
          <w:sz w:val="24"/>
        </w:rPr>
        <w:t>。</w:t>
      </w:r>
    </w:p>
    <w:p w14:paraId="39ED0B54">
      <w:pPr>
        <w:spacing w:line="360" w:lineRule="auto"/>
        <w:ind w:firstLine="480"/>
        <w:rPr>
          <w:sz w:val="24"/>
        </w:rPr>
      </w:pPr>
      <w:r>
        <w:rPr>
          <w:rFonts w:hint="eastAsia"/>
          <w:sz w:val="24"/>
        </w:rPr>
        <w:t>#7</w:t>
      </w:r>
      <w:r>
        <w:rPr>
          <w:sz w:val="24"/>
        </w:rPr>
        <w:t>.</w:t>
      </w:r>
      <w:r>
        <w:rPr>
          <w:rFonts w:hint="eastAsia"/>
          <w:sz w:val="24"/>
        </w:rPr>
        <w:t>4 配备独立于主机部分的光学定位相机（需提定位相机照片，不提供视为不满足）。</w:t>
      </w:r>
    </w:p>
    <w:p w14:paraId="06426BC1">
      <w:pPr>
        <w:spacing w:line="360" w:lineRule="auto"/>
        <w:ind w:firstLine="480"/>
        <w:rPr>
          <w:sz w:val="24"/>
        </w:rPr>
      </w:pPr>
      <w:r>
        <w:rPr>
          <w:rFonts w:hint="eastAsia"/>
          <w:sz w:val="24"/>
        </w:rPr>
        <w:t>8</w:t>
      </w:r>
      <w:r>
        <w:rPr>
          <w:sz w:val="24"/>
        </w:rPr>
        <w:t>.离子散射谱</w:t>
      </w:r>
      <w:r>
        <w:rPr>
          <w:rFonts w:hint="eastAsia"/>
          <w:sz w:val="24"/>
        </w:rPr>
        <w:t>（ISS）</w:t>
      </w:r>
    </w:p>
    <w:p w14:paraId="780A4551">
      <w:pPr>
        <w:spacing w:line="360" w:lineRule="auto"/>
        <w:ind w:firstLine="480"/>
        <w:rPr>
          <w:sz w:val="24"/>
        </w:rPr>
      </w:pPr>
      <w:r>
        <w:rPr>
          <w:rFonts w:hint="eastAsia"/>
          <w:sz w:val="24"/>
        </w:rPr>
        <w:t>8</w:t>
      </w:r>
      <w:r>
        <w:rPr>
          <w:sz w:val="24"/>
        </w:rPr>
        <w:t>.1</w:t>
      </w:r>
      <w:r>
        <w:rPr>
          <w:rFonts w:hint="eastAsia"/>
          <w:sz w:val="24"/>
        </w:rPr>
        <w:t xml:space="preserve"> </w:t>
      </w:r>
      <w:r>
        <w:rPr>
          <w:sz w:val="24"/>
        </w:rPr>
        <w:t>配</w:t>
      </w:r>
      <w:r>
        <w:rPr>
          <w:rFonts w:hint="eastAsia"/>
          <w:sz w:val="24"/>
        </w:rPr>
        <w:t>有与主机同品牌的</w:t>
      </w:r>
      <w:r>
        <w:rPr>
          <w:sz w:val="24"/>
        </w:rPr>
        <w:t>离子散射谱（ISS）</w:t>
      </w:r>
      <w:r>
        <w:rPr>
          <w:rFonts w:hint="eastAsia"/>
          <w:sz w:val="24"/>
        </w:rPr>
        <w:t>；</w:t>
      </w:r>
    </w:p>
    <w:p w14:paraId="4BE62436">
      <w:pPr>
        <w:spacing w:line="360" w:lineRule="auto"/>
        <w:ind w:firstLine="480"/>
        <w:rPr>
          <w:sz w:val="24"/>
        </w:rPr>
      </w:pPr>
      <w:r>
        <w:rPr>
          <w:rFonts w:hint="eastAsia"/>
          <w:sz w:val="24"/>
        </w:rPr>
        <w:t xml:space="preserve">#8.2 </w:t>
      </w:r>
      <w:r>
        <w:rPr>
          <w:sz w:val="24"/>
        </w:rPr>
        <w:t>在1 keV He离子作用于清洁金表面，能量分辨率</w:t>
      </w:r>
      <w:r>
        <w:rPr>
          <w:rFonts w:hint="eastAsia"/>
          <w:sz w:val="24"/>
        </w:rPr>
        <w:t>≤</w:t>
      </w:r>
      <w:r>
        <w:rPr>
          <w:sz w:val="24"/>
        </w:rPr>
        <w:t>12eV时，灵敏度应</w:t>
      </w:r>
      <w:r>
        <w:rPr>
          <w:rFonts w:hint="eastAsia"/>
          <w:sz w:val="24"/>
        </w:rPr>
        <w:t>≥</w:t>
      </w:r>
      <w:r>
        <w:rPr>
          <w:sz w:val="24"/>
        </w:rPr>
        <w:t>25,000 cps/nA。</w:t>
      </w:r>
      <w:r>
        <w:rPr>
          <w:rFonts w:hint="eastAsia"/>
          <w:sz w:val="24"/>
        </w:rPr>
        <w:t>（需提供软件界面截图，截图需显示Au标样I</w:t>
      </w:r>
      <w:r>
        <w:rPr>
          <w:sz w:val="24"/>
        </w:rPr>
        <w:t>SS</w:t>
      </w:r>
      <w:r>
        <w:rPr>
          <w:rFonts w:hint="eastAsia"/>
          <w:sz w:val="24"/>
        </w:rPr>
        <w:t>实测数据，未提供视为不响应）。</w:t>
      </w:r>
    </w:p>
    <w:p w14:paraId="26B7BAA5">
      <w:pPr>
        <w:spacing w:line="360" w:lineRule="auto"/>
        <w:ind w:firstLine="480"/>
        <w:rPr>
          <w:sz w:val="24"/>
        </w:rPr>
      </w:pPr>
      <w:r>
        <w:rPr>
          <w:rFonts w:hint="eastAsia"/>
          <w:sz w:val="24"/>
        </w:rPr>
        <w:t>9</w:t>
      </w:r>
      <w:r>
        <w:rPr>
          <w:sz w:val="24"/>
        </w:rPr>
        <w:t>.反射电子能量损失谱装置（REELS）</w:t>
      </w:r>
    </w:p>
    <w:p w14:paraId="70C7B84E">
      <w:pPr>
        <w:spacing w:line="360" w:lineRule="auto"/>
        <w:ind w:firstLine="480"/>
        <w:rPr>
          <w:sz w:val="24"/>
        </w:rPr>
      </w:pPr>
      <w:r>
        <w:rPr>
          <w:rFonts w:hint="eastAsia"/>
          <w:sz w:val="24"/>
        </w:rPr>
        <w:t>9</w:t>
      </w:r>
      <w:r>
        <w:rPr>
          <w:sz w:val="24"/>
        </w:rPr>
        <w:t>.1</w:t>
      </w:r>
      <w:r>
        <w:rPr>
          <w:rFonts w:hint="eastAsia"/>
          <w:sz w:val="24"/>
        </w:rPr>
        <w:t xml:space="preserve"> </w:t>
      </w:r>
      <w:r>
        <w:rPr>
          <w:sz w:val="24"/>
        </w:rPr>
        <w:t>配</w:t>
      </w:r>
      <w:r>
        <w:rPr>
          <w:rFonts w:hint="eastAsia"/>
          <w:sz w:val="24"/>
        </w:rPr>
        <w:t>备</w:t>
      </w:r>
      <w:r>
        <w:rPr>
          <w:sz w:val="24"/>
        </w:rPr>
        <w:t>与传输透镜同轴的反射电子能量损失谱（REELS）</w:t>
      </w:r>
      <w:r>
        <w:rPr>
          <w:rFonts w:hint="eastAsia"/>
          <w:sz w:val="24"/>
        </w:rPr>
        <w:t>；</w:t>
      </w:r>
    </w:p>
    <w:p w14:paraId="03106ABF">
      <w:pPr>
        <w:spacing w:line="360" w:lineRule="auto"/>
        <w:ind w:firstLine="480"/>
        <w:rPr>
          <w:sz w:val="24"/>
        </w:rPr>
      </w:pPr>
      <w:r>
        <w:rPr>
          <w:rFonts w:hint="eastAsia"/>
          <w:sz w:val="24"/>
        </w:rPr>
        <w:t>9</w:t>
      </w:r>
      <w:r>
        <w:rPr>
          <w:sz w:val="24"/>
        </w:rPr>
        <w:t>.2</w:t>
      </w:r>
      <w:r>
        <w:rPr>
          <w:rFonts w:hint="eastAsia"/>
          <w:sz w:val="24"/>
        </w:rPr>
        <w:t xml:space="preserve"> </w:t>
      </w:r>
      <w:r>
        <w:rPr>
          <w:sz w:val="24"/>
        </w:rPr>
        <w:t>满足对氢元素的定性定量分析需求，对于干净的银样品，</w:t>
      </w:r>
      <w:r>
        <w:rPr>
          <w:rFonts w:hint="eastAsia"/>
          <w:sz w:val="24"/>
        </w:rPr>
        <w:t>当</w:t>
      </w:r>
      <w:r>
        <w:rPr>
          <w:sz w:val="24"/>
        </w:rPr>
        <w:t>能量分辨率为0.5eV时，灵敏度应</w:t>
      </w:r>
      <w:r>
        <w:rPr>
          <w:rFonts w:hint="eastAsia"/>
          <w:sz w:val="24"/>
        </w:rPr>
        <w:t>≥</w:t>
      </w:r>
      <w:r>
        <w:rPr>
          <w:sz w:val="24"/>
        </w:rPr>
        <w:t>1000kcps</w:t>
      </w:r>
      <w:r>
        <w:rPr>
          <w:rFonts w:hint="eastAsia"/>
          <w:sz w:val="24"/>
        </w:rPr>
        <w:t>。</w:t>
      </w:r>
    </w:p>
    <w:p w14:paraId="36FEA1B8">
      <w:pPr>
        <w:spacing w:line="360" w:lineRule="auto"/>
        <w:ind w:firstLine="480"/>
        <w:rPr>
          <w:sz w:val="24"/>
        </w:rPr>
      </w:pPr>
      <w:r>
        <w:rPr>
          <w:sz w:val="24"/>
        </w:rPr>
        <w:t>1</w:t>
      </w:r>
      <w:r>
        <w:rPr>
          <w:rFonts w:hint="eastAsia"/>
          <w:sz w:val="24"/>
        </w:rPr>
        <w:t>0</w:t>
      </w:r>
      <w:r>
        <w:rPr>
          <w:sz w:val="24"/>
        </w:rPr>
        <w:t>.紫外光电子能谱仪（UPS）</w:t>
      </w:r>
    </w:p>
    <w:p w14:paraId="213266B3">
      <w:pPr>
        <w:spacing w:line="360" w:lineRule="auto"/>
        <w:ind w:firstLine="480"/>
        <w:rPr>
          <w:sz w:val="24"/>
        </w:rPr>
      </w:pPr>
      <w:r>
        <w:rPr>
          <w:sz w:val="24"/>
        </w:rPr>
        <w:t>1</w:t>
      </w:r>
      <w:r>
        <w:rPr>
          <w:rFonts w:hint="eastAsia"/>
          <w:sz w:val="24"/>
        </w:rPr>
        <w:t>0</w:t>
      </w:r>
      <w:r>
        <w:rPr>
          <w:sz w:val="24"/>
        </w:rPr>
        <w:t>.1</w:t>
      </w:r>
      <w:r>
        <w:rPr>
          <w:rFonts w:hint="eastAsia"/>
          <w:sz w:val="24"/>
        </w:rPr>
        <w:t xml:space="preserve"> </w:t>
      </w:r>
      <w:r>
        <w:rPr>
          <w:sz w:val="24"/>
        </w:rPr>
        <w:t>光源：He紫外光源；</w:t>
      </w:r>
    </w:p>
    <w:p w14:paraId="03470541">
      <w:pPr>
        <w:spacing w:line="360" w:lineRule="auto"/>
        <w:ind w:firstLine="480"/>
        <w:rPr>
          <w:sz w:val="24"/>
        </w:rPr>
      </w:pPr>
      <w:r>
        <w:rPr>
          <w:sz w:val="24"/>
        </w:rPr>
        <w:t>1</w:t>
      </w:r>
      <w:r>
        <w:rPr>
          <w:rFonts w:hint="eastAsia"/>
          <w:sz w:val="24"/>
        </w:rPr>
        <w:t>0</w:t>
      </w:r>
      <w:r>
        <w:rPr>
          <w:sz w:val="24"/>
        </w:rPr>
        <w:t>.2</w:t>
      </w:r>
      <w:r>
        <w:rPr>
          <w:rFonts w:hint="eastAsia"/>
          <w:sz w:val="24"/>
        </w:rPr>
        <w:t xml:space="preserve"> </w:t>
      </w:r>
      <w:r>
        <w:rPr>
          <w:sz w:val="24"/>
        </w:rPr>
        <w:t>能量分辨率：对Ag费米边，能量分辨率应</w:t>
      </w:r>
      <w:r>
        <w:rPr>
          <w:rFonts w:hint="eastAsia"/>
          <w:sz w:val="24"/>
        </w:rPr>
        <w:t>≤</w:t>
      </w:r>
      <w:r>
        <w:rPr>
          <w:sz w:val="24"/>
        </w:rPr>
        <w:t>100meV；</w:t>
      </w:r>
    </w:p>
    <w:p w14:paraId="71793C86">
      <w:pPr>
        <w:spacing w:line="360" w:lineRule="auto"/>
        <w:ind w:firstLine="480"/>
        <w:rPr>
          <w:sz w:val="24"/>
        </w:rPr>
      </w:pPr>
      <w:r>
        <w:rPr>
          <w:sz w:val="24"/>
        </w:rPr>
        <w:t>1</w:t>
      </w:r>
      <w:r>
        <w:rPr>
          <w:rFonts w:hint="eastAsia"/>
          <w:sz w:val="24"/>
        </w:rPr>
        <w:t>0</w:t>
      </w:r>
      <w:r>
        <w:rPr>
          <w:sz w:val="24"/>
        </w:rPr>
        <w:t>.3灵敏度：能量分辨率</w:t>
      </w:r>
      <w:r>
        <w:rPr>
          <w:rFonts w:hint="eastAsia"/>
          <w:sz w:val="24"/>
        </w:rPr>
        <w:t>≤</w:t>
      </w:r>
      <w:r>
        <w:rPr>
          <w:sz w:val="24"/>
        </w:rPr>
        <w:t xml:space="preserve">100meV时，灵敏度（Ag4d）≥1,000,000cps； </w:t>
      </w:r>
    </w:p>
    <w:p w14:paraId="3F9F347C">
      <w:pPr>
        <w:spacing w:line="360" w:lineRule="auto"/>
        <w:ind w:firstLine="480"/>
        <w:rPr>
          <w:sz w:val="24"/>
        </w:rPr>
      </w:pPr>
      <w:r>
        <w:rPr>
          <w:sz w:val="24"/>
        </w:rPr>
        <w:t>1</w:t>
      </w:r>
      <w:r>
        <w:rPr>
          <w:rFonts w:hint="eastAsia"/>
          <w:sz w:val="24"/>
        </w:rPr>
        <w:t>0</w:t>
      </w:r>
      <w:r>
        <w:rPr>
          <w:sz w:val="24"/>
        </w:rPr>
        <w:t>.4系统配有满足绝缘样品UPS分析时荷电中和需要的离子束中和源</w:t>
      </w:r>
      <w:r>
        <w:rPr>
          <w:rFonts w:hint="eastAsia"/>
          <w:sz w:val="24"/>
        </w:rPr>
        <w:t>。</w:t>
      </w:r>
    </w:p>
    <w:p w14:paraId="14F1A770">
      <w:pPr>
        <w:spacing w:line="360" w:lineRule="auto"/>
        <w:ind w:firstLine="480"/>
        <w:rPr>
          <w:sz w:val="24"/>
        </w:rPr>
      </w:pPr>
      <w:r>
        <w:rPr>
          <w:sz w:val="24"/>
        </w:rPr>
        <w:t>1</w:t>
      </w:r>
      <w:r>
        <w:rPr>
          <w:rFonts w:hint="eastAsia"/>
          <w:sz w:val="24"/>
        </w:rPr>
        <w:t>1</w:t>
      </w:r>
      <w:r>
        <w:rPr>
          <w:sz w:val="24"/>
        </w:rPr>
        <w:t>.分析室原位加热/冷却样品台</w:t>
      </w:r>
    </w:p>
    <w:p w14:paraId="2AD0414F">
      <w:pPr>
        <w:spacing w:line="360" w:lineRule="auto"/>
        <w:ind w:firstLine="480"/>
        <w:rPr>
          <w:sz w:val="24"/>
        </w:rPr>
      </w:pPr>
      <w:r>
        <w:rPr>
          <w:sz w:val="24"/>
        </w:rPr>
        <w:t>1</w:t>
      </w:r>
      <w:r>
        <w:rPr>
          <w:rFonts w:hint="eastAsia"/>
          <w:sz w:val="24"/>
        </w:rPr>
        <w:t>1</w:t>
      </w:r>
      <w:r>
        <w:rPr>
          <w:sz w:val="24"/>
        </w:rPr>
        <w:t>.1温度控制范围：1</w:t>
      </w:r>
      <w:r>
        <w:rPr>
          <w:rFonts w:hint="eastAsia"/>
          <w:sz w:val="24"/>
        </w:rPr>
        <w:t>23</w:t>
      </w:r>
      <w:r>
        <w:rPr>
          <w:sz w:val="24"/>
        </w:rPr>
        <w:t>K-1000K</w:t>
      </w:r>
      <w:r>
        <w:rPr>
          <w:rFonts w:hint="eastAsia"/>
          <w:sz w:val="24"/>
        </w:rPr>
        <w:t>；</w:t>
      </w:r>
    </w:p>
    <w:p w14:paraId="5A0A0A79">
      <w:pPr>
        <w:spacing w:line="360" w:lineRule="auto"/>
        <w:ind w:firstLine="480"/>
        <w:rPr>
          <w:sz w:val="24"/>
        </w:rPr>
      </w:pPr>
      <w:r>
        <w:rPr>
          <w:sz w:val="24"/>
        </w:rPr>
        <w:t>11.2温度控制精度：1K</w:t>
      </w:r>
      <w:r>
        <w:rPr>
          <w:rFonts w:hint="eastAsia"/>
          <w:sz w:val="24"/>
        </w:rPr>
        <w:t>。</w:t>
      </w:r>
    </w:p>
    <w:p w14:paraId="5AD1A282">
      <w:pPr>
        <w:spacing w:line="360" w:lineRule="auto"/>
        <w:ind w:firstLine="480"/>
        <w:rPr>
          <w:sz w:val="24"/>
        </w:rPr>
      </w:pPr>
      <w:r>
        <w:rPr>
          <w:rFonts w:hint="eastAsia"/>
          <w:sz w:val="24"/>
        </w:rPr>
        <w:t>12</w:t>
      </w:r>
      <w:r>
        <w:rPr>
          <w:sz w:val="24"/>
        </w:rPr>
        <w:t xml:space="preserve"> </w:t>
      </w:r>
      <w:r>
        <w:rPr>
          <w:rFonts w:hint="eastAsia"/>
          <w:sz w:val="24"/>
        </w:rPr>
        <w:t>真空转移仓</w:t>
      </w:r>
    </w:p>
    <w:p w14:paraId="2D66D206">
      <w:pPr>
        <w:spacing w:line="360" w:lineRule="auto"/>
        <w:ind w:firstLine="480"/>
        <w:rPr>
          <w:sz w:val="24"/>
        </w:rPr>
      </w:pPr>
      <w:r>
        <w:rPr>
          <w:rFonts w:hint="eastAsia"/>
          <w:sz w:val="24"/>
        </w:rPr>
        <w:t>12</w:t>
      </w:r>
      <w:r>
        <w:rPr>
          <w:sz w:val="24"/>
        </w:rPr>
        <w:t>.1</w:t>
      </w:r>
      <w:r>
        <w:rPr>
          <w:rFonts w:hint="eastAsia"/>
          <w:sz w:val="24"/>
        </w:rPr>
        <w:t xml:space="preserve"> 配备真空转移仓，可实现样品从手套箱到仪器无空气接触传样。</w:t>
      </w:r>
    </w:p>
    <w:p w14:paraId="6B9903E2">
      <w:pPr>
        <w:spacing w:line="360" w:lineRule="auto"/>
        <w:ind w:firstLine="480"/>
        <w:rPr>
          <w:sz w:val="24"/>
        </w:rPr>
      </w:pPr>
      <w:r>
        <w:rPr>
          <w:sz w:val="24"/>
        </w:rPr>
        <w:t>1</w:t>
      </w:r>
      <w:r>
        <w:rPr>
          <w:rFonts w:hint="eastAsia"/>
          <w:sz w:val="24"/>
        </w:rPr>
        <w:t>3.</w:t>
      </w:r>
      <w:r>
        <w:rPr>
          <w:sz w:val="24"/>
        </w:rPr>
        <w:t>谱仪控制和数据处理</w:t>
      </w:r>
    </w:p>
    <w:p w14:paraId="48F05F55">
      <w:pPr>
        <w:spacing w:line="360" w:lineRule="auto"/>
        <w:ind w:firstLine="480"/>
        <w:rPr>
          <w:sz w:val="24"/>
        </w:rPr>
      </w:pPr>
      <w:r>
        <w:rPr>
          <w:sz w:val="24"/>
        </w:rPr>
        <w:t>1</w:t>
      </w:r>
      <w:r>
        <w:rPr>
          <w:rFonts w:hint="eastAsia"/>
          <w:sz w:val="24"/>
        </w:rPr>
        <w:t>3</w:t>
      </w:r>
      <w:r>
        <w:rPr>
          <w:sz w:val="24"/>
        </w:rPr>
        <w:t>.1</w:t>
      </w:r>
      <w:r>
        <w:rPr>
          <w:rFonts w:hint="eastAsia"/>
          <w:sz w:val="24"/>
        </w:rPr>
        <w:t xml:space="preserve"> </w:t>
      </w:r>
      <w:r>
        <w:rPr>
          <w:sz w:val="24"/>
        </w:rPr>
        <w:t>谱仪控制：</w:t>
      </w:r>
      <w:r>
        <w:rPr>
          <w:rFonts w:hint="eastAsia"/>
          <w:sz w:val="24"/>
        </w:rPr>
        <w:t>谱仪参数设置，系统软件应实现可视化操作；分析部件均可通过系统软件控制；系统软件具备可视化操作界面，实现对真空泵、阀门、真空规、离子枪、中和枪、CCD相机的放大倍率调节以及加热冷却等的控制；所有进气阀门均可通过软件控制实现自动化开启和关闭；系统软件内置真空安全互锁控制模块；多功能样品台，样品台移动可通过鼠标操作实时的光学像而实现，并具有可视化操作界面。</w:t>
      </w:r>
    </w:p>
    <w:p w14:paraId="5E92AECD">
      <w:pPr>
        <w:spacing w:line="360" w:lineRule="auto"/>
        <w:ind w:firstLine="480"/>
        <w:rPr>
          <w:sz w:val="24"/>
        </w:rPr>
      </w:pPr>
      <w:r>
        <w:rPr>
          <w:rFonts w:hint="eastAsia"/>
          <w:sz w:val="24"/>
        </w:rPr>
        <w:t>#</w:t>
      </w:r>
      <w:r>
        <w:rPr>
          <w:sz w:val="24"/>
        </w:rPr>
        <w:t>1</w:t>
      </w:r>
      <w:r>
        <w:rPr>
          <w:rFonts w:hint="eastAsia"/>
          <w:sz w:val="24"/>
        </w:rPr>
        <w:t>3</w:t>
      </w:r>
      <w:r>
        <w:rPr>
          <w:sz w:val="24"/>
        </w:rPr>
        <w:t>.2</w:t>
      </w:r>
      <w:r>
        <w:rPr>
          <w:rFonts w:hint="eastAsia"/>
          <w:sz w:val="24"/>
        </w:rPr>
        <w:t xml:space="preserve"> </w:t>
      </w:r>
      <w:r>
        <w:rPr>
          <w:sz w:val="24"/>
        </w:rPr>
        <w:t>数据处理：包括定性分析、定量分析、曲线拟合等需具备SMART本底扣除方法，带有集成于</w:t>
      </w:r>
      <w:r>
        <w:rPr>
          <w:rFonts w:hint="eastAsia"/>
          <w:sz w:val="24"/>
        </w:rPr>
        <w:t>仪器控制</w:t>
      </w:r>
      <w:r>
        <w:rPr>
          <w:sz w:val="24"/>
        </w:rPr>
        <w:t>软件中的完整的XPS数据库</w:t>
      </w:r>
      <w:r>
        <w:rPr>
          <w:rFonts w:hint="eastAsia"/>
          <w:sz w:val="24"/>
        </w:rPr>
        <w:t>（数据库需包含表格及谱图模式）</w:t>
      </w:r>
      <w:r>
        <w:rPr>
          <w:sz w:val="24"/>
        </w:rPr>
        <w:t>，数据库谱原始数据可直接以数据模式从分析软件调出，实现在线分析。实验数据（原始数据及分析结果）可存为通用格式，并能导入Microsoft Office 软件，软件的数据处理部分，可在其他PC计算机上安装使用。软件介质：以安装光盘形式提供</w:t>
      </w:r>
      <w:r>
        <w:rPr>
          <w:rFonts w:hint="eastAsia"/>
          <w:sz w:val="24"/>
        </w:rPr>
        <w:t>（</w:t>
      </w:r>
      <w:r>
        <w:rPr>
          <w:sz w:val="24"/>
        </w:rPr>
        <w:t>需提供制造商盖章版软件</w:t>
      </w:r>
      <w:r>
        <w:rPr>
          <w:rFonts w:hint="eastAsia"/>
          <w:sz w:val="24"/>
        </w:rPr>
        <w:t>数据库</w:t>
      </w:r>
      <w:r>
        <w:rPr>
          <w:sz w:val="24"/>
        </w:rPr>
        <w:t>界面截图</w:t>
      </w:r>
      <w:r>
        <w:rPr>
          <w:rFonts w:hint="eastAsia"/>
          <w:sz w:val="24"/>
        </w:rPr>
        <w:t>，未提供则不得分）。</w:t>
      </w:r>
    </w:p>
    <w:p w14:paraId="638ACE49">
      <w:pPr>
        <w:spacing w:line="360" w:lineRule="auto"/>
        <w:ind w:firstLine="480"/>
        <w:rPr>
          <w:sz w:val="24"/>
        </w:rPr>
      </w:pPr>
      <w:r>
        <w:rPr>
          <w:sz w:val="24"/>
        </w:rPr>
        <w:t>1</w:t>
      </w:r>
      <w:r>
        <w:rPr>
          <w:rFonts w:hint="eastAsia"/>
          <w:sz w:val="24"/>
        </w:rPr>
        <w:t>4.</w:t>
      </w:r>
      <w:r>
        <w:rPr>
          <w:sz w:val="24"/>
        </w:rPr>
        <w:t>不间断电源</w:t>
      </w:r>
    </w:p>
    <w:p w14:paraId="567C3049">
      <w:pPr>
        <w:spacing w:line="360" w:lineRule="auto"/>
        <w:ind w:firstLine="480"/>
        <w:rPr>
          <w:sz w:val="24"/>
        </w:rPr>
      </w:pPr>
      <w:r>
        <w:rPr>
          <w:sz w:val="24"/>
        </w:rPr>
        <w:t>1</w:t>
      </w:r>
      <w:r>
        <w:rPr>
          <w:rFonts w:hint="eastAsia"/>
          <w:sz w:val="24"/>
        </w:rPr>
        <w:t>4</w:t>
      </w:r>
      <w:r>
        <w:rPr>
          <w:sz w:val="24"/>
        </w:rPr>
        <w:t>.1</w:t>
      </w:r>
      <w:r>
        <w:rPr>
          <w:rFonts w:hint="eastAsia"/>
          <w:sz w:val="24"/>
        </w:rPr>
        <w:t xml:space="preserve"> </w:t>
      </w:r>
      <w:r>
        <w:rPr>
          <w:sz w:val="24"/>
        </w:rPr>
        <w:t>满足延时使用</w:t>
      </w:r>
      <w:r>
        <w:rPr>
          <w:rFonts w:hint="eastAsia"/>
          <w:sz w:val="24"/>
        </w:rPr>
        <w:t>至少</w:t>
      </w:r>
      <w:r>
        <w:rPr>
          <w:sz w:val="24"/>
        </w:rPr>
        <w:t>2小时；</w:t>
      </w:r>
    </w:p>
    <w:p w14:paraId="4127746B">
      <w:pPr>
        <w:spacing w:line="360" w:lineRule="auto"/>
        <w:ind w:firstLine="480"/>
        <w:rPr>
          <w:sz w:val="24"/>
        </w:rPr>
      </w:pPr>
      <w:r>
        <w:rPr>
          <w:sz w:val="24"/>
        </w:rPr>
        <w:t>1</w:t>
      </w:r>
      <w:r>
        <w:rPr>
          <w:rFonts w:hint="eastAsia"/>
          <w:sz w:val="24"/>
        </w:rPr>
        <w:t>4</w:t>
      </w:r>
      <w:r>
        <w:rPr>
          <w:sz w:val="24"/>
        </w:rPr>
        <w:t>.2</w:t>
      </w:r>
      <w:r>
        <w:rPr>
          <w:rFonts w:hint="eastAsia"/>
          <w:sz w:val="24"/>
        </w:rPr>
        <w:t xml:space="preserve"> </w:t>
      </w:r>
      <w:r>
        <w:rPr>
          <w:sz w:val="24"/>
        </w:rPr>
        <w:t>额定容量：10 KVA/8 KW</w:t>
      </w:r>
      <w:r>
        <w:rPr>
          <w:rFonts w:hint="eastAsia"/>
          <w:sz w:val="24"/>
        </w:rPr>
        <w:t>。</w:t>
      </w:r>
    </w:p>
    <w:p w14:paraId="1D77BAC8">
      <w:pPr>
        <w:spacing w:line="360" w:lineRule="auto"/>
        <w:ind w:firstLine="480"/>
        <w:rPr>
          <w:sz w:val="24"/>
        </w:rPr>
      </w:pPr>
      <w:r>
        <w:rPr>
          <w:sz w:val="24"/>
        </w:rPr>
        <w:t>1</w:t>
      </w:r>
      <w:r>
        <w:rPr>
          <w:rFonts w:hint="eastAsia"/>
          <w:sz w:val="24"/>
        </w:rPr>
        <w:t>5.</w:t>
      </w:r>
      <w:r>
        <w:rPr>
          <w:sz w:val="24"/>
        </w:rPr>
        <w:t>循环水冷机</w:t>
      </w:r>
    </w:p>
    <w:p w14:paraId="3235F28B">
      <w:pPr>
        <w:spacing w:line="360" w:lineRule="auto"/>
        <w:ind w:firstLine="480"/>
        <w:rPr>
          <w:sz w:val="24"/>
        </w:rPr>
      </w:pPr>
      <w:r>
        <w:rPr>
          <w:sz w:val="24"/>
        </w:rPr>
        <w:t>1</w:t>
      </w:r>
      <w:r>
        <w:rPr>
          <w:rFonts w:hint="eastAsia"/>
          <w:sz w:val="24"/>
        </w:rPr>
        <w:t>5</w:t>
      </w:r>
      <w:r>
        <w:rPr>
          <w:sz w:val="24"/>
        </w:rPr>
        <w:t>.1</w:t>
      </w:r>
      <w:r>
        <w:rPr>
          <w:rFonts w:hint="eastAsia"/>
          <w:sz w:val="24"/>
        </w:rPr>
        <w:t xml:space="preserve"> </w:t>
      </w:r>
      <w:r>
        <w:rPr>
          <w:sz w:val="24"/>
        </w:rPr>
        <w:t>用于X射线光源，磁透镜等部件的冷却</w:t>
      </w:r>
      <w:r>
        <w:rPr>
          <w:rFonts w:hint="eastAsia"/>
          <w:sz w:val="24"/>
        </w:rPr>
        <w:t>。</w:t>
      </w:r>
    </w:p>
    <w:p w14:paraId="46CA601A">
      <w:pPr>
        <w:spacing w:line="360" w:lineRule="auto"/>
        <w:ind w:firstLine="480"/>
        <w:rPr>
          <w:sz w:val="24"/>
        </w:rPr>
      </w:pPr>
      <w:r>
        <w:rPr>
          <w:rFonts w:hint="eastAsia"/>
          <w:sz w:val="24"/>
        </w:rPr>
        <w:t>16.</w:t>
      </w:r>
      <w:r>
        <w:rPr>
          <w:sz w:val="24"/>
        </w:rPr>
        <w:t>原位互联手套箱</w:t>
      </w:r>
    </w:p>
    <w:p w14:paraId="251E84E2">
      <w:pPr>
        <w:spacing w:line="360" w:lineRule="auto"/>
        <w:ind w:firstLine="480"/>
        <w:rPr>
          <w:sz w:val="24"/>
        </w:rPr>
      </w:pPr>
      <w:r>
        <w:rPr>
          <w:rFonts w:hint="eastAsia"/>
          <w:sz w:val="24"/>
        </w:rPr>
        <w:t>16.1 单工位手套箱一套，配备转接接口，与真空过渡舱衔接；</w:t>
      </w:r>
    </w:p>
    <w:p w14:paraId="5EA8144D">
      <w:pPr>
        <w:spacing w:line="360" w:lineRule="auto"/>
        <w:ind w:firstLine="480"/>
        <w:rPr>
          <w:sz w:val="24"/>
        </w:rPr>
      </w:pPr>
      <w:r>
        <w:rPr>
          <w:rFonts w:hint="eastAsia"/>
          <w:sz w:val="24"/>
        </w:rPr>
        <w:t xml:space="preserve">16.2 </w:t>
      </w:r>
      <w:r>
        <w:rPr>
          <w:sz w:val="24"/>
        </w:rPr>
        <w:t>手套箱连接不占据仪器进样口，保障仪器常规进样口和手套箱可同时进样；</w:t>
      </w:r>
    </w:p>
    <w:p w14:paraId="635364B9">
      <w:pPr>
        <w:spacing w:line="360" w:lineRule="auto"/>
        <w:ind w:firstLine="480"/>
        <w:rPr>
          <w:sz w:val="24"/>
        </w:rPr>
      </w:pPr>
      <w:r>
        <w:rPr>
          <w:rFonts w:hint="eastAsia"/>
          <w:sz w:val="24"/>
        </w:rPr>
        <w:t xml:space="preserve">16.3 </w:t>
      </w:r>
      <w:r>
        <w:rPr>
          <w:sz w:val="24"/>
        </w:rPr>
        <w:t>手套箱互联需提供设计方案图或实际案例图。</w:t>
      </w:r>
    </w:p>
    <w:p w14:paraId="69C3A4DA">
      <w:pPr>
        <w:spacing w:line="360" w:lineRule="auto"/>
        <w:ind w:firstLine="480"/>
        <w:rPr>
          <w:sz w:val="24"/>
        </w:rPr>
      </w:pPr>
    </w:p>
    <w:p w14:paraId="7988C2D4">
      <w:pPr>
        <w:numPr>
          <w:ilvl w:val="0"/>
          <w:numId w:val="2"/>
        </w:numPr>
        <w:spacing w:line="360" w:lineRule="auto"/>
        <w:rPr>
          <w:b/>
          <w:sz w:val="24"/>
        </w:rPr>
      </w:pPr>
      <w:r>
        <w:rPr>
          <w:rFonts w:hint="eastAsia"/>
          <w:b/>
          <w:sz w:val="24"/>
        </w:rPr>
        <w:t>产品配置要求</w:t>
      </w:r>
    </w:p>
    <w:p w14:paraId="05EB9A6C">
      <w:pPr>
        <w:spacing w:line="360" w:lineRule="auto"/>
        <w:rPr>
          <w:sz w:val="24"/>
        </w:rPr>
      </w:pPr>
      <w:r>
        <w:rPr>
          <w:rFonts w:hint="eastAsia"/>
          <w:sz w:val="24"/>
        </w:rPr>
        <w:t>X射线光电子能谱仪：</w:t>
      </w:r>
    </w:p>
    <w:p w14:paraId="648A2CC3">
      <w:pPr>
        <w:spacing w:line="360" w:lineRule="auto"/>
        <w:ind w:firstLine="480" w:firstLineChars="200"/>
        <w:rPr>
          <w:rFonts w:hint="eastAsia"/>
          <w:sz w:val="24"/>
        </w:rPr>
      </w:pPr>
      <w:r>
        <w:rPr>
          <w:rFonts w:hint="eastAsia"/>
          <w:sz w:val="24"/>
        </w:rPr>
        <w:t>1.设备主机：（需包括样品分析平台、进样系统、分析腔、进样腔、单色化X射线光源系统、能量分析系统、荷电中和系统、</w:t>
      </w:r>
      <w:r>
        <w:rPr>
          <w:sz w:val="24"/>
        </w:rPr>
        <w:t>探测器</w:t>
      </w:r>
      <w:r>
        <w:rPr>
          <w:rFonts w:hint="eastAsia"/>
          <w:sz w:val="24"/>
        </w:rPr>
        <w:t>系统），1套</w:t>
      </w:r>
    </w:p>
    <w:p w14:paraId="3C7559D5">
      <w:pPr>
        <w:spacing w:line="360" w:lineRule="auto"/>
        <w:ind w:firstLine="480" w:firstLineChars="200"/>
        <w:rPr>
          <w:sz w:val="24"/>
        </w:rPr>
      </w:pPr>
      <w:r>
        <w:rPr>
          <w:rFonts w:hint="eastAsia"/>
          <w:sz w:val="24"/>
        </w:rPr>
        <w:t>2. 真空泵系统，1套；</w:t>
      </w:r>
    </w:p>
    <w:p w14:paraId="59B0C5CF">
      <w:pPr>
        <w:spacing w:line="360" w:lineRule="auto"/>
        <w:ind w:firstLine="480" w:firstLineChars="200"/>
        <w:rPr>
          <w:sz w:val="24"/>
        </w:rPr>
      </w:pPr>
      <w:r>
        <w:rPr>
          <w:rFonts w:hint="eastAsia"/>
          <w:sz w:val="24"/>
        </w:rPr>
        <w:t>3. 离子刻蚀系统（包括单原子模式和团簇模式），1套；</w:t>
      </w:r>
    </w:p>
    <w:p w14:paraId="7A2D232F">
      <w:pPr>
        <w:spacing w:line="360" w:lineRule="auto"/>
        <w:ind w:firstLine="480" w:firstLineChars="200"/>
        <w:rPr>
          <w:sz w:val="24"/>
        </w:rPr>
      </w:pPr>
      <w:r>
        <w:rPr>
          <w:rFonts w:hint="eastAsia"/>
          <w:sz w:val="24"/>
        </w:rPr>
        <w:t>4.分析室原位加热/冷却样品台，1套；</w:t>
      </w:r>
    </w:p>
    <w:p w14:paraId="37EAF09C">
      <w:pPr>
        <w:spacing w:line="360" w:lineRule="auto"/>
        <w:ind w:firstLine="480" w:firstLineChars="200"/>
        <w:rPr>
          <w:sz w:val="24"/>
        </w:rPr>
      </w:pPr>
      <w:r>
        <w:rPr>
          <w:rFonts w:hint="eastAsia"/>
          <w:sz w:val="24"/>
        </w:rPr>
        <w:t>5. 紫外光电子能谱仪，1套；</w:t>
      </w:r>
    </w:p>
    <w:p w14:paraId="106B6D39">
      <w:pPr>
        <w:spacing w:line="360" w:lineRule="auto"/>
        <w:ind w:firstLine="480" w:firstLineChars="200"/>
        <w:rPr>
          <w:sz w:val="24"/>
        </w:rPr>
      </w:pPr>
      <w:r>
        <w:rPr>
          <w:rFonts w:hint="eastAsia"/>
          <w:sz w:val="24"/>
        </w:rPr>
        <w:t>6. 离子散射谱，1套；</w:t>
      </w:r>
    </w:p>
    <w:p w14:paraId="31ECCCCC">
      <w:pPr>
        <w:spacing w:line="360" w:lineRule="auto"/>
        <w:ind w:firstLine="480" w:firstLineChars="200"/>
        <w:rPr>
          <w:sz w:val="24"/>
        </w:rPr>
      </w:pPr>
      <w:r>
        <w:rPr>
          <w:rFonts w:hint="eastAsia"/>
          <w:sz w:val="24"/>
        </w:rPr>
        <w:t>7. 反射电子能量损失谱，1套；</w:t>
      </w:r>
    </w:p>
    <w:p w14:paraId="7B79D9E0">
      <w:pPr>
        <w:spacing w:line="360" w:lineRule="auto"/>
        <w:ind w:firstLine="480" w:firstLineChars="200"/>
        <w:rPr>
          <w:sz w:val="24"/>
        </w:rPr>
      </w:pPr>
      <w:r>
        <w:rPr>
          <w:rFonts w:hint="eastAsia"/>
          <w:sz w:val="24"/>
        </w:rPr>
        <w:t>8. 谱仪控制工作站一台及数据分析系统，1套；</w:t>
      </w:r>
    </w:p>
    <w:p w14:paraId="154C8202">
      <w:pPr>
        <w:spacing w:line="360" w:lineRule="auto"/>
        <w:ind w:firstLine="480" w:firstLineChars="200"/>
        <w:rPr>
          <w:sz w:val="24"/>
        </w:rPr>
      </w:pPr>
      <w:r>
        <w:rPr>
          <w:rFonts w:hint="eastAsia"/>
          <w:sz w:val="24"/>
        </w:rPr>
        <w:t>9. 水冷系统，1套；</w:t>
      </w:r>
    </w:p>
    <w:p w14:paraId="3EE5472D">
      <w:pPr>
        <w:spacing w:line="360" w:lineRule="auto"/>
        <w:ind w:firstLine="480" w:firstLineChars="200"/>
        <w:rPr>
          <w:sz w:val="24"/>
        </w:rPr>
      </w:pPr>
      <w:r>
        <w:rPr>
          <w:rFonts w:hint="eastAsia"/>
          <w:sz w:val="24"/>
        </w:rPr>
        <w:t>10.不间断电源，1套；</w:t>
      </w:r>
    </w:p>
    <w:p w14:paraId="14363696">
      <w:pPr>
        <w:spacing w:line="360" w:lineRule="auto"/>
        <w:ind w:firstLine="480" w:firstLineChars="200"/>
        <w:rPr>
          <w:sz w:val="24"/>
        </w:rPr>
      </w:pPr>
      <w:r>
        <w:rPr>
          <w:rFonts w:hint="eastAsia"/>
          <w:sz w:val="24"/>
        </w:rPr>
        <w:t>11.原位手套箱，1套。</w:t>
      </w:r>
    </w:p>
    <w:p w14:paraId="65B0F0A2">
      <w:pPr>
        <w:spacing w:line="360" w:lineRule="auto"/>
        <w:ind w:firstLine="480" w:firstLineChars="200"/>
        <w:rPr>
          <w:sz w:val="24"/>
        </w:rPr>
      </w:pPr>
      <w:r>
        <w:rPr>
          <w:rFonts w:hint="eastAsia"/>
          <w:sz w:val="24"/>
        </w:rPr>
        <w:t>12. 备品备件</w:t>
      </w:r>
    </w:p>
    <w:p w14:paraId="44ABF3E4">
      <w:pPr>
        <w:spacing w:line="360" w:lineRule="auto"/>
        <w:ind w:firstLine="480" w:firstLineChars="200"/>
        <w:rPr>
          <w:sz w:val="24"/>
        </w:rPr>
      </w:pPr>
      <w:r>
        <w:rPr>
          <w:rFonts w:hint="eastAsia"/>
          <w:sz w:val="24"/>
        </w:rPr>
        <w:t>消耗品备件：配备标准主机消耗品备件包一套，包括Al阳极靶1个，X射线光源灯丝1根，内中和枪灯丝1根，高能中和枪灯丝组件1根，低能离子/电子枪灯丝组件1根，复合型离子枪灯丝2根，钛升华泵灯丝6根，水循环滤芯2套，泵油4L，密封套件1套，工具包1套等。</w:t>
      </w:r>
    </w:p>
    <w:p w14:paraId="33385732">
      <w:pPr>
        <w:spacing w:line="360" w:lineRule="auto"/>
        <w:ind w:firstLine="480" w:firstLineChars="200"/>
        <w:rPr>
          <w:sz w:val="24"/>
        </w:rPr>
      </w:pPr>
    </w:p>
    <w:p w14:paraId="5A589E2D">
      <w:pPr>
        <w:spacing w:line="360" w:lineRule="auto"/>
        <w:rPr>
          <w:sz w:val="24"/>
        </w:rPr>
      </w:pPr>
    </w:p>
    <w:p w14:paraId="3C6F64E9">
      <w:pPr>
        <w:spacing w:line="360" w:lineRule="auto"/>
        <w:rPr>
          <w:b/>
          <w:sz w:val="24"/>
        </w:rPr>
      </w:pPr>
      <w:r>
        <w:rPr>
          <w:rFonts w:hint="eastAsia"/>
          <w:b/>
          <w:sz w:val="24"/>
        </w:rPr>
        <w:t>（二）质保及售后服务：</w:t>
      </w:r>
    </w:p>
    <w:p w14:paraId="4ABB43A4">
      <w:pPr>
        <w:spacing w:line="360" w:lineRule="auto"/>
        <w:rPr>
          <w:b/>
          <w:bCs/>
          <w:sz w:val="24"/>
        </w:rPr>
      </w:pPr>
      <w:r>
        <w:rPr>
          <w:rFonts w:hint="eastAsia"/>
          <w:b/>
          <w:bCs/>
          <w:sz w:val="24"/>
        </w:rPr>
        <w:t>1、设备安装调试及验收</w:t>
      </w:r>
    </w:p>
    <w:p w14:paraId="15123FB7">
      <w:pPr>
        <w:spacing w:line="360" w:lineRule="auto"/>
        <w:ind w:firstLine="480" w:firstLineChars="200"/>
        <w:rPr>
          <w:rFonts w:hint="eastAsia"/>
          <w:sz w:val="24"/>
        </w:rPr>
      </w:pPr>
      <w:r>
        <w:rPr>
          <w:rFonts w:hint="eastAsia"/>
          <w:sz w:val="24"/>
        </w:rPr>
        <w:t>1.1 设备到达采购人现场，双方共同对设备进行开箱检查，完成外观验收和配置清点，2周内执行安装调试，设备的安装调试与验收期不应长于30天。若采购人现场条件未到位，则相应推迟安装调试与验收时间。</w:t>
      </w:r>
    </w:p>
    <w:p w14:paraId="6715C106">
      <w:pPr>
        <w:spacing w:line="360" w:lineRule="auto"/>
        <w:ind w:firstLine="480" w:firstLineChars="200"/>
        <w:rPr>
          <w:sz w:val="24"/>
        </w:rPr>
      </w:pPr>
      <w:r>
        <w:rPr>
          <w:rFonts w:hint="eastAsia"/>
          <w:sz w:val="24"/>
        </w:rPr>
        <w:t>1.2投标人货物经过双方检验认可后，签署验收报告，产品保修期自验收合格之日起算，由投标人提供产品保修文件。</w:t>
      </w:r>
    </w:p>
    <w:p w14:paraId="3AC82A7D">
      <w:pPr>
        <w:spacing w:line="360" w:lineRule="auto"/>
        <w:ind w:firstLine="480" w:firstLineChars="200"/>
        <w:rPr>
          <w:sz w:val="24"/>
        </w:rPr>
      </w:pPr>
      <w:r>
        <w:rPr>
          <w:rFonts w:hint="eastAsia"/>
          <w:sz w:val="24"/>
        </w:rPr>
        <w:t>1.3当满足以下条件时，采购人才向中标人签发货物验收报告：</w:t>
      </w:r>
    </w:p>
    <w:p w14:paraId="5C2B56F8">
      <w:pPr>
        <w:spacing w:line="360" w:lineRule="auto"/>
        <w:ind w:firstLine="480" w:firstLineChars="200"/>
        <w:rPr>
          <w:sz w:val="24"/>
        </w:rPr>
      </w:pPr>
      <w:r>
        <w:rPr>
          <w:rFonts w:hint="eastAsia"/>
          <w:sz w:val="24"/>
        </w:rPr>
        <w:t>a、中标人已按照合同规定提供了全部产品及完整的技术资料。</w:t>
      </w:r>
    </w:p>
    <w:p w14:paraId="5029615E">
      <w:pPr>
        <w:spacing w:line="360" w:lineRule="auto"/>
        <w:ind w:firstLine="480" w:firstLineChars="200"/>
        <w:rPr>
          <w:sz w:val="24"/>
        </w:rPr>
      </w:pPr>
      <w:r>
        <w:rPr>
          <w:rFonts w:hint="eastAsia"/>
          <w:sz w:val="24"/>
        </w:rPr>
        <w:t>b、技术指标和参数应达到投标中作出的承诺、甲乙双方磋商确定的结果、技术协议以及产品说明书中的要求</w:t>
      </w:r>
    </w:p>
    <w:p w14:paraId="107B00C0">
      <w:pPr>
        <w:spacing w:line="360" w:lineRule="auto"/>
        <w:ind w:firstLine="480" w:firstLineChars="200"/>
        <w:rPr>
          <w:sz w:val="24"/>
        </w:rPr>
      </w:pPr>
      <w:r>
        <w:rPr>
          <w:rFonts w:hint="eastAsia"/>
          <w:sz w:val="24"/>
        </w:rPr>
        <w:t>c、货物具备产品出厂检测报告。</w:t>
      </w:r>
    </w:p>
    <w:p w14:paraId="1C7A665A">
      <w:pPr>
        <w:spacing w:line="360" w:lineRule="auto"/>
        <w:ind w:firstLine="480" w:firstLineChars="200"/>
        <w:rPr>
          <w:sz w:val="24"/>
        </w:rPr>
      </w:pPr>
      <w:r>
        <w:rPr>
          <w:rFonts w:hint="eastAsia"/>
          <w:sz w:val="24"/>
        </w:rPr>
        <w:t>1.4投标人必须承担的设备运输、安装调试、验收检测和提供设备操作说明书、图纸等其他类似的义务。</w:t>
      </w:r>
    </w:p>
    <w:p w14:paraId="261B6D5A">
      <w:pPr>
        <w:spacing w:line="360" w:lineRule="auto"/>
        <w:ind w:firstLine="480" w:firstLineChars="200"/>
        <w:rPr>
          <w:sz w:val="24"/>
        </w:rPr>
      </w:pPr>
    </w:p>
    <w:p w14:paraId="16198D63">
      <w:pPr>
        <w:spacing w:line="360" w:lineRule="auto"/>
        <w:rPr>
          <w:b/>
          <w:bCs/>
          <w:sz w:val="24"/>
        </w:rPr>
      </w:pPr>
      <w:r>
        <w:rPr>
          <w:rFonts w:hint="eastAsia"/>
          <w:b/>
          <w:bCs/>
          <w:sz w:val="24"/>
        </w:rPr>
        <w:t>2. 技术培训</w:t>
      </w:r>
    </w:p>
    <w:p w14:paraId="37C470AF">
      <w:pPr>
        <w:spacing w:line="360" w:lineRule="auto"/>
        <w:ind w:firstLine="480" w:firstLineChars="200"/>
        <w:rPr>
          <w:sz w:val="24"/>
        </w:rPr>
      </w:pPr>
      <w:r>
        <w:rPr>
          <w:rFonts w:hint="eastAsia"/>
          <w:sz w:val="24"/>
        </w:rPr>
        <w:t>卖方应在交货时对采购人进行货物使用培训及日常保养培训。培训要达到采购人能够熟练操作货物（应熟悉货物工作原理、结构、操作、校准、日常维护及维修等工作）以及处理简单故障的程度。培训的人员和地点由采购人指定。培训工作的最终完成以采购人考核后书面确认为准。</w:t>
      </w:r>
    </w:p>
    <w:p w14:paraId="08F812D7">
      <w:pPr>
        <w:spacing w:line="360" w:lineRule="auto"/>
        <w:ind w:firstLine="480" w:firstLineChars="200"/>
        <w:rPr>
          <w:sz w:val="24"/>
        </w:rPr>
      </w:pPr>
    </w:p>
    <w:p w14:paraId="56CED8A9">
      <w:pPr>
        <w:spacing w:line="360" w:lineRule="auto"/>
        <w:rPr>
          <w:b/>
          <w:bCs/>
          <w:sz w:val="24"/>
        </w:rPr>
      </w:pPr>
      <w:r>
        <w:rPr>
          <w:rFonts w:hint="eastAsia"/>
          <w:b/>
          <w:bCs/>
          <w:sz w:val="24"/>
        </w:rPr>
        <w:t>3. 保修期</w:t>
      </w:r>
    </w:p>
    <w:p w14:paraId="6842BB52">
      <w:pPr>
        <w:spacing w:line="360" w:lineRule="auto"/>
        <w:ind w:firstLine="480" w:firstLineChars="200"/>
        <w:rPr>
          <w:sz w:val="24"/>
        </w:rPr>
      </w:pPr>
      <w:r>
        <w:rPr>
          <w:rFonts w:hint="eastAsia"/>
          <w:sz w:val="24"/>
        </w:rPr>
        <w:t>货物免费保修期1年，时间自最终验收合格并交付使用之日起计算。</w:t>
      </w:r>
    </w:p>
    <w:p w14:paraId="3E34A620">
      <w:pPr>
        <w:spacing w:line="360" w:lineRule="auto"/>
        <w:ind w:firstLine="480" w:firstLineChars="200"/>
        <w:rPr>
          <w:sz w:val="24"/>
        </w:rPr>
      </w:pPr>
    </w:p>
    <w:p w14:paraId="7F5C6C1D">
      <w:pPr>
        <w:spacing w:line="360" w:lineRule="auto"/>
        <w:rPr>
          <w:b/>
          <w:bCs/>
          <w:sz w:val="24"/>
        </w:rPr>
      </w:pPr>
      <w:r>
        <w:rPr>
          <w:rFonts w:hint="eastAsia"/>
          <w:b/>
          <w:bCs/>
          <w:sz w:val="24"/>
        </w:rPr>
        <w:t>4. 维修响应时间</w:t>
      </w:r>
    </w:p>
    <w:p w14:paraId="7701A34E">
      <w:pPr>
        <w:spacing w:line="360" w:lineRule="auto"/>
        <w:ind w:firstLine="480" w:firstLineChars="200"/>
        <w:rPr>
          <w:sz w:val="24"/>
        </w:rPr>
      </w:pPr>
      <w:r>
        <w:rPr>
          <w:rFonts w:hint="eastAsia"/>
          <w:sz w:val="24"/>
        </w:rPr>
        <w:t>在保修期内，一旦发生质量问题，6小时内响应，如果远程支持不能解决问题，工作日情况下工程师在48小时内到达服务现场进行修理或更换。如货物在检修12小时后故障仍无法排除，供应商将在最短72小时内更换零配件，修复故障货物。货物的质保期随着检修的出现而延长，以检修时间的双倍计算延长质保期。若供应商未能及时处理完毕的，采购人有权自行或委托其他单位进行维修，由此产生的修复及赔偿费用，采购人可加收15%的管理费后要求供方支付，此时采购人亦有权解除协议。采购人未解除协议的，供应商应继续承担质保责任。因供应商未及时进行维修完毕导致采购人损失的，采购人有权向供应商索赔。</w:t>
      </w:r>
    </w:p>
    <w:p w14:paraId="440B91EE">
      <w:pPr>
        <w:spacing w:line="360" w:lineRule="auto"/>
        <w:rPr>
          <w:b/>
          <w:sz w:val="24"/>
        </w:rPr>
      </w:pPr>
    </w:p>
    <w:p w14:paraId="43516374">
      <w:pPr>
        <w:spacing w:line="360" w:lineRule="auto"/>
        <w:rPr>
          <w:b/>
          <w:sz w:val="24"/>
        </w:rPr>
      </w:pPr>
      <w:r>
        <w:rPr>
          <w:rFonts w:hint="eastAsia"/>
          <w:b/>
          <w:sz w:val="24"/>
        </w:rPr>
        <w:t>（三） 订货数量：</w:t>
      </w:r>
    </w:p>
    <w:p w14:paraId="320B32E4">
      <w:pPr>
        <w:spacing w:line="360" w:lineRule="auto"/>
        <w:ind w:firstLine="240" w:firstLineChars="100"/>
        <w:rPr>
          <w:sz w:val="24"/>
        </w:rPr>
      </w:pPr>
      <w:r>
        <w:rPr>
          <w:rFonts w:hint="eastAsia"/>
          <w:sz w:val="24"/>
        </w:rPr>
        <w:t xml:space="preserve"> X射线光电子能谱仪，1套。</w:t>
      </w:r>
    </w:p>
    <w:p w14:paraId="7C567BF6">
      <w:pPr>
        <w:spacing w:line="360" w:lineRule="auto"/>
        <w:rPr>
          <w:sz w:val="24"/>
        </w:rPr>
      </w:pPr>
    </w:p>
    <w:p w14:paraId="13FF9F8E">
      <w:pPr>
        <w:spacing w:line="360" w:lineRule="auto"/>
        <w:rPr>
          <w:b/>
          <w:sz w:val="24"/>
        </w:rPr>
      </w:pPr>
      <w:r>
        <w:rPr>
          <w:rFonts w:hint="eastAsia"/>
          <w:b/>
          <w:sz w:val="24"/>
        </w:rPr>
        <w:t>（四）交货日期：</w:t>
      </w:r>
    </w:p>
    <w:p w14:paraId="33B5A4CF">
      <w:pPr>
        <w:spacing w:line="360" w:lineRule="auto"/>
        <w:rPr>
          <w:sz w:val="24"/>
        </w:rPr>
      </w:pPr>
      <w:r>
        <w:rPr>
          <w:rFonts w:hint="eastAsia"/>
          <w:sz w:val="24"/>
        </w:rPr>
        <w:t xml:space="preserve">   合同签订后180天（日历日）内到货。</w:t>
      </w:r>
    </w:p>
    <w:p w14:paraId="6A4DA2FC">
      <w:pPr>
        <w:spacing w:line="360" w:lineRule="auto"/>
        <w:rPr>
          <w:sz w:val="24"/>
        </w:rPr>
      </w:pPr>
    </w:p>
    <w:p w14:paraId="55733214">
      <w:pPr>
        <w:spacing w:line="360" w:lineRule="auto"/>
        <w:rPr>
          <w:b/>
          <w:bCs/>
          <w:sz w:val="24"/>
        </w:rPr>
      </w:pPr>
      <w:r>
        <w:rPr>
          <w:rFonts w:hint="eastAsia"/>
          <w:b/>
          <w:bCs/>
          <w:sz w:val="24"/>
        </w:rPr>
        <w:t>（五）交货地点（项目现场）：</w:t>
      </w:r>
    </w:p>
    <w:p w14:paraId="29B7CAD2">
      <w:pPr>
        <w:spacing w:line="360" w:lineRule="auto"/>
        <w:rPr>
          <w:rFonts w:hint="eastAsia" w:eastAsia="宋体"/>
          <w:sz w:val="24"/>
          <w:lang w:eastAsia="zh-CN"/>
        </w:rPr>
      </w:pPr>
      <w:r>
        <w:rPr>
          <w:rFonts w:hint="eastAsia"/>
          <w:sz w:val="24"/>
        </w:rPr>
        <w:t xml:space="preserve"> </w:t>
      </w:r>
      <w:r>
        <w:rPr>
          <w:rFonts w:hint="eastAsia"/>
          <w:sz w:val="24"/>
          <w:lang w:eastAsia="zh-CN"/>
        </w:rPr>
        <w:t>采购人指定地点。</w:t>
      </w:r>
    </w:p>
    <w:p w14:paraId="47F39629">
      <w:pPr>
        <w:spacing w:line="360" w:lineRule="auto"/>
        <w:rPr>
          <w:sz w:val="24"/>
        </w:rPr>
      </w:pPr>
    </w:p>
    <w:p w14:paraId="2DBE941C">
      <w:pPr>
        <w:spacing w:line="360" w:lineRule="auto"/>
        <w:rPr>
          <w:sz w:val="24"/>
        </w:rPr>
      </w:pPr>
      <w:r>
        <w:rPr>
          <w:rFonts w:hint="eastAsia"/>
          <w:b/>
          <w:bCs/>
          <w:sz w:val="24"/>
        </w:rPr>
        <w:t xml:space="preserve">（六）付款方式： </w:t>
      </w:r>
      <w:r>
        <w:rPr>
          <w:rFonts w:hint="eastAsia"/>
          <w:sz w:val="24"/>
        </w:rPr>
        <w:t xml:space="preserve">                                        </w:t>
      </w:r>
    </w:p>
    <w:p w14:paraId="6D32CD37">
      <w:pPr>
        <w:spacing w:line="360" w:lineRule="auto"/>
        <w:ind w:firstLine="480" w:firstLineChars="200"/>
        <w:rPr>
          <w:sz w:val="24"/>
        </w:rPr>
      </w:pPr>
      <w:r>
        <w:rPr>
          <w:rFonts w:hint="eastAsia"/>
          <w:sz w:val="24"/>
        </w:rPr>
        <w:t>进口产品：货款分两次付清，第一次付款在合同签订，办理免税后，开具100%L/C, 凭甲方签字的到货验收文件支付总金额的90%(90%L/C)，第二次付款待货物质量验收合格正常运行3个月后凭正常运行报告支付总金额的10%(10%L/C)。</w:t>
      </w:r>
    </w:p>
    <w:p w14:paraId="52856D13">
      <w:pPr>
        <w:spacing w:line="360" w:lineRule="auto"/>
        <w:ind w:firstLine="480" w:firstLineChars="200"/>
        <w:rPr>
          <w:sz w:val="24"/>
        </w:rPr>
      </w:pPr>
      <w:r>
        <w:rPr>
          <w:rFonts w:hint="eastAsia"/>
          <w:sz w:val="24"/>
        </w:rPr>
        <w:t>国产产品：合同签订后预付30%，货到验收合格后支付60%，质量验收合格正常运行3个月后支付10%尾款。</w:t>
      </w:r>
    </w:p>
    <w:p w14:paraId="2A61CFAF">
      <w:pPr>
        <w:numPr>
          <w:ilvl w:val="0"/>
          <w:numId w:val="3"/>
        </w:numPr>
        <w:spacing w:line="360" w:lineRule="auto"/>
        <w:rPr>
          <w:b/>
          <w:bCs/>
          <w:sz w:val="24"/>
        </w:rPr>
      </w:pPr>
      <w:r>
        <w:rPr>
          <w:rFonts w:hint="eastAsia"/>
          <w:b/>
          <w:bCs/>
          <w:sz w:val="24"/>
        </w:rPr>
        <w:t xml:space="preserve">履约保证金及质保金： </w:t>
      </w:r>
    </w:p>
    <w:p w14:paraId="6C3831E1">
      <w:pPr>
        <w:spacing w:line="360" w:lineRule="auto"/>
        <w:ind w:firstLine="480" w:firstLineChars="200"/>
        <w:rPr>
          <w:sz w:val="24"/>
        </w:rPr>
      </w:pPr>
      <w:r>
        <w:rPr>
          <w:rFonts w:hint="eastAsia"/>
          <w:sz w:val="24"/>
        </w:rPr>
        <w:t>合同签订后30个日历日内成交供应商向采购人缴纳5%的履约保证金，质量验收合格后自动转为质保金，待货物质保期结束后，无息退还。</w:t>
      </w:r>
    </w:p>
    <w:p w14:paraId="310D2A35">
      <w:pPr>
        <w:adjustRightInd w:val="0"/>
        <w:snapToGrid w:val="0"/>
        <w:spacing w:after="156" w:afterLines="50" w:line="360" w:lineRule="auto"/>
        <w:jc w:val="center"/>
        <w:outlineLvl w:val="0"/>
        <w:rPr>
          <w:rFonts w:ascii="黑体" w:eastAsia="黑体"/>
          <w:b/>
          <w:kern w:val="44"/>
          <w:sz w:val="48"/>
          <w:szCs w:val="20"/>
        </w:rPr>
      </w:pPr>
    </w:p>
    <w:p w14:paraId="38042B80">
      <w:pPr>
        <w:widowControl/>
        <w:spacing w:line="360" w:lineRule="atLeast"/>
        <w:rPr>
          <w:rFonts w:hint="eastAsia" w:ascii="宋体" w:hAnsi="宋体"/>
          <w:b/>
          <w:sz w:val="30"/>
          <w:szCs w:val="30"/>
        </w:rPr>
      </w:pPr>
    </w:p>
    <w:sectPr>
      <w:headerReference r:id="rId4" w:type="first"/>
      <w:footerReference r:id="rId6" w:type="first"/>
      <w:headerReference r:id="rId3" w:type="default"/>
      <w:footerReference r:id="rId5"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B444D">
    <w:pPr>
      <w:pStyle w:val="25"/>
      <w:jc w:val="center"/>
    </w:pPr>
    <w:r>
      <w:fldChar w:fldCharType="begin"/>
    </w:r>
    <w:r>
      <w:instrText xml:space="preserve">PAGE   \* MERGEFORMAT</w:instrText>
    </w:r>
    <w:r>
      <w:fldChar w:fldCharType="separate"/>
    </w:r>
    <w:r>
      <w:rPr>
        <w:lang w:val="zh-CN"/>
      </w:rPr>
      <w:t>86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BBB86">
    <w:pPr>
      <w:pStyle w:val="25"/>
      <w:jc w:val="center"/>
    </w:pPr>
    <w:r>
      <w:fldChar w:fldCharType="begin"/>
    </w:r>
    <w:r>
      <w:instrText xml:space="preserve">PAGE   \* MERGEFORMAT</w:instrText>
    </w:r>
    <w:r>
      <w:fldChar w:fldCharType="separate"/>
    </w:r>
    <w:r>
      <w:rPr>
        <w:lang w:val="zh-CN"/>
      </w:rPr>
      <w:t>62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47D13">
    <w:pPr>
      <w:pStyle w:val="2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5B9E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F8A8181A"/>
    <w:multiLevelType w:val="singleLevel"/>
    <w:tmpl w:val="F8A8181A"/>
    <w:lvl w:ilvl="0" w:tentative="0">
      <w:start w:val="7"/>
      <w:numFmt w:val="chineseCounting"/>
      <w:suff w:val="nothing"/>
      <w:lvlText w:val="（%1）"/>
      <w:lvlJc w:val="left"/>
      <w:rPr>
        <w:rFonts w:hint="eastAsia"/>
      </w:rPr>
    </w:lvl>
  </w:abstractNum>
  <w:abstractNum w:abstractNumId="2">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2ODBlYzc0NjRkMTZiZDAzOTQwZmVlNGQ5MmQwMDMifQ=="/>
  </w:docVars>
  <w:rsids>
    <w:rsidRoot w:val="00FA3835"/>
    <w:rsid w:val="000050A2"/>
    <w:rsid w:val="00027C8D"/>
    <w:rsid w:val="00040005"/>
    <w:rsid w:val="000463C5"/>
    <w:rsid w:val="000543E7"/>
    <w:rsid w:val="0006010D"/>
    <w:rsid w:val="000668DC"/>
    <w:rsid w:val="00081ADD"/>
    <w:rsid w:val="00085FD2"/>
    <w:rsid w:val="000969BB"/>
    <w:rsid w:val="000973D2"/>
    <w:rsid w:val="000A441E"/>
    <w:rsid w:val="000B12EC"/>
    <w:rsid w:val="000B636A"/>
    <w:rsid w:val="000C1F98"/>
    <w:rsid w:val="000C325D"/>
    <w:rsid w:val="000C505C"/>
    <w:rsid w:val="000D1A3C"/>
    <w:rsid w:val="000D7369"/>
    <w:rsid w:val="000E0B0C"/>
    <w:rsid w:val="000E17D4"/>
    <w:rsid w:val="000E4DA9"/>
    <w:rsid w:val="000F0512"/>
    <w:rsid w:val="000F4571"/>
    <w:rsid w:val="00103352"/>
    <w:rsid w:val="00105333"/>
    <w:rsid w:val="00107AF4"/>
    <w:rsid w:val="001140D0"/>
    <w:rsid w:val="001235CA"/>
    <w:rsid w:val="00137D93"/>
    <w:rsid w:val="001437EA"/>
    <w:rsid w:val="001444BD"/>
    <w:rsid w:val="00144505"/>
    <w:rsid w:val="00144DDA"/>
    <w:rsid w:val="0014761F"/>
    <w:rsid w:val="00153F11"/>
    <w:rsid w:val="00154F47"/>
    <w:rsid w:val="00155A34"/>
    <w:rsid w:val="00164E27"/>
    <w:rsid w:val="001921CA"/>
    <w:rsid w:val="00194900"/>
    <w:rsid w:val="001A0E56"/>
    <w:rsid w:val="001A6E63"/>
    <w:rsid w:val="001B0F1B"/>
    <w:rsid w:val="001B195C"/>
    <w:rsid w:val="001B62CC"/>
    <w:rsid w:val="001B66E1"/>
    <w:rsid w:val="001B6E57"/>
    <w:rsid w:val="001D7301"/>
    <w:rsid w:val="001E1467"/>
    <w:rsid w:val="001E152C"/>
    <w:rsid w:val="001E3480"/>
    <w:rsid w:val="001F0E06"/>
    <w:rsid w:val="001F18B7"/>
    <w:rsid w:val="001F1D2B"/>
    <w:rsid w:val="001F3839"/>
    <w:rsid w:val="001F5FAD"/>
    <w:rsid w:val="001F79B6"/>
    <w:rsid w:val="002024C7"/>
    <w:rsid w:val="00206639"/>
    <w:rsid w:val="0021259E"/>
    <w:rsid w:val="00213C28"/>
    <w:rsid w:val="00215604"/>
    <w:rsid w:val="00224FE7"/>
    <w:rsid w:val="00225F03"/>
    <w:rsid w:val="00233C8A"/>
    <w:rsid w:val="00240E7B"/>
    <w:rsid w:val="00247ED0"/>
    <w:rsid w:val="00251DB7"/>
    <w:rsid w:val="002672D1"/>
    <w:rsid w:val="00275598"/>
    <w:rsid w:val="002761A3"/>
    <w:rsid w:val="0028124D"/>
    <w:rsid w:val="00282A80"/>
    <w:rsid w:val="00282F14"/>
    <w:rsid w:val="00292E0B"/>
    <w:rsid w:val="002B44BD"/>
    <w:rsid w:val="002B6E7A"/>
    <w:rsid w:val="002B7380"/>
    <w:rsid w:val="002C47B5"/>
    <w:rsid w:val="002D5C47"/>
    <w:rsid w:val="002E03AA"/>
    <w:rsid w:val="002E6A76"/>
    <w:rsid w:val="002F1704"/>
    <w:rsid w:val="002F6DE0"/>
    <w:rsid w:val="002F6FCA"/>
    <w:rsid w:val="002F7EF8"/>
    <w:rsid w:val="00301191"/>
    <w:rsid w:val="00322611"/>
    <w:rsid w:val="003248D5"/>
    <w:rsid w:val="00326D72"/>
    <w:rsid w:val="0033189B"/>
    <w:rsid w:val="003442AE"/>
    <w:rsid w:val="0034443A"/>
    <w:rsid w:val="003474B8"/>
    <w:rsid w:val="00353E66"/>
    <w:rsid w:val="00357C16"/>
    <w:rsid w:val="003637C6"/>
    <w:rsid w:val="003732CC"/>
    <w:rsid w:val="00373B63"/>
    <w:rsid w:val="00374F9A"/>
    <w:rsid w:val="00382C0C"/>
    <w:rsid w:val="00397F24"/>
    <w:rsid w:val="003A298A"/>
    <w:rsid w:val="003B4F45"/>
    <w:rsid w:val="003B6193"/>
    <w:rsid w:val="003C172D"/>
    <w:rsid w:val="003C7092"/>
    <w:rsid w:val="003C785A"/>
    <w:rsid w:val="003D2B81"/>
    <w:rsid w:val="003F5F7A"/>
    <w:rsid w:val="004043A2"/>
    <w:rsid w:val="00404EA5"/>
    <w:rsid w:val="00415144"/>
    <w:rsid w:val="00420D92"/>
    <w:rsid w:val="0042297A"/>
    <w:rsid w:val="004362C7"/>
    <w:rsid w:val="0044106E"/>
    <w:rsid w:val="00446E68"/>
    <w:rsid w:val="00447503"/>
    <w:rsid w:val="00457522"/>
    <w:rsid w:val="0046038A"/>
    <w:rsid w:val="00471176"/>
    <w:rsid w:val="00484FF8"/>
    <w:rsid w:val="004A0EB1"/>
    <w:rsid w:val="004A3B49"/>
    <w:rsid w:val="004A5C14"/>
    <w:rsid w:val="004B3476"/>
    <w:rsid w:val="004B36B8"/>
    <w:rsid w:val="004B688D"/>
    <w:rsid w:val="004C387C"/>
    <w:rsid w:val="004D0AB9"/>
    <w:rsid w:val="004E042A"/>
    <w:rsid w:val="004E4504"/>
    <w:rsid w:val="004F0FDE"/>
    <w:rsid w:val="004F3E07"/>
    <w:rsid w:val="00504FD3"/>
    <w:rsid w:val="00512882"/>
    <w:rsid w:val="005143FF"/>
    <w:rsid w:val="00516FEB"/>
    <w:rsid w:val="005244F5"/>
    <w:rsid w:val="00524665"/>
    <w:rsid w:val="00543C0A"/>
    <w:rsid w:val="0054699B"/>
    <w:rsid w:val="005515EB"/>
    <w:rsid w:val="0055226E"/>
    <w:rsid w:val="00552E7C"/>
    <w:rsid w:val="005601D0"/>
    <w:rsid w:val="005613B2"/>
    <w:rsid w:val="0056304A"/>
    <w:rsid w:val="0057066D"/>
    <w:rsid w:val="00572671"/>
    <w:rsid w:val="00591688"/>
    <w:rsid w:val="005916DF"/>
    <w:rsid w:val="00595627"/>
    <w:rsid w:val="00595D3F"/>
    <w:rsid w:val="00595EAC"/>
    <w:rsid w:val="005A2F5B"/>
    <w:rsid w:val="005A52D6"/>
    <w:rsid w:val="005C574A"/>
    <w:rsid w:val="005D09A0"/>
    <w:rsid w:val="005D479D"/>
    <w:rsid w:val="005E416B"/>
    <w:rsid w:val="005E7A21"/>
    <w:rsid w:val="005F24B2"/>
    <w:rsid w:val="0060103A"/>
    <w:rsid w:val="00602911"/>
    <w:rsid w:val="00602A7A"/>
    <w:rsid w:val="0060509A"/>
    <w:rsid w:val="006125F5"/>
    <w:rsid w:val="00612A9B"/>
    <w:rsid w:val="00614D00"/>
    <w:rsid w:val="006225E2"/>
    <w:rsid w:val="0062676A"/>
    <w:rsid w:val="00633D9B"/>
    <w:rsid w:val="00640DB1"/>
    <w:rsid w:val="006416E9"/>
    <w:rsid w:val="0064545D"/>
    <w:rsid w:val="00646C82"/>
    <w:rsid w:val="00647CD5"/>
    <w:rsid w:val="006548A6"/>
    <w:rsid w:val="00655478"/>
    <w:rsid w:val="00664D7F"/>
    <w:rsid w:val="00673641"/>
    <w:rsid w:val="006858B6"/>
    <w:rsid w:val="0069730F"/>
    <w:rsid w:val="006A377B"/>
    <w:rsid w:val="006B0930"/>
    <w:rsid w:val="006C4384"/>
    <w:rsid w:val="006C5135"/>
    <w:rsid w:val="006C546E"/>
    <w:rsid w:val="006D29F2"/>
    <w:rsid w:val="006E2DE0"/>
    <w:rsid w:val="006E5A8E"/>
    <w:rsid w:val="0070081C"/>
    <w:rsid w:val="0071653B"/>
    <w:rsid w:val="00721985"/>
    <w:rsid w:val="00724C84"/>
    <w:rsid w:val="007252A8"/>
    <w:rsid w:val="00725C0A"/>
    <w:rsid w:val="0073119D"/>
    <w:rsid w:val="0073199C"/>
    <w:rsid w:val="007376B0"/>
    <w:rsid w:val="00740508"/>
    <w:rsid w:val="00743776"/>
    <w:rsid w:val="00751428"/>
    <w:rsid w:val="0075674B"/>
    <w:rsid w:val="00761F2B"/>
    <w:rsid w:val="00763B74"/>
    <w:rsid w:val="007731D0"/>
    <w:rsid w:val="00775B16"/>
    <w:rsid w:val="00785A0A"/>
    <w:rsid w:val="00787CED"/>
    <w:rsid w:val="007967F8"/>
    <w:rsid w:val="007A3772"/>
    <w:rsid w:val="007C2696"/>
    <w:rsid w:val="007C4C31"/>
    <w:rsid w:val="007C5EA5"/>
    <w:rsid w:val="007D381E"/>
    <w:rsid w:val="007D3EE2"/>
    <w:rsid w:val="007E03CA"/>
    <w:rsid w:val="007E6193"/>
    <w:rsid w:val="007F2F97"/>
    <w:rsid w:val="007F387D"/>
    <w:rsid w:val="007F7152"/>
    <w:rsid w:val="008203E6"/>
    <w:rsid w:val="00822633"/>
    <w:rsid w:val="00830107"/>
    <w:rsid w:val="00831B02"/>
    <w:rsid w:val="00833174"/>
    <w:rsid w:val="00846609"/>
    <w:rsid w:val="00852958"/>
    <w:rsid w:val="0085467F"/>
    <w:rsid w:val="008645CE"/>
    <w:rsid w:val="00864F77"/>
    <w:rsid w:val="008661F8"/>
    <w:rsid w:val="008712FA"/>
    <w:rsid w:val="00876AA9"/>
    <w:rsid w:val="00876EFF"/>
    <w:rsid w:val="00882892"/>
    <w:rsid w:val="00883AB2"/>
    <w:rsid w:val="008861B2"/>
    <w:rsid w:val="00887A5A"/>
    <w:rsid w:val="00896377"/>
    <w:rsid w:val="008A09F5"/>
    <w:rsid w:val="008A4B18"/>
    <w:rsid w:val="008A738C"/>
    <w:rsid w:val="008B2645"/>
    <w:rsid w:val="008C36D3"/>
    <w:rsid w:val="008D0675"/>
    <w:rsid w:val="008D1425"/>
    <w:rsid w:val="008D2F73"/>
    <w:rsid w:val="008D3BC8"/>
    <w:rsid w:val="008D6F23"/>
    <w:rsid w:val="008E5EB5"/>
    <w:rsid w:val="008F04C7"/>
    <w:rsid w:val="008F21A5"/>
    <w:rsid w:val="008F2440"/>
    <w:rsid w:val="00914619"/>
    <w:rsid w:val="009202C8"/>
    <w:rsid w:val="009246BA"/>
    <w:rsid w:val="00930CDE"/>
    <w:rsid w:val="00935AA1"/>
    <w:rsid w:val="009451DC"/>
    <w:rsid w:val="009467F2"/>
    <w:rsid w:val="0095655E"/>
    <w:rsid w:val="009718ED"/>
    <w:rsid w:val="0097297B"/>
    <w:rsid w:val="0098154C"/>
    <w:rsid w:val="0098549E"/>
    <w:rsid w:val="009857EF"/>
    <w:rsid w:val="009941D8"/>
    <w:rsid w:val="009A2C18"/>
    <w:rsid w:val="009C0A0B"/>
    <w:rsid w:val="009C14BD"/>
    <w:rsid w:val="009D1AF8"/>
    <w:rsid w:val="009D32B1"/>
    <w:rsid w:val="009E1C84"/>
    <w:rsid w:val="009E32D4"/>
    <w:rsid w:val="009E4080"/>
    <w:rsid w:val="009E4DCB"/>
    <w:rsid w:val="009E580F"/>
    <w:rsid w:val="009F5A6A"/>
    <w:rsid w:val="00A01B3A"/>
    <w:rsid w:val="00A0205F"/>
    <w:rsid w:val="00A04E9D"/>
    <w:rsid w:val="00A06893"/>
    <w:rsid w:val="00A21886"/>
    <w:rsid w:val="00A21DF3"/>
    <w:rsid w:val="00A25682"/>
    <w:rsid w:val="00A2638C"/>
    <w:rsid w:val="00A27417"/>
    <w:rsid w:val="00A27AFD"/>
    <w:rsid w:val="00A354A8"/>
    <w:rsid w:val="00A4031E"/>
    <w:rsid w:val="00A44A2B"/>
    <w:rsid w:val="00A46F60"/>
    <w:rsid w:val="00A53234"/>
    <w:rsid w:val="00A57F47"/>
    <w:rsid w:val="00AA7A0D"/>
    <w:rsid w:val="00AB113B"/>
    <w:rsid w:val="00AD2FD2"/>
    <w:rsid w:val="00AD41E6"/>
    <w:rsid w:val="00AD4ECF"/>
    <w:rsid w:val="00AD70C8"/>
    <w:rsid w:val="00AF6067"/>
    <w:rsid w:val="00B04039"/>
    <w:rsid w:val="00B07AAD"/>
    <w:rsid w:val="00B15273"/>
    <w:rsid w:val="00B16887"/>
    <w:rsid w:val="00B1746F"/>
    <w:rsid w:val="00B27A2B"/>
    <w:rsid w:val="00B31F00"/>
    <w:rsid w:val="00B351A2"/>
    <w:rsid w:val="00B41959"/>
    <w:rsid w:val="00B42C18"/>
    <w:rsid w:val="00B43CF7"/>
    <w:rsid w:val="00B44327"/>
    <w:rsid w:val="00B5109F"/>
    <w:rsid w:val="00B53944"/>
    <w:rsid w:val="00B61FDD"/>
    <w:rsid w:val="00B758E7"/>
    <w:rsid w:val="00B75B80"/>
    <w:rsid w:val="00B81149"/>
    <w:rsid w:val="00B8672D"/>
    <w:rsid w:val="00B94FB1"/>
    <w:rsid w:val="00BA4AEC"/>
    <w:rsid w:val="00BC7FBC"/>
    <w:rsid w:val="00BD11D6"/>
    <w:rsid w:val="00BD2A3B"/>
    <w:rsid w:val="00BD646D"/>
    <w:rsid w:val="00BD6A33"/>
    <w:rsid w:val="00BD7ED0"/>
    <w:rsid w:val="00BE5E06"/>
    <w:rsid w:val="00BE643E"/>
    <w:rsid w:val="00BE7CED"/>
    <w:rsid w:val="00BF59BF"/>
    <w:rsid w:val="00C056B5"/>
    <w:rsid w:val="00C10630"/>
    <w:rsid w:val="00C12939"/>
    <w:rsid w:val="00C14E3B"/>
    <w:rsid w:val="00C23BA4"/>
    <w:rsid w:val="00C241B2"/>
    <w:rsid w:val="00C2770F"/>
    <w:rsid w:val="00C34485"/>
    <w:rsid w:val="00C40AB3"/>
    <w:rsid w:val="00C43805"/>
    <w:rsid w:val="00C43E24"/>
    <w:rsid w:val="00C45235"/>
    <w:rsid w:val="00C60EF2"/>
    <w:rsid w:val="00C615B2"/>
    <w:rsid w:val="00C702F0"/>
    <w:rsid w:val="00C74553"/>
    <w:rsid w:val="00C8112C"/>
    <w:rsid w:val="00C87EF4"/>
    <w:rsid w:val="00CA623E"/>
    <w:rsid w:val="00CA630F"/>
    <w:rsid w:val="00CB4EB2"/>
    <w:rsid w:val="00CB5FE6"/>
    <w:rsid w:val="00CB7A41"/>
    <w:rsid w:val="00CC7A0B"/>
    <w:rsid w:val="00CD0A52"/>
    <w:rsid w:val="00CD0EEF"/>
    <w:rsid w:val="00CD64CD"/>
    <w:rsid w:val="00CE2041"/>
    <w:rsid w:val="00CE3059"/>
    <w:rsid w:val="00CE4960"/>
    <w:rsid w:val="00CE56FA"/>
    <w:rsid w:val="00CF0912"/>
    <w:rsid w:val="00D0060C"/>
    <w:rsid w:val="00D027B8"/>
    <w:rsid w:val="00D04134"/>
    <w:rsid w:val="00D04A70"/>
    <w:rsid w:val="00D0571C"/>
    <w:rsid w:val="00D0679B"/>
    <w:rsid w:val="00D11879"/>
    <w:rsid w:val="00D12547"/>
    <w:rsid w:val="00D22D44"/>
    <w:rsid w:val="00D378BA"/>
    <w:rsid w:val="00D40668"/>
    <w:rsid w:val="00D6263A"/>
    <w:rsid w:val="00D75345"/>
    <w:rsid w:val="00D778D7"/>
    <w:rsid w:val="00D83934"/>
    <w:rsid w:val="00D861C3"/>
    <w:rsid w:val="00D91A0C"/>
    <w:rsid w:val="00D9239C"/>
    <w:rsid w:val="00D95955"/>
    <w:rsid w:val="00D979AB"/>
    <w:rsid w:val="00DA590C"/>
    <w:rsid w:val="00DA703D"/>
    <w:rsid w:val="00DB54CF"/>
    <w:rsid w:val="00DC1546"/>
    <w:rsid w:val="00DD2172"/>
    <w:rsid w:val="00DD4A09"/>
    <w:rsid w:val="00DD4C25"/>
    <w:rsid w:val="00DD6A1F"/>
    <w:rsid w:val="00DE4C00"/>
    <w:rsid w:val="00DE5C67"/>
    <w:rsid w:val="00DF1201"/>
    <w:rsid w:val="00DF2449"/>
    <w:rsid w:val="00DF7ACF"/>
    <w:rsid w:val="00E004CA"/>
    <w:rsid w:val="00E03391"/>
    <w:rsid w:val="00E0373B"/>
    <w:rsid w:val="00E07308"/>
    <w:rsid w:val="00E12E38"/>
    <w:rsid w:val="00E14474"/>
    <w:rsid w:val="00E179B5"/>
    <w:rsid w:val="00E23780"/>
    <w:rsid w:val="00E26286"/>
    <w:rsid w:val="00E30AC2"/>
    <w:rsid w:val="00E33D84"/>
    <w:rsid w:val="00E34813"/>
    <w:rsid w:val="00E356D2"/>
    <w:rsid w:val="00E401B3"/>
    <w:rsid w:val="00E458DA"/>
    <w:rsid w:val="00E5687E"/>
    <w:rsid w:val="00E639CC"/>
    <w:rsid w:val="00E63D5B"/>
    <w:rsid w:val="00E671AD"/>
    <w:rsid w:val="00E83E40"/>
    <w:rsid w:val="00E857B8"/>
    <w:rsid w:val="00E907E5"/>
    <w:rsid w:val="00E943B8"/>
    <w:rsid w:val="00EA11F7"/>
    <w:rsid w:val="00EA20B9"/>
    <w:rsid w:val="00EA4549"/>
    <w:rsid w:val="00ED0B37"/>
    <w:rsid w:val="00ED22DF"/>
    <w:rsid w:val="00ED4C66"/>
    <w:rsid w:val="00ED6781"/>
    <w:rsid w:val="00EE4BD8"/>
    <w:rsid w:val="00EF5BA0"/>
    <w:rsid w:val="00F13600"/>
    <w:rsid w:val="00F15FC0"/>
    <w:rsid w:val="00F17042"/>
    <w:rsid w:val="00F175D1"/>
    <w:rsid w:val="00F21DA9"/>
    <w:rsid w:val="00F22A75"/>
    <w:rsid w:val="00F30C1E"/>
    <w:rsid w:val="00F3185D"/>
    <w:rsid w:val="00F35217"/>
    <w:rsid w:val="00F35C50"/>
    <w:rsid w:val="00F42D68"/>
    <w:rsid w:val="00F436FE"/>
    <w:rsid w:val="00F500D2"/>
    <w:rsid w:val="00F51A9D"/>
    <w:rsid w:val="00F57792"/>
    <w:rsid w:val="00F60048"/>
    <w:rsid w:val="00F6185A"/>
    <w:rsid w:val="00F73FE2"/>
    <w:rsid w:val="00F74944"/>
    <w:rsid w:val="00F8497C"/>
    <w:rsid w:val="00F91E41"/>
    <w:rsid w:val="00FA238D"/>
    <w:rsid w:val="00FA3835"/>
    <w:rsid w:val="00FA6816"/>
    <w:rsid w:val="00FB5D79"/>
    <w:rsid w:val="00FE3D91"/>
    <w:rsid w:val="00FE55D2"/>
    <w:rsid w:val="00FF5179"/>
    <w:rsid w:val="00FF728E"/>
    <w:rsid w:val="020B291A"/>
    <w:rsid w:val="053E2C54"/>
    <w:rsid w:val="06F02823"/>
    <w:rsid w:val="0762073E"/>
    <w:rsid w:val="09120680"/>
    <w:rsid w:val="09A45050"/>
    <w:rsid w:val="09FA1199"/>
    <w:rsid w:val="0A5B05D9"/>
    <w:rsid w:val="0AE0030A"/>
    <w:rsid w:val="0C480432"/>
    <w:rsid w:val="0D6B0DE4"/>
    <w:rsid w:val="0D8A6F81"/>
    <w:rsid w:val="0E39045D"/>
    <w:rsid w:val="0E936CC2"/>
    <w:rsid w:val="0EE967FA"/>
    <w:rsid w:val="0F4075C9"/>
    <w:rsid w:val="0F4672D5"/>
    <w:rsid w:val="0F4E40DD"/>
    <w:rsid w:val="0F6F4465"/>
    <w:rsid w:val="10E279BE"/>
    <w:rsid w:val="122E6778"/>
    <w:rsid w:val="124949E7"/>
    <w:rsid w:val="15D708BB"/>
    <w:rsid w:val="15F52619"/>
    <w:rsid w:val="17BE1C0C"/>
    <w:rsid w:val="17CB6513"/>
    <w:rsid w:val="17E30CEE"/>
    <w:rsid w:val="185D6BC0"/>
    <w:rsid w:val="197D60F2"/>
    <w:rsid w:val="19AE7309"/>
    <w:rsid w:val="1A18361C"/>
    <w:rsid w:val="1A902BB0"/>
    <w:rsid w:val="1AC11079"/>
    <w:rsid w:val="1B9E3D36"/>
    <w:rsid w:val="1BBA3A2F"/>
    <w:rsid w:val="1C686EB5"/>
    <w:rsid w:val="1C8F2A04"/>
    <w:rsid w:val="1D8B6157"/>
    <w:rsid w:val="1FC23675"/>
    <w:rsid w:val="20365C75"/>
    <w:rsid w:val="20863AF3"/>
    <w:rsid w:val="20FD3BD3"/>
    <w:rsid w:val="218B2C39"/>
    <w:rsid w:val="22597BF6"/>
    <w:rsid w:val="227819CB"/>
    <w:rsid w:val="23256975"/>
    <w:rsid w:val="23423424"/>
    <w:rsid w:val="240C4724"/>
    <w:rsid w:val="243F7370"/>
    <w:rsid w:val="26053E04"/>
    <w:rsid w:val="26DD3CEE"/>
    <w:rsid w:val="27F05BD9"/>
    <w:rsid w:val="2A8E004C"/>
    <w:rsid w:val="2B6A1BE2"/>
    <w:rsid w:val="2B8C3D8D"/>
    <w:rsid w:val="2CB90995"/>
    <w:rsid w:val="2D5179CF"/>
    <w:rsid w:val="2ED5581D"/>
    <w:rsid w:val="2F25260C"/>
    <w:rsid w:val="308A097E"/>
    <w:rsid w:val="319039E6"/>
    <w:rsid w:val="32085AE3"/>
    <w:rsid w:val="327F0D3B"/>
    <w:rsid w:val="331A4758"/>
    <w:rsid w:val="3369385E"/>
    <w:rsid w:val="33CA23C6"/>
    <w:rsid w:val="35C0542C"/>
    <w:rsid w:val="35F27265"/>
    <w:rsid w:val="372B2789"/>
    <w:rsid w:val="384F06F9"/>
    <w:rsid w:val="395026E3"/>
    <w:rsid w:val="39A43A9C"/>
    <w:rsid w:val="3AE72E6B"/>
    <w:rsid w:val="3AFF33E8"/>
    <w:rsid w:val="3C2D3B80"/>
    <w:rsid w:val="3C576FAB"/>
    <w:rsid w:val="3D476359"/>
    <w:rsid w:val="3D877C77"/>
    <w:rsid w:val="3D9A658C"/>
    <w:rsid w:val="3DE10046"/>
    <w:rsid w:val="3DEE1D80"/>
    <w:rsid w:val="3DF338D5"/>
    <w:rsid w:val="3EA378DA"/>
    <w:rsid w:val="3EF73899"/>
    <w:rsid w:val="3F651E10"/>
    <w:rsid w:val="426C16E4"/>
    <w:rsid w:val="43D85920"/>
    <w:rsid w:val="442F62DC"/>
    <w:rsid w:val="443B5FD6"/>
    <w:rsid w:val="459220B9"/>
    <w:rsid w:val="46DB7A17"/>
    <w:rsid w:val="48333FF5"/>
    <w:rsid w:val="485E6BC5"/>
    <w:rsid w:val="48DC0BD0"/>
    <w:rsid w:val="49FA5FEB"/>
    <w:rsid w:val="4A3E0C6F"/>
    <w:rsid w:val="4B914BF5"/>
    <w:rsid w:val="4C7D3400"/>
    <w:rsid w:val="4CB230FF"/>
    <w:rsid w:val="4D413CB4"/>
    <w:rsid w:val="4EE564B0"/>
    <w:rsid w:val="4F70467B"/>
    <w:rsid w:val="4FFC159D"/>
    <w:rsid w:val="51583D23"/>
    <w:rsid w:val="51CD3614"/>
    <w:rsid w:val="522400A9"/>
    <w:rsid w:val="531539E5"/>
    <w:rsid w:val="53D55AFF"/>
    <w:rsid w:val="53FC6986"/>
    <w:rsid w:val="54A60BE9"/>
    <w:rsid w:val="55782BE6"/>
    <w:rsid w:val="559A7000"/>
    <w:rsid w:val="5628185A"/>
    <w:rsid w:val="56770AFB"/>
    <w:rsid w:val="573C6F55"/>
    <w:rsid w:val="57D63A28"/>
    <w:rsid w:val="57F95C42"/>
    <w:rsid w:val="581B6CF3"/>
    <w:rsid w:val="58527420"/>
    <w:rsid w:val="585F0652"/>
    <w:rsid w:val="591A5625"/>
    <w:rsid w:val="5980136F"/>
    <w:rsid w:val="59DD58A1"/>
    <w:rsid w:val="5AD65B96"/>
    <w:rsid w:val="5AE900E2"/>
    <w:rsid w:val="5C7F1F93"/>
    <w:rsid w:val="5D89084C"/>
    <w:rsid w:val="5E72647F"/>
    <w:rsid w:val="5E834DD9"/>
    <w:rsid w:val="5F236DE7"/>
    <w:rsid w:val="608E3660"/>
    <w:rsid w:val="617B7B59"/>
    <w:rsid w:val="620B4DE2"/>
    <w:rsid w:val="621505DC"/>
    <w:rsid w:val="625D22A8"/>
    <w:rsid w:val="63025693"/>
    <w:rsid w:val="645A46B6"/>
    <w:rsid w:val="648D7D30"/>
    <w:rsid w:val="657340D8"/>
    <w:rsid w:val="65C0401D"/>
    <w:rsid w:val="662648F8"/>
    <w:rsid w:val="665F1537"/>
    <w:rsid w:val="67D85B6C"/>
    <w:rsid w:val="68ED6A71"/>
    <w:rsid w:val="69317B0A"/>
    <w:rsid w:val="6943503D"/>
    <w:rsid w:val="69F67FAD"/>
    <w:rsid w:val="6C67192F"/>
    <w:rsid w:val="6CE60189"/>
    <w:rsid w:val="6E04301E"/>
    <w:rsid w:val="6F135C55"/>
    <w:rsid w:val="6F215C44"/>
    <w:rsid w:val="6F5A2F04"/>
    <w:rsid w:val="70DD5B9B"/>
    <w:rsid w:val="732820F7"/>
    <w:rsid w:val="734D446A"/>
    <w:rsid w:val="740972B4"/>
    <w:rsid w:val="74C80B12"/>
    <w:rsid w:val="77FE4FE3"/>
    <w:rsid w:val="78C830A0"/>
    <w:rsid w:val="78D36201"/>
    <w:rsid w:val="792F1A3C"/>
    <w:rsid w:val="79B5177D"/>
    <w:rsid w:val="79CD520C"/>
    <w:rsid w:val="7A463EB9"/>
    <w:rsid w:val="7A8377B3"/>
    <w:rsid w:val="7BAF6865"/>
    <w:rsid w:val="7D9D4043"/>
    <w:rsid w:val="7E9D0BC6"/>
    <w:rsid w:val="7EC82AE6"/>
    <w:rsid w:val="7F8942D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71"/>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basedOn w:val="40"/>
    <w:qFormat/>
    <w:uiPriority w:val="99"/>
    <w:rPr>
      <w:sz w:val="21"/>
      <w:szCs w:val="21"/>
    </w:rPr>
  </w:style>
  <w:style w:type="character" w:customStyle="1" w:styleId="47">
    <w:name w:val="批注文字 字符"/>
    <w:link w:val="14"/>
    <w:qFormat/>
    <w:uiPriority w:val="99"/>
    <w:rPr>
      <w:rFonts w:ascii="Cambria" w:hAnsi="Cambria"/>
      <w:kern w:val="2"/>
      <w:sz w:val="21"/>
      <w:szCs w:val="21"/>
    </w:rPr>
  </w:style>
  <w:style w:type="character" w:customStyle="1" w:styleId="48">
    <w:name w:val="纯文本 字符"/>
    <w:link w:val="20"/>
    <w:qFormat/>
    <w:uiPriority w:val="99"/>
    <w:rPr>
      <w:rFonts w:ascii="宋体" w:hAnsi="Courier New"/>
      <w:kern w:val="2"/>
      <w:sz w:val="21"/>
    </w:rPr>
  </w:style>
  <w:style w:type="character" w:customStyle="1" w:styleId="49">
    <w:name w:val="日期 字符"/>
    <w:link w:val="22"/>
    <w:qFormat/>
    <w:uiPriority w:val="0"/>
    <w:rPr>
      <w:rFonts w:eastAsia="宋体"/>
      <w:kern w:val="2"/>
      <w:sz w:val="21"/>
      <w:lang w:val="en-US" w:eastAsia="zh-CN" w:bidi="ar-SA"/>
    </w:rPr>
  </w:style>
  <w:style w:type="character" w:customStyle="1" w:styleId="50">
    <w:name w:val="页脚 字符"/>
    <w:link w:val="25"/>
    <w:qFormat/>
    <w:uiPriority w:val="99"/>
    <w:rPr>
      <w:kern w:val="2"/>
      <w:sz w:val="18"/>
      <w:szCs w:val="18"/>
    </w:rPr>
  </w:style>
  <w:style w:type="character" w:customStyle="1" w:styleId="51">
    <w:name w:val="页眉 字符"/>
    <w:link w:val="26"/>
    <w:qFormat/>
    <w:uiPriority w:val="0"/>
    <w:rPr>
      <w:kern w:val="2"/>
      <w:sz w:val="18"/>
      <w:szCs w:val="18"/>
    </w:rPr>
  </w:style>
  <w:style w:type="character" w:customStyle="1" w:styleId="52">
    <w:name w:val="正文文本缩进 3 字符"/>
    <w:link w:val="30"/>
    <w:qFormat/>
    <w:uiPriority w:val="0"/>
    <w:rPr>
      <w:rFonts w:ascii="宋体" w:hAnsi="Cambria" w:cs="宋体"/>
      <w:sz w:val="24"/>
      <w:szCs w:val="24"/>
    </w:rPr>
  </w:style>
  <w:style w:type="character" w:customStyle="1" w:styleId="53">
    <w:name w:val="Char"/>
    <w:qFormat/>
    <w:uiPriority w:val="0"/>
    <w:rPr>
      <w:rFonts w:ascii="宋体" w:hAnsi="Courier New" w:eastAsia="宋体"/>
      <w:kern w:val="2"/>
      <w:sz w:val="21"/>
      <w:lang w:val="en-US" w:eastAsia="zh-CN" w:bidi="ar-SA"/>
    </w:rPr>
  </w:style>
  <w:style w:type="paragraph" w:customStyle="1" w:styleId="54">
    <w:name w:val="Char1"/>
    <w:basedOn w:val="1"/>
    <w:qFormat/>
    <w:uiPriority w:val="0"/>
    <w:rPr>
      <w:rFonts w:ascii="Tahoma" w:hAnsi="Tahoma"/>
      <w:sz w:val="24"/>
      <w:szCs w:val="20"/>
    </w:rPr>
  </w:style>
  <w:style w:type="paragraph" w:customStyle="1" w:styleId="55">
    <w:name w:val="彩色列表 - 强调文字颜色 11"/>
    <w:basedOn w:val="1"/>
    <w:qFormat/>
    <w:uiPriority w:val="34"/>
    <w:pPr>
      <w:ind w:firstLine="420" w:firstLineChars="200"/>
    </w:pPr>
    <w:rPr>
      <w:rFonts w:ascii="Calibri" w:hAnsi="Calibri"/>
      <w:szCs w:val="22"/>
    </w:rPr>
  </w:style>
  <w:style w:type="paragraph" w:customStyle="1" w:styleId="56">
    <w:name w:val="正文文本 21"/>
    <w:basedOn w:val="1"/>
    <w:qFormat/>
    <w:uiPriority w:val="0"/>
    <w:pPr>
      <w:adjustRightInd w:val="0"/>
      <w:spacing w:before="120" w:line="360" w:lineRule="auto"/>
      <w:ind w:firstLine="480"/>
      <w:textAlignment w:val="baseline"/>
    </w:pPr>
    <w:rPr>
      <w:sz w:val="24"/>
      <w:szCs w:val="20"/>
    </w:rPr>
  </w:style>
  <w:style w:type="paragraph" w:customStyle="1" w:styleId="57">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8">
    <w:name w:val="正文文本缩进 21"/>
    <w:basedOn w:val="1"/>
    <w:qFormat/>
    <w:uiPriority w:val="0"/>
    <w:pPr>
      <w:adjustRightInd w:val="0"/>
      <w:spacing w:before="120"/>
      <w:ind w:firstLine="420"/>
      <w:textAlignment w:val="baseline"/>
    </w:pPr>
    <w:rPr>
      <w:sz w:val="24"/>
      <w:szCs w:val="20"/>
    </w:rPr>
  </w:style>
  <w:style w:type="character" w:customStyle="1" w:styleId="59">
    <w:name w:val="Char2"/>
    <w:qFormat/>
    <w:uiPriority w:val="0"/>
    <w:rPr>
      <w:rFonts w:ascii="宋体" w:hAnsi="Courier New" w:eastAsia="宋体" w:cs="宋体"/>
      <w:kern w:val="2"/>
      <w:sz w:val="21"/>
      <w:szCs w:val="21"/>
      <w:lang w:val="en-US" w:eastAsia="zh-CN"/>
    </w:rPr>
  </w:style>
  <w:style w:type="paragraph" w:customStyle="1" w:styleId="60">
    <w:name w:val="标题1"/>
    <w:basedOn w:val="36"/>
    <w:qFormat/>
    <w:uiPriority w:val="0"/>
    <w:pPr>
      <w:spacing w:before="240" w:after="240"/>
      <w:outlineLvl w:val="0"/>
    </w:pPr>
    <w:rPr>
      <w:rFonts w:ascii="Arial" w:hAnsi="Arial" w:cs="Arial"/>
      <w:b/>
      <w:bCs/>
      <w:spacing w:val="2"/>
      <w:sz w:val="44"/>
      <w:szCs w:val="44"/>
    </w:rPr>
  </w:style>
  <w:style w:type="paragraph" w:customStyle="1" w:styleId="61">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2">
    <w:name w:val="样式"/>
    <w:basedOn w:val="1"/>
    <w:next w:val="20"/>
    <w:qFormat/>
    <w:uiPriority w:val="0"/>
    <w:rPr>
      <w:rFonts w:ascii="宋体" w:hAnsi="Courier New" w:cs="宋体"/>
      <w:szCs w:val="21"/>
    </w:rPr>
  </w:style>
  <w:style w:type="paragraph" w:customStyle="1" w:styleId="63">
    <w:name w:val="Char11"/>
    <w:basedOn w:val="1"/>
    <w:qFormat/>
    <w:uiPriority w:val="0"/>
    <w:rPr>
      <w:rFonts w:ascii="Tahoma" w:hAnsi="Tahoma"/>
      <w:sz w:val="24"/>
      <w:szCs w:val="20"/>
    </w:rPr>
  </w:style>
  <w:style w:type="paragraph" w:customStyle="1" w:styleId="64">
    <w:name w:val="Char Char Char Char"/>
    <w:basedOn w:val="1"/>
    <w:qFormat/>
    <w:uiPriority w:val="0"/>
    <w:pPr>
      <w:spacing w:after="160" w:line="240" w:lineRule="exact"/>
    </w:pPr>
    <w:rPr>
      <w:rFonts w:ascii="Cambria" w:hAnsi="Cambria"/>
      <w:szCs w:val="21"/>
    </w:rPr>
  </w:style>
  <w:style w:type="paragraph" w:customStyle="1" w:styleId="65">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6">
    <w:name w:val="List Paragraph"/>
    <w:basedOn w:val="1"/>
    <w:qFormat/>
    <w:uiPriority w:val="34"/>
    <w:pPr>
      <w:ind w:left="205" w:right="169" w:firstLine="655"/>
    </w:pPr>
    <w:rPr>
      <w:rFonts w:ascii="Cambria" w:hAnsi="Cambria"/>
      <w:szCs w:val="21"/>
    </w:rPr>
  </w:style>
  <w:style w:type="table" w:customStyle="1" w:styleId="67">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69">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0">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71">
    <w:name w:val="批注主题 字符"/>
    <w:basedOn w:val="47"/>
    <w:link w:val="37"/>
    <w:qFormat/>
    <w:uiPriority w:val="0"/>
    <w:rPr>
      <w:rFonts w:ascii="Cambria" w:hAnsi="Cambria"/>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11</Pages>
  <Words>5872</Words>
  <Characters>6509</Characters>
  <Lines>1522</Lines>
  <Paragraphs>1514</Paragraphs>
  <TotalTime>46</TotalTime>
  <ScaleCrop>false</ScaleCrop>
  <LinksUpToDate>false</LinksUpToDate>
  <CharactersWithSpaces>6726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2022-06-01T03:50:00Z</dcterms:created>
  <dc:creator>caowuning</dc:creator>
  <cp:lastModifiedBy>清</cp:lastModifiedBy>
  <cp:lastPrinted>2009-04-21T09:03:00Z</cp:lastPrinted>
  <dcterms:modified xsi:type="dcterms:W3CDTF">2025-04-22T01:50:18Z</dcterms:modified>
  <dc:title>北 京 市 政 府 采 购</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FFD5D77DD5A74FBFBDBDA10079CC3569_13</vt:lpwstr>
  </property>
  <property fmtid="{D5CDD505-2E9C-101B-9397-08002B2CF9AE}" pid="4" name="KSOTemplateDocerSaveRecord">
    <vt:lpwstr>eyJoZGlkIjoiMjgyZmJlNmZmZjVmOTk1ZDgwOWQ1ZWQ5ZmZmMWFiOTYiLCJ1c2VySWQiOiIyMTUzODc5NTAifQ==</vt:lpwstr>
  </property>
</Properties>
</file>