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B8660">
      <w:pPr>
        <w:pStyle w:val="2"/>
        <w:spacing w:before="120" w:after="120" w:line="360" w:lineRule="auto"/>
        <w:rPr>
          <w:rFonts w:hint="eastAsia" w:ascii="宋体" w:hAnsi="宋体" w:cs="宋体"/>
          <w:kern w:val="2"/>
          <w:sz w:val="32"/>
          <w:highlight w:val="none"/>
        </w:rPr>
      </w:pPr>
      <w:bookmarkStart w:id="8" w:name="_GoBack"/>
      <w:bookmarkEnd w:id="8"/>
      <w:bookmarkStart w:id="0" w:name="_Toc796"/>
      <w:bookmarkStart w:id="1" w:name="_Toc2318"/>
      <w:bookmarkStart w:id="2" w:name="_Toc5273"/>
      <w:bookmarkStart w:id="3" w:name="_Toc18999"/>
      <w:bookmarkStart w:id="4" w:name="_Toc6058"/>
      <w:bookmarkStart w:id="5" w:name="_Toc88807246"/>
      <w:bookmarkStart w:id="6" w:name="_Toc2795"/>
      <w:r>
        <w:rPr>
          <w:rFonts w:hint="eastAsia" w:ascii="宋体" w:hAnsi="宋体" w:cs="宋体"/>
          <w:kern w:val="2"/>
          <w:sz w:val="32"/>
          <w:highlight w:val="none"/>
          <w:lang w:eastAsia="zh-CN"/>
        </w:rPr>
        <w:t>中国海洋大学单晶X射线衍射仪采购项目</w:t>
      </w:r>
      <w:r>
        <w:rPr>
          <w:rFonts w:hint="eastAsia" w:ascii="宋体" w:hAnsi="宋体" w:cs="宋体"/>
          <w:kern w:val="2"/>
          <w:sz w:val="32"/>
          <w:highlight w:val="none"/>
          <w:lang w:val="en-US" w:eastAsia="zh-CN"/>
        </w:rPr>
        <w:t>采购需求</w:t>
      </w:r>
      <w:bookmarkEnd w:id="0"/>
      <w:bookmarkEnd w:id="1"/>
      <w:bookmarkEnd w:id="2"/>
      <w:bookmarkEnd w:id="3"/>
      <w:bookmarkEnd w:id="4"/>
      <w:bookmarkEnd w:id="5"/>
      <w:bookmarkEnd w:id="6"/>
    </w:p>
    <w:p w14:paraId="716D4188">
      <w:pPr>
        <w:pStyle w:val="4"/>
        <w:tabs>
          <w:tab w:val="left" w:pos="573"/>
        </w:tabs>
        <w:spacing w:after="0" w:line="360" w:lineRule="auto"/>
        <w:ind w:firstLine="482" w:firstLineChars="200"/>
        <w:rPr>
          <w:rFonts w:ascii="宋体" w:hAnsi="宋体"/>
          <w:b/>
          <w:kern w:val="2"/>
          <w:szCs w:val="24"/>
          <w:highlight w:val="none"/>
        </w:rPr>
      </w:pPr>
      <w:bookmarkStart w:id="7" w:name="_Toc88807247"/>
      <w:r>
        <w:rPr>
          <w:rFonts w:hint="eastAsia" w:ascii="宋体" w:hAnsi="宋体"/>
          <w:b/>
          <w:kern w:val="2"/>
          <w:szCs w:val="24"/>
          <w:highlight w:val="none"/>
        </w:rPr>
        <w:t>一、商务条件</w:t>
      </w:r>
    </w:p>
    <w:p w14:paraId="3E2D720D">
      <w:pPr>
        <w:pStyle w:val="4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  <w:highlight w:val="none"/>
        </w:rPr>
      </w:pPr>
      <w:r>
        <w:rPr>
          <w:rFonts w:hint="eastAsia" w:ascii="宋体" w:hAnsi="宋体"/>
          <w:b/>
          <w:kern w:val="2"/>
          <w:szCs w:val="24"/>
          <w:highlight w:val="none"/>
        </w:rPr>
        <w:t>1.交货期及交货地点</w:t>
      </w:r>
    </w:p>
    <w:p w14:paraId="4E36A862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1.1签订合同后</w:t>
      </w:r>
      <w:r>
        <w:rPr>
          <w:rFonts w:hint="eastAsia" w:ascii="宋体" w:hAnsi="宋体"/>
          <w:bCs/>
          <w:kern w:val="2"/>
          <w:szCs w:val="24"/>
          <w:lang w:val="en-US" w:eastAsia="zh-CN"/>
        </w:rPr>
        <w:t>10个月内交付</w:t>
      </w:r>
      <w:r>
        <w:rPr>
          <w:rFonts w:hint="eastAsia" w:ascii="宋体" w:hAnsi="宋体"/>
          <w:bCs/>
          <w:kern w:val="2"/>
          <w:szCs w:val="24"/>
        </w:rPr>
        <w:t>。</w:t>
      </w:r>
    </w:p>
    <w:p w14:paraId="46C32D0B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</w:rPr>
      </w:pPr>
      <w:r>
        <w:rPr>
          <w:rFonts w:hint="eastAsia" w:ascii="宋体" w:hAnsi="宋体"/>
          <w:bCs/>
          <w:kern w:val="2"/>
          <w:szCs w:val="24"/>
        </w:rPr>
        <w:t>1.2</w:t>
      </w:r>
      <w:r>
        <w:rPr>
          <w:rFonts w:hint="eastAsia"/>
        </w:rPr>
        <w:t>中国海洋大学西海岸校区</w:t>
      </w:r>
      <w:r>
        <w:rPr>
          <w:rFonts w:hint="eastAsia" w:ascii="宋体" w:hAnsi="宋体"/>
          <w:bCs/>
          <w:kern w:val="2"/>
          <w:szCs w:val="24"/>
        </w:rPr>
        <w:t>。</w:t>
      </w:r>
    </w:p>
    <w:p w14:paraId="00B21548">
      <w:pPr>
        <w:pStyle w:val="4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  <w:highlight w:val="none"/>
        </w:rPr>
      </w:pPr>
      <w:r>
        <w:rPr>
          <w:rFonts w:hint="eastAsia" w:ascii="宋体" w:hAnsi="宋体"/>
          <w:b/>
          <w:kern w:val="2"/>
          <w:szCs w:val="24"/>
          <w:highlight w:val="none"/>
        </w:rPr>
        <w:t>2.质量保证期</w:t>
      </w:r>
    </w:p>
    <w:p w14:paraId="161006D7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2.1质量保证期</w:t>
      </w:r>
      <w:r>
        <w:rPr>
          <w:rFonts w:hint="eastAsia" w:ascii="宋体" w:hAnsi="宋体"/>
          <w:bCs/>
          <w:kern w:val="2"/>
          <w:szCs w:val="24"/>
          <w:highlight w:val="none"/>
          <w:lang w:eastAsia="zh-CN"/>
        </w:rPr>
        <w:t>：</w:t>
      </w:r>
      <w:r>
        <w:rPr>
          <w:rFonts w:hint="eastAsia" w:ascii="宋体" w:hAnsi="宋体"/>
          <w:b/>
          <w:kern w:val="2"/>
          <w:szCs w:val="24"/>
          <w:highlight w:val="none"/>
        </w:rPr>
        <w:t>国产设备自验收合格之日起3年，进口设备自验收合格之日起1年，技术要求中有明确要求的执行技术要求中的质保期。</w:t>
      </w:r>
      <w:r>
        <w:rPr>
          <w:rFonts w:hint="eastAsia" w:ascii="宋体" w:hAnsi="宋体"/>
          <w:bCs/>
          <w:kern w:val="2"/>
          <w:szCs w:val="24"/>
          <w:highlight w:val="none"/>
        </w:rPr>
        <w:t>国家主管部门或者行业标准对货物本身有更高要求的，从其规定并在合同中约定，投标人亦可提报更长的质保期。</w:t>
      </w:r>
    </w:p>
    <w:p w14:paraId="6B2965DC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2.2质量保证期内，如果证实货物是有缺陷的，包括潜在的缺陷或者使用不符合要求的材料等，中标人应立即免费维修或者更换有缺陷的货物或者部件，保证达到合同规定的技术以及性能要求。如果中标人在收到通知后5天内没有弥补缺陷，采购人可自行采取必要的补救措施，但风险和费用由中标人承担，采购人同时保留通过法律途径进行索赔的权利。</w:t>
      </w:r>
    </w:p>
    <w:p w14:paraId="544CCB7B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2.3质保期外的服务</w:t>
      </w:r>
      <w:r>
        <w:rPr>
          <w:rFonts w:hint="eastAsia" w:ascii="宋体" w:hAnsi="宋体"/>
          <w:bCs/>
          <w:kern w:val="2"/>
          <w:szCs w:val="24"/>
          <w:highlight w:val="none"/>
          <w:lang w:eastAsia="zh-CN"/>
        </w:rPr>
        <w:t>：</w:t>
      </w:r>
      <w:r>
        <w:rPr>
          <w:rFonts w:hint="eastAsia" w:ascii="宋体" w:hAnsi="宋体"/>
          <w:bCs/>
          <w:kern w:val="2"/>
          <w:szCs w:val="24"/>
          <w:highlight w:val="none"/>
        </w:rPr>
        <w:t>如设备在质保期外发生故障，中标人继续以成本费用为用户提供技术服务。</w:t>
      </w:r>
    </w:p>
    <w:p w14:paraId="77320240">
      <w:pPr>
        <w:pStyle w:val="4"/>
        <w:tabs>
          <w:tab w:val="left" w:pos="573"/>
        </w:tabs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  <w:highlight w:val="none"/>
        </w:rPr>
      </w:pPr>
      <w:r>
        <w:rPr>
          <w:rFonts w:hint="eastAsia" w:ascii="宋体" w:hAnsi="宋体"/>
          <w:b/>
          <w:kern w:val="2"/>
          <w:szCs w:val="24"/>
          <w:highlight w:val="none"/>
        </w:rPr>
        <w:t>3.付款方式</w:t>
      </w:r>
    </w:p>
    <w:p w14:paraId="3761D328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内贸货物</w:t>
      </w:r>
      <w:r>
        <w:rPr>
          <w:rFonts w:hint="eastAsia" w:ascii="宋体" w:hAnsi="宋体"/>
          <w:bCs/>
          <w:kern w:val="2"/>
          <w:szCs w:val="24"/>
          <w:highlight w:val="none"/>
          <w:lang w:eastAsia="zh-CN"/>
        </w:rPr>
        <w:t>：</w:t>
      </w:r>
      <w:r>
        <w:rPr>
          <w:rFonts w:hint="eastAsia" w:ascii="宋体" w:hAnsi="宋体"/>
          <w:bCs/>
          <w:kern w:val="2"/>
          <w:szCs w:val="24"/>
          <w:highlight w:val="none"/>
        </w:rPr>
        <w:t>货物验收合格后，合同金额在十万人民币及以上，乙方需按照合同额5%付给甲方质保金，甲方100%支付给乙方设备款。质保期满后无质量问题及其他争议，经乙方申请，甲方</w:t>
      </w:r>
      <w:r>
        <w:rPr>
          <w:rFonts w:hint="eastAsia" w:ascii="宋体" w:hAnsi="宋体"/>
          <w:bCs/>
          <w:kern w:val="2"/>
          <w:szCs w:val="24"/>
          <w:highlight w:val="none"/>
          <w:lang w:eastAsia="zh-Hans"/>
        </w:rPr>
        <w:t>在扣除相关费用后</w:t>
      </w:r>
      <w:r>
        <w:rPr>
          <w:rFonts w:hint="eastAsia" w:ascii="宋体" w:hAnsi="宋体"/>
          <w:bCs/>
          <w:kern w:val="2"/>
          <w:szCs w:val="24"/>
          <w:highlight w:val="none"/>
        </w:rPr>
        <w:t>将质保金</w:t>
      </w:r>
      <w:r>
        <w:rPr>
          <w:rFonts w:hint="eastAsia" w:ascii="宋体" w:hAnsi="宋体"/>
          <w:bCs/>
          <w:kern w:val="2"/>
          <w:szCs w:val="24"/>
          <w:highlight w:val="none"/>
          <w:lang w:eastAsia="zh-Hans"/>
        </w:rPr>
        <w:t>无息</w:t>
      </w:r>
      <w:r>
        <w:rPr>
          <w:rFonts w:hint="eastAsia" w:ascii="宋体" w:hAnsi="宋体"/>
          <w:bCs/>
          <w:kern w:val="2"/>
          <w:szCs w:val="24"/>
          <w:highlight w:val="none"/>
        </w:rPr>
        <w:t>返还乙方。合同金额在十万人民币以下的，甲方100%支付给乙方设备款。乙方于甲方付款之前须向甲方开具增值税专用发票/增值税普通发票，如为增值税专用发票需向甲方提供抵扣联。</w:t>
      </w:r>
    </w:p>
    <w:p w14:paraId="25AACD92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外贸货物</w:t>
      </w:r>
      <w:r>
        <w:rPr>
          <w:rFonts w:hint="eastAsia" w:ascii="宋体" w:hAnsi="宋体"/>
          <w:bCs/>
          <w:kern w:val="2"/>
          <w:szCs w:val="24"/>
          <w:highlight w:val="none"/>
          <w:lang w:eastAsia="zh-CN"/>
        </w:rPr>
        <w:t>：</w:t>
      </w:r>
      <w:r>
        <w:rPr>
          <w:rFonts w:hint="eastAsia" w:ascii="宋体" w:hAnsi="宋体"/>
          <w:bCs/>
          <w:kern w:val="2"/>
          <w:szCs w:val="24"/>
          <w:highlight w:val="none"/>
        </w:rPr>
        <w:t>货物办理完免税手续后支付合同的80%，验收合格后</w:t>
      </w:r>
      <w:r>
        <w:rPr>
          <w:rFonts w:hint="eastAsia" w:ascii="宋体" w:hAnsi="宋体"/>
          <w:bCs/>
          <w:kern w:val="2"/>
          <w:szCs w:val="24"/>
          <w:highlight w:val="none"/>
          <w:lang w:eastAsia="zh-Hans"/>
        </w:rPr>
        <w:t>支付</w:t>
      </w:r>
      <w:r>
        <w:rPr>
          <w:rFonts w:hint="eastAsia" w:ascii="宋体" w:hAnsi="宋体"/>
          <w:bCs/>
          <w:kern w:val="2"/>
          <w:szCs w:val="24"/>
          <w:highlight w:val="none"/>
        </w:rPr>
        <w:t>20%。</w:t>
      </w:r>
    </w:p>
    <w:p w14:paraId="5F985207">
      <w:pPr>
        <w:pStyle w:val="4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  <w:highlight w:val="none"/>
        </w:rPr>
      </w:pPr>
      <w:r>
        <w:rPr>
          <w:rFonts w:hint="eastAsia" w:ascii="宋体" w:hAnsi="宋体"/>
          <w:b/>
          <w:kern w:val="2"/>
          <w:szCs w:val="24"/>
          <w:highlight w:val="none"/>
        </w:rPr>
        <w:t>4.安装调试验收</w:t>
      </w:r>
    </w:p>
    <w:p w14:paraId="29B42360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4.1中标人须保证所提供的产品能满足主管部门的验收要求，并保证通过验收。</w:t>
      </w:r>
    </w:p>
    <w:p w14:paraId="1D022B0B">
      <w:pPr>
        <w:pStyle w:val="4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4.2采购人将对货物数量、质量、规格等进行检验。如发现货物和规格或者两者都与招标文件、投标文件、合同不符，采购人有权限根据检验结果要求中标人立即更换或者提出索赔要求。</w:t>
      </w:r>
    </w:p>
    <w:p w14:paraId="221003D7">
      <w:pPr>
        <w:pStyle w:val="4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  <w:highlight w:val="none"/>
        </w:rPr>
      </w:pPr>
      <w:r>
        <w:rPr>
          <w:rFonts w:hint="eastAsia" w:ascii="宋体" w:hAnsi="宋体"/>
          <w:b/>
          <w:kern w:val="2"/>
          <w:szCs w:val="24"/>
          <w:highlight w:val="none"/>
        </w:rPr>
        <w:t>5.售后服务</w:t>
      </w:r>
    </w:p>
    <w:p w14:paraId="730C5079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5.1质保期内，如果证实设备是有缺陷的，包括潜在的缺陷或者使用不符合要求的材料等，中标人应立即免费维修或者更换有缺陷的货物或者部件，保证达到合同规定的技术以及性能要求。如果中标人在收到通知后5天内没有弥补缺陷，采购人可自行采取必要的补救措施，但风险和费用由中标人承担，采购人同时保留通过法律途径进行索赔的权利。</w:t>
      </w:r>
    </w:p>
    <w:p w14:paraId="3E89C8F3">
      <w:pPr>
        <w:pStyle w:val="4"/>
        <w:tabs>
          <w:tab w:val="left" w:pos="573"/>
        </w:tabs>
        <w:spacing w:after="0" w:line="360" w:lineRule="auto"/>
        <w:ind w:firstLine="480" w:firstLineChars="200"/>
        <w:rPr>
          <w:rFonts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5.2质保期内中标人应提供及时周到的售后服务，在接到采购人通知2小时内做出响应并到达现场，24小时内维修完毕，不能在规定时间内修好的要免费提供备品（机）备件。</w:t>
      </w:r>
    </w:p>
    <w:p w14:paraId="594957FF">
      <w:pPr>
        <w:pStyle w:val="4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5.3质保期内，中标人应按照采购人要求无偿协助采购人开展设备调试，直至可实现设备的正常使用。</w:t>
      </w:r>
    </w:p>
    <w:p w14:paraId="14E33434">
      <w:pPr>
        <w:pStyle w:val="4"/>
        <w:tabs>
          <w:tab w:val="left" w:pos="573"/>
        </w:tabs>
        <w:snapToGrid w:val="0"/>
        <w:spacing w:after="0" w:line="360" w:lineRule="auto"/>
        <w:ind w:firstLine="482" w:firstLineChars="200"/>
        <w:rPr>
          <w:rFonts w:hint="eastAsia" w:ascii="宋体" w:hAnsi="宋体"/>
          <w:b/>
          <w:kern w:val="2"/>
          <w:szCs w:val="24"/>
          <w:highlight w:val="none"/>
        </w:rPr>
      </w:pPr>
      <w:r>
        <w:rPr>
          <w:rFonts w:hint="eastAsia" w:ascii="宋体" w:hAnsi="宋体"/>
          <w:b/>
          <w:kern w:val="2"/>
          <w:szCs w:val="24"/>
          <w:highlight w:val="none"/>
        </w:rPr>
        <w:t>6.培训要求</w:t>
      </w:r>
    </w:p>
    <w:p w14:paraId="4B4C6747">
      <w:pPr>
        <w:pStyle w:val="4"/>
        <w:tabs>
          <w:tab w:val="left" w:pos="573"/>
        </w:tabs>
        <w:snapToGrid w:val="0"/>
        <w:spacing w:after="0" w:line="360" w:lineRule="auto"/>
        <w:ind w:firstLine="480" w:firstLineChars="200"/>
        <w:rPr>
          <w:rFonts w:hint="eastAsia" w:ascii="宋体" w:hAnsi="宋体"/>
          <w:bCs/>
          <w:kern w:val="2"/>
          <w:szCs w:val="24"/>
          <w:highlight w:val="none"/>
        </w:rPr>
      </w:pPr>
      <w:r>
        <w:rPr>
          <w:rFonts w:hint="eastAsia" w:ascii="宋体" w:hAnsi="宋体"/>
          <w:bCs/>
          <w:kern w:val="2"/>
          <w:szCs w:val="24"/>
          <w:highlight w:val="none"/>
        </w:rPr>
        <w:t>中标人免费为采购人提供中文操作手册并培训操作人员，其中包括讲解产品的结构以及原理、产品的使用以及维护保养，直至操作人员能够独立的操作使用。</w:t>
      </w:r>
    </w:p>
    <w:p w14:paraId="6F3F7BD4">
      <w:pPr>
        <w:pStyle w:val="6"/>
        <w:jc w:val="left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 w:val="0"/>
          <w:highlight w:val="none"/>
        </w:rPr>
        <w:br w:type="page"/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二、采购内容</w:t>
      </w:r>
      <w:bookmarkEnd w:id="7"/>
    </w:p>
    <w:tbl>
      <w:tblPr>
        <w:tblStyle w:val="7"/>
        <w:tblW w:w="10080" w:type="dxa"/>
        <w:tblInd w:w="-3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1296"/>
        <w:gridCol w:w="5865"/>
        <w:gridCol w:w="946"/>
        <w:gridCol w:w="1189"/>
      </w:tblGrid>
      <w:tr w14:paraId="13CC4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77458F7C"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96" w:type="dxa"/>
            <w:noWrap w:val="0"/>
            <w:vAlign w:val="center"/>
          </w:tcPr>
          <w:p w14:paraId="5C7CD690"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设备名称</w:t>
            </w:r>
          </w:p>
        </w:tc>
        <w:tc>
          <w:tcPr>
            <w:tcW w:w="5865" w:type="dxa"/>
            <w:noWrap w:val="0"/>
            <w:vAlign w:val="center"/>
          </w:tcPr>
          <w:p w14:paraId="5974346A"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技术需求</w:t>
            </w:r>
          </w:p>
        </w:tc>
        <w:tc>
          <w:tcPr>
            <w:tcW w:w="946" w:type="dxa"/>
            <w:noWrap w:val="0"/>
            <w:vAlign w:val="center"/>
          </w:tcPr>
          <w:p w14:paraId="54A1232F"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数量</w:t>
            </w:r>
          </w:p>
        </w:tc>
        <w:tc>
          <w:tcPr>
            <w:tcW w:w="1189" w:type="dxa"/>
            <w:noWrap w:val="0"/>
            <w:vAlign w:val="center"/>
          </w:tcPr>
          <w:p w14:paraId="6386D65C">
            <w:pPr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单价限价（万元）</w:t>
            </w:r>
          </w:p>
        </w:tc>
      </w:tr>
      <w:tr w14:paraId="537E7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noWrap w:val="0"/>
            <w:vAlign w:val="center"/>
          </w:tcPr>
          <w:p w14:paraId="2F7F66B7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96" w:type="dxa"/>
            <w:noWrap w:val="0"/>
            <w:vAlign w:val="center"/>
          </w:tcPr>
          <w:p w14:paraId="2337C458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单晶X射线衍射仪</w:t>
            </w:r>
          </w:p>
        </w:tc>
        <w:tc>
          <w:tcPr>
            <w:tcW w:w="5865" w:type="dxa"/>
            <w:noWrap w:val="0"/>
            <w:vAlign w:val="top"/>
          </w:tcPr>
          <w:p w14:paraId="6AE2626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一、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仪器工作条件</w:t>
            </w:r>
          </w:p>
          <w:p w14:paraId="45F1366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工作电压：单相AC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220V，50Hz（±1%）；</w:t>
            </w:r>
          </w:p>
          <w:p w14:paraId="1664426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环境温度：20℃~25℃；</w:t>
            </w:r>
          </w:p>
          <w:p w14:paraId="3A0C0CCD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相对湿度：20~80%无冷凝。</w:t>
            </w:r>
          </w:p>
          <w:p w14:paraId="6DDEDD8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二、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X射线源</w:t>
            </w:r>
          </w:p>
          <w:p w14:paraId="48B9FE7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提供微焦斑X射线平台；</w:t>
            </w:r>
          </w:p>
          <w:p w14:paraId="3B5D85E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最大管电压/信道：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kV；</w:t>
            </w:r>
          </w:p>
          <w:p w14:paraId="309C354A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最大管电流/通道：1mA；</w:t>
            </w:r>
          </w:p>
          <w:p w14:paraId="7C0B501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电流电压稳定度：8小时内变化不超过±0.05%；</w:t>
            </w:r>
          </w:p>
          <w:p w14:paraId="6776457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X射线管保护：过电压、过电流、冷却水异常保护；</w:t>
            </w:r>
          </w:p>
          <w:p w14:paraId="17C141B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光源类型：微焦斑Cu靶，带多层膜光学部件，最大功率50W；</w:t>
            </w:r>
          </w:p>
          <w:p w14:paraId="6DF82E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安全保护部件仪器具备：光源发生器超载异常；管电压、电流异常；真空度异常等报警和紧急停止开关、漏电制动器等功能。</w:t>
            </w:r>
          </w:p>
          <w:p w14:paraId="3FFCF7B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三、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硅阵列二维面探仪</w:t>
            </w:r>
          </w:p>
          <w:p w14:paraId="1F29A48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检测器类型：硅阵列二维探测器；</w:t>
            </w:r>
          </w:p>
          <w:p w14:paraId="7953958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检出方式：X射线光子直读模式，直接读数；</w:t>
            </w:r>
          </w:p>
          <w:p w14:paraId="0E82243B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有效面积：≥77mm×38mm；</w:t>
            </w:r>
          </w:p>
          <w:p w14:paraId="0F896A7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*4.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像素大小：≤100μm×100μm；</w:t>
            </w:r>
          </w:p>
          <w:p w14:paraId="3C177F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冷却方式：空冷；</w:t>
            </w:r>
          </w:p>
          <w:p w14:paraId="1A97375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*6.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读数动态范围：≥31bits；</w:t>
            </w:r>
          </w:p>
          <w:p w14:paraId="3E2F7C2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*7.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读数时间：≤3.7ms。</w:t>
            </w:r>
          </w:p>
          <w:p w14:paraId="53C1E10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X射线光学系统部分</w:t>
            </w:r>
          </w:p>
          <w:p w14:paraId="65BB608D">
            <w:pPr>
              <w:widowControl/>
              <w:numPr>
                <w:ilvl w:val="0"/>
                <w:numId w:val="0"/>
              </w:numPr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多层膜镜面模式：2维。</w:t>
            </w:r>
          </w:p>
          <w:p w14:paraId="75C0571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五、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测角仪（四圆Kappa测角仪）</w:t>
            </w:r>
          </w:p>
          <w:p w14:paraId="6D825E2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k轴，-179~+179°马达驱动；</w:t>
            </w:r>
          </w:p>
          <w:p w14:paraId="0D0331D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φ轴：-360°~+360°马达驱动；</w:t>
            </w:r>
          </w:p>
          <w:p w14:paraId="1332720C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2θ轴：-179~+179°马达驱动；</w:t>
            </w:r>
          </w:p>
          <w:p w14:paraId="4172F36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ω轴：-179~+179°马达驱动；</w:t>
            </w:r>
          </w:p>
          <w:p w14:paraId="59FBABC2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5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样品到探测器距离：41~180mm（马达步进）；</w:t>
            </w:r>
          </w:p>
          <w:p w14:paraId="597E022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共心误差：不大于7μm；</w:t>
            </w:r>
          </w:p>
          <w:p w14:paraId="55B61ED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载晶器：IUCr49；</w:t>
            </w:r>
          </w:p>
          <w:p w14:paraId="130C2E90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样品观测用CMOS照相机：≥70倍；</w:t>
            </w:r>
          </w:p>
          <w:p w14:paraId="64D34326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样品观察显示屏：使用计算机显示屏观察样品。</w:t>
            </w:r>
          </w:p>
          <w:p w14:paraId="616E7FC8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六、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循环水冷却系统</w:t>
            </w:r>
          </w:p>
          <w:p w14:paraId="3F02237F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满足X射线发生器正常工作要求的内置水冷循环机；水温、水压与流量满足发生器要求，有过热保护。</w:t>
            </w:r>
          </w:p>
          <w:p w14:paraId="4D156885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七、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控制系统和软件</w:t>
            </w:r>
          </w:p>
          <w:p w14:paraId="4525587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数据收集过程中全自动数据还原，全自动AutoChem结构解析功能；</w:t>
            </w:r>
          </w:p>
          <w:p w14:paraId="311F8B0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数据收集及处理软件不限制安装授权，免费更新；</w:t>
            </w:r>
          </w:p>
          <w:p w14:paraId="7B4A4237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软件在Windows 10（或更高）下可运行全部功能：除自动晶胞求解、指标化外，还支持人为手动寻峰和指标化，修正时能够修改和固定主要参数；</w:t>
            </w:r>
          </w:p>
          <w:p w14:paraId="4F4AEC74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数据收集策略自动优化，能够准确计算倒易空间被覆盖情况和完全度计算；</w:t>
            </w:r>
          </w:p>
          <w:p w14:paraId="63113021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可以直接观测倒易空间，做倒易空间截面照片模拟，能够对孪晶（Twin）不同取向分别指标化，可以做不同取向矩阵选取，从而对孪晶（Twin）的两个乃至八组分的孪晶各个组分分别做积分处理。</w:t>
            </w:r>
          </w:p>
          <w:p w14:paraId="785ED353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zh-CN"/>
              </w:rPr>
              <w:t>八、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其它附件</w:t>
            </w:r>
          </w:p>
          <w:p w14:paraId="08B7177E">
            <w:pPr>
              <w:widowControl/>
              <w:snapToGrid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液氮低温附件，控温范围80-500K，控温精度±0.1K。</w:t>
            </w:r>
          </w:p>
        </w:tc>
        <w:tc>
          <w:tcPr>
            <w:tcW w:w="946" w:type="dxa"/>
            <w:noWrap w:val="0"/>
            <w:vAlign w:val="center"/>
          </w:tcPr>
          <w:p w14:paraId="42BE35E1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189" w:type="dxa"/>
            <w:noWrap w:val="0"/>
            <w:vAlign w:val="center"/>
          </w:tcPr>
          <w:p w14:paraId="572AEC65">
            <w:pPr>
              <w:widowControl/>
              <w:snapToGrid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220.00</w:t>
            </w:r>
          </w:p>
        </w:tc>
      </w:tr>
    </w:tbl>
    <w:p w14:paraId="7A2A59B3">
      <w:pPr>
        <w:spacing w:line="360" w:lineRule="auto"/>
        <w:ind w:firstLine="482" w:firstLineChars="200"/>
        <w:outlineLvl w:val="2"/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  <w:t>注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  <w:lang w:eastAsia="zh-CN"/>
        </w:rPr>
        <w:t>：</w:t>
      </w:r>
    </w:p>
    <w:p w14:paraId="1517C28C">
      <w:pPr>
        <w:spacing w:line="360" w:lineRule="auto"/>
        <w:ind w:firstLine="482" w:firstLineChars="200"/>
        <w:outlineLvl w:val="2"/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  <w:t>1.投标人所投产品需提供彩页（须包含技术参数）或产品说明书或厂家出具的技术支撑材料（须加盖厂商公章），或有资质的第三方检测机构出具的产品检测报告,或官网截图等有效资料作为佐证（技术要求有规定的，按规定提供佐证），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  <w:lang w:val="zh-CN"/>
        </w:rPr>
        <w:t>如有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  <w:t>条款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  <w:lang w:val="zh-CN"/>
        </w:rPr>
        <w:t>未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  <w:t>提供佐证资料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  <w:lang w:val="zh-CN"/>
        </w:rPr>
        <w:t>，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  <w:t>该条款按负偏离进行处理。在“响应技术需求情况表”中“偏离情况”一栏标注该佐证资料在投标文件中的页码，以便评标委员会评审。</w:t>
      </w:r>
    </w:p>
    <w:p w14:paraId="5AC88740">
      <w:pPr>
        <w:spacing w:line="360" w:lineRule="auto"/>
        <w:ind w:firstLine="482" w:firstLineChars="200"/>
        <w:outlineLvl w:val="2"/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highlight w:val="none"/>
        </w:rPr>
        <w:t>2.本项目投标人所投产品参数必须与供货产品实际指标完全一致，如果验收不通过投标人需承担相关责任和损失。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F112AA"/>
    <w:multiLevelType w:val="singleLevel"/>
    <w:tmpl w:val="65F112A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8C2F36"/>
    <w:rsid w:val="36751CBB"/>
    <w:rsid w:val="5FF67529"/>
    <w:rsid w:val="6193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1"/>
    <w:qFormat/>
    <w:uiPriority w:val="99"/>
    <w:pPr>
      <w:keepNext/>
      <w:keepLines/>
      <w:spacing w:before="340" w:after="330" w:line="578" w:lineRule="auto"/>
      <w:outlineLvl w:val="0"/>
    </w:pPr>
    <w:rPr>
      <w:kern w:val="44"/>
      <w:sz w:val="44"/>
      <w:szCs w:val="20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99"/>
    <w:pPr>
      <w:spacing w:before="240" w:after="60" w:line="276" w:lineRule="auto"/>
      <w:jc w:val="center"/>
      <w:outlineLvl w:val="0"/>
    </w:pPr>
    <w:rPr>
      <w:rFonts w:ascii="Cambria" w:hAnsi="Cambria"/>
      <w:b/>
      <w:kern w:val="0"/>
      <w:sz w:val="32"/>
      <w:szCs w:val="20"/>
    </w:rPr>
  </w:style>
  <w:style w:type="paragraph" w:styleId="4">
    <w:name w:val="Body Text"/>
    <w:basedOn w:val="1"/>
    <w:next w:val="5"/>
    <w:qFormat/>
    <w:uiPriority w:val="1"/>
    <w:pPr>
      <w:spacing w:after="120"/>
    </w:pPr>
    <w:rPr>
      <w:kern w:val="0"/>
      <w:sz w:val="24"/>
      <w:szCs w:val="20"/>
    </w:rPr>
  </w:style>
  <w:style w:type="paragraph" w:styleId="5">
    <w:name w:val="toc 4"/>
    <w:basedOn w:val="1"/>
    <w:next w:val="1"/>
    <w:semiHidden/>
    <w:qFormat/>
    <w:uiPriority w:val="99"/>
    <w:pPr>
      <w:ind w:left="630"/>
      <w:jc w:val="left"/>
    </w:pPr>
    <w:rPr>
      <w:sz w:val="18"/>
      <w:szCs w:val="18"/>
    </w:rPr>
  </w:style>
  <w:style w:type="paragraph" w:styleId="6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2110</Words>
  <Characters>2329</Characters>
  <Lines>0</Lines>
  <Paragraphs>0</Paragraphs>
  <TotalTime>0</TotalTime>
  <ScaleCrop>false</ScaleCrop>
  <LinksUpToDate>false</LinksUpToDate>
  <CharactersWithSpaces>2331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2025-04-21T09:13:00Z</dcterms:created>
  <dc:creator>admin</dc:creator>
  <cp:lastModifiedBy>清</cp:lastModifiedBy>
  <dcterms:modified xsi:type="dcterms:W3CDTF">2025-04-22T01:45:36Z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eyJoZGlkIjoiZjIwOTFlYTM4YTI0ZTdjNjI5MDk0MWE5NTA3ZDdmOGUiLCJ1c2VySWQiOiI4NjIwOTM1OTAifQ==</vt:lpwstr>
  </property>
  <property fmtid="{D5CDD505-2E9C-101B-9397-08002B2CF9AE}" pid="4" name="ICV">
    <vt:lpwstr>B45F3C90D420481BBD00EEE336CA117A_13</vt:lpwstr>
  </property>
</Properties>
</file>