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32D33">
      <w:pPr>
        <w:adjustRightInd w:val="0"/>
        <w:snapToGrid w:val="0"/>
        <w:spacing w:after="156" w:afterLines="50" w:line="360" w:lineRule="auto"/>
        <w:jc w:val="center"/>
        <w:outlineLvl w:val="0"/>
        <w:rPr>
          <w:rFonts w:hint="eastAsia" w:ascii="黑体" w:eastAsia="黑体"/>
          <w:b/>
          <w:color w:val="auto"/>
          <w:kern w:val="44"/>
          <w:sz w:val="48"/>
          <w:szCs w:val="20"/>
          <w:highlight w:val="none"/>
        </w:rPr>
      </w:pPr>
      <w:bookmarkStart w:id="5" w:name="_GoBack"/>
      <w:bookmarkEnd w:id="5"/>
      <w:r>
        <w:rPr>
          <w:rFonts w:hint="eastAsia" w:ascii="宋体" w:hAnsi="宋体"/>
          <w:b/>
          <w:color w:val="auto"/>
          <w:sz w:val="30"/>
          <w:szCs w:val="30"/>
          <w:highlight w:val="none"/>
        </w:rPr>
        <w:t>采购需求</w:t>
      </w:r>
    </w:p>
    <w:p w14:paraId="50BCAF42">
      <w:pPr>
        <w:adjustRightInd w:val="0"/>
        <w:snapToGrid w:val="0"/>
        <w:spacing w:before="156" w:beforeLines="50" w:after="156" w:afterLines="50" w:line="360" w:lineRule="auto"/>
        <w:jc w:val="center"/>
        <w:rPr>
          <w:rFonts w:hint="eastAsia" w:ascii="宋体" w:hAnsi="宋体"/>
          <w:b/>
          <w:color w:val="auto"/>
          <w:sz w:val="24"/>
          <w:highlight w:val="none"/>
        </w:rPr>
      </w:pPr>
    </w:p>
    <w:p w14:paraId="57A64FAB">
      <w:pPr>
        <w:adjustRightInd w:val="0"/>
        <w:snapToGrid w:val="0"/>
        <w:spacing w:before="156" w:beforeLines="50" w:after="156" w:afterLines="50" w:line="360" w:lineRule="auto"/>
        <w:jc w:val="center"/>
        <w:rPr>
          <w:rFonts w:hint="eastAsia" w:ascii="宋体" w:hAnsi="宋体"/>
          <w:b/>
          <w:color w:val="auto"/>
          <w:sz w:val="24"/>
          <w:highlight w:val="none"/>
        </w:rPr>
      </w:pPr>
      <w:r>
        <w:rPr>
          <w:rFonts w:hint="eastAsia" w:ascii="宋体" w:hAnsi="宋体"/>
          <w:b/>
          <w:color w:val="auto"/>
          <w:sz w:val="24"/>
          <w:highlight w:val="none"/>
        </w:rPr>
        <w:t>货物需求一览表</w:t>
      </w:r>
    </w:p>
    <w:p w14:paraId="5C07BF1D">
      <w:pPr>
        <w:adjustRightInd w:val="0"/>
        <w:snapToGrid w:val="0"/>
        <w:jc w:val="center"/>
        <w:rPr>
          <w:rFonts w:hint="eastAsia" w:ascii="宋体" w:hAnsi="宋体"/>
          <w:b/>
          <w:color w:val="auto"/>
          <w:sz w:val="30"/>
          <w:szCs w:val="30"/>
          <w:highlight w:val="none"/>
        </w:rPr>
      </w:pPr>
    </w:p>
    <w:tbl>
      <w:tblPr>
        <w:tblStyle w:val="8"/>
        <w:tblW w:w="73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63"/>
        <w:gridCol w:w="2840"/>
        <w:gridCol w:w="1473"/>
        <w:gridCol w:w="2116"/>
      </w:tblGrid>
      <w:tr w14:paraId="217ED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73" w:hRule="atLeast"/>
          <w:jc w:val="center"/>
        </w:trPr>
        <w:tc>
          <w:tcPr>
            <w:tcW w:w="963" w:type="dxa"/>
            <w:noWrap w:val="0"/>
            <w:vAlign w:val="center"/>
          </w:tcPr>
          <w:p w14:paraId="1B3FE031">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840" w:type="dxa"/>
            <w:noWrap w:val="0"/>
            <w:vAlign w:val="center"/>
          </w:tcPr>
          <w:p w14:paraId="026B6C6D">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473" w:type="dxa"/>
            <w:noWrap w:val="0"/>
            <w:vAlign w:val="center"/>
          </w:tcPr>
          <w:p w14:paraId="7B1D44C1">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2116" w:type="dxa"/>
            <w:noWrap w:val="0"/>
            <w:vAlign w:val="center"/>
          </w:tcPr>
          <w:p w14:paraId="00219743">
            <w:pPr>
              <w:jc w:val="center"/>
              <w:rPr>
                <w:rFonts w:ascii="宋体" w:hAnsi="Bookman Old Style"/>
                <w:color w:val="auto"/>
                <w:sz w:val="24"/>
                <w:highlight w:val="none"/>
              </w:rPr>
            </w:pPr>
            <w:r>
              <w:rPr>
                <w:rFonts w:hint="eastAsia" w:ascii="宋体" w:hAnsi="Bookman Old Style"/>
                <w:color w:val="auto"/>
                <w:sz w:val="24"/>
                <w:highlight w:val="none"/>
              </w:rPr>
              <w:t>是否接受进口</w:t>
            </w:r>
          </w:p>
        </w:tc>
      </w:tr>
      <w:tr w14:paraId="6CDFE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63" w:type="dxa"/>
            <w:noWrap w:val="0"/>
            <w:vAlign w:val="center"/>
          </w:tcPr>
          <w:p w14:paraId="50BC8E1F">
            <w:pPr>
              <w:jc w:val="center"/>
              <w:rPr>
                <w:rFonts w:hint="eastAsia" w:ascii="宋体"/>
                <w:color w:val="auto"/>
                <w:sz w:val="24"/>
                <w:highlight w:val="none"/>
              </w:rPr>
            </w:pPr>
            <w:r>
              <w:rPr>
                <w:rFonts w:hint="eastAsia" w:ascii="宋体"/>
                <w:color w:val="auto"/>
                <w:sz w:val="24"/>
                <w:highlight w:val="none"/>
              </w:rPr>
              <w:t>1</w:t>
            </w:r>
          </w:p>
        </w:tc>
        <w:tc>
          <w:tcPr>
            <w:tcW w:w="2840" w:type="dxa"/>
            <w:noWrap w:val="0"/>
            <w:vAlign w:val="center"/>
          </w:tcPr>
          <w:p w14:paraId="0D6DA05F">
            <w:pPr>
              <w:jc w:val="center"/>
              <w:rPr>
                <w:rFonts w:hint="eastAsia" w:ascii="Bookman Old Style" w:hAnsi="Bookman Old Style"/>
                <w:color w:val="auto"/>
                <w:sz w:val="24"/>
                <w:highlight w:val="none"/>
              </w:rPr>
            </w:pPr>
            <w:r>
              <w:rPr>
                <w:rFonts w:hint="eastAsia" w:ascii="宋体" w:hAnsi="宋体"/>
                <w:color w:val="auto"/>
                <w:sz w:val="24"/>
                <w:highlight w:val="none"/>
              </w:rPr>
              <w:t>离子刻蚀机</w:t>
            </w:r>
          </w:p>
        </w:tc>
        <w:tc>
          <w:tcPr>
            <w:tcW w:w="1473" w:type="dxa"/>
            <w:noWrap w:val="0"/>
            <w:vAlign w:val="center"/>
          </w:tcPr>
          <w:p w14:paraId="32521D8A">
            <w:pPr>
              <w:jc w:val="center"/>
              <w:rPr>
                <w:rFonts w:ascii="宋体" w:hAnsi="Bookman Old Style"/>
                <w:color w:val="auto"/>
                <w:sz w:val="24"/>
                <w:highlight w:val="none"/>
              </w:rPr>
            </w:pPr>
            <w:r>
              <w:rPr>
                <w:rFonts w:hint="eastAsia" w:ascii="宋体" w:hAnsi="Bookman Old Style"/>
                <w:color w:val="auto"/>
                <w:sz w:val="24"/>
                <w:highlight w:val="none"/>
              </w:rPr>
              <w:t>1套</w:t>
            </w:r>
          </w:p>
        </w:tc>
        <w:tc>
          <w:tcPr>
            <w:tcW w:w="2116" w:type="dxa"/>
            <w:noWrap w:val="0"/>
            <w:vAlign w:val="center"/>
          </w:tcPr>
          <w:p w14:paraId="58C3CF4C">
            <w:pPr>
              <w:jc w:val="center"/>
              <w:rPr>
                <w:rFonts w:hint="eastAsia" w:ascii="宋体" w:hAnsi="Bookman Old Style"/>
                <w:color w:val="auto"/>
                <w:sz w:val="24"/>
                <w:highlight w:val="none"/>
              </w:rPr>
            </w:pPr>
            <w:r>
              <w:rPr>
                <w:rFonts w:hint="eastAsia" w:ascii="宋体" w:hAnsi="Bookman Old Style"/>
                <w:color w:val="auto"/>
                <w:sz w:val="24"/>
                <w:highlight w:val="none"/>
              </w:rPr>
              <w:t>否</w:t>
            </w:r>
          </w:p>
        </w:tc>
      </w:tr>
    </w:tbl>
    <w:p w14:paraId="369ACE7E">
      <w:pPr>
        <w:adjustRightInd w:val="0"/>
        <w:snapToGrid w:val="0"/>
        <w:jc w:val="center"/>
        <w:rPr>
          <w:rFonts w:hint="eastAsia" w:ascii="宋体" w:hAnsi="宋体"/>
          <w:b/>
          <w:color w:val="auto"/>
          <w:sz w:val="30"/>
          <w:szCs w:val="30"/>
          <w:highlight w:val="none"/>
        </w:rPr>
      </w:pPr>
    </w:p>
    <w:p w14:paraId="5A4DA138">
      <w:pPr>
        <w:adjustRightInd w:val="0"/>
        <w:snapToGrid w:val="0"/>
        <w:jc w:val="center"/>
        <w:rPr>
          <w:rFonts w:hint="eastAsia" w:ascii="宋体" w:hAnsi="宋体"/>
          <w:b/>
          <w:color w:val="auto"/>
          <w:sz w:val="30"/>
          <w:szCs w:val="30"/>
          <w:highlight w:val="none"/>
        </w:rPr>
      </w:pPr>
    </w:p>
    <w:p w14:paraId="33EAE7BD">
      <w:pPr>
        <w:spacing w:line="360" w:lineRule="auto"/>
        <w:jc w:val="left"/>
        <w:rPr>
          <w:rFonts w:ascii="宋体" w:hAnsi="宋体"/>
          <w:b/>
          <w:color w:val="auto"/>
          <w:sz w:val="28"/>
          <w:szCs w:val="28"/>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r>
        <w:rPr>
          <w:rFonts w:hint="eastAsia" w:ascii="Bookman Old Style" w:hAnsi="Bookman Old Style"/>
          <w:color w:val="auto"/>
          <w:sz w:val="24"/>
          <w:highlight w:val="none"/>
        </w:rPr>
        <w:br w:type="page"/>
      </w:r>
      <w:r>
        <w:rPr>
          <w:rFonts w:hint="eastAsia" w:ascii="宋体" w:hAnsi="宋体"/>
          <w:b/>
          <w:color w:val="auto"/>
          <w:sz w:val="28"/>
          <w:szCs w:val="28"/>
          <w:highlight w:val="none"/>
        </w:rPr>
        <w:t>一、总则</w:t>
      </w:r>
    </w:p>
    <w:p w14:paraId="20CF90CB">
      <w:pPr>
        <w:spacing w:before="156" w:beforeLines="50" w:after="156" w:afterLines="50" w:line="360" w:lineRule="auto"/>
        <w:rPr>
          <w:rFonts w:hint="eastAsia" w:ascii="宋体" w:hAnsi="宋体" w:cs="宋体"/>
          <w:b/>
          <w:color w:val="auto"/>
          <w:sz w:val="24"/>
          <w:highlight w:val="none"/>
        </w:rPr>
      </w:pPr>
      <w:r>
        <w:rPr>
          <w:rFonts w:hint="eastAsia" w:ascii="宋体" w:hAnsi="宋体" w:cs="宋体"/>
          <w:b/>
          <w:color w:val="auto"/>
          <w:sz w:val="24"/>
          <w:highlight w:val="none"/>
        </w:rPr>
        <w:t>1、投标要求</w:t>
      </w:r>
    </w:p>
    <w:p w14:paraId="4EEEA60D">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1.1  投标人在准备投标书时，务必在所提供的商品的技术规格文件中，标明型号、商标名称、目录号。</w:t>
      </w:r>
    </w:p>
    <w:p w14:paraId="25F8DDAF">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76892DB">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1.3  投标人提供的产品样本，必须是“原件”而非复印件，图表、简图、电路图以及印刷电路板图等都应清晰易读。买方有权不付任何附加费用复制这些资料以供参考。</w:t>
      </w:r>
    </w:p>
    <w:p w14:paraId="3742DA16">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367027A">
      <w:pPr>
        <w:spacing w:before="156" w:beforeLines="50" w:after="156" w:afterLines="50" w:line="360" w:lineRule="auto"/>
        <w:rPr>
          <w:rFonts w:hint="eastAsia" w:ascii="宋体" w:hAnsi="宋体" w:cs="宋体"/>
          <w:b/>
          <w:color w:val="auto"/>
          <w:sz w:val="24"/>
          <w:highlight w:val="none"/>
        </w:rPr>
      </w:pPr>
      <w:r>
        <w:rPr>
          <w:rFonts w:hint="eastAsia" w:ascii="宋体" w:hAnsi="宋体" w:cs="宋体"/>
          <w:b/>
          <w:color w:val="auto"/>
          <w:sz w:val="24"/>
          <w:highlight w:val="none"/>
        </w:rPr>
        <w:t>2、评标标准</w:t>
      </w:r>
    </w:p>
    <w:p w14:paraId="26E05C9C">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14:paraId="2434745F">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w:t>
      </w:r>
    </w:p>
    <w:p w14:paraId="3A3B80E1">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2.3  为便于用户进行接收仪器的准备工作，卖方应在合同生效后</w:t>
      </w:r>
      <w:r>
        <w:rPr>
          <w:rFonts w:hint="eastAsia" w:ascii="宋体" w:hAnsi="宋体" w:cs="宋体"/>
          <w:b/>
          <w:color w:val="auto"/>
          <w:sz w:val="24"/>
          <w:highlight w:val="none"/>
        </w:rPr>
        <w:t>60</w:t>
      </w:r>
      <w:r>
        <w:rPr>
          <w:rFonts w:hint="eastAsia" w:ascii="宋体" w:hAnsi="宋体" w:cs="宋体"/>
          <w:color w:val="auto"/>
          <w:sz w:val="24"/>
          <w:highlight w:val="none"/>
        </w:rPr>
        <w:t>天内向用户提供一套完整的使用说明书、操作手册、维修及安装说明等文件。另一套完整上述资料应在交货时随货包装提供给用户，这些费用应计入投标价中。</w:t>
      </w:r>
    </w:p>
    <w:p w14:paraId="33BF0CCD">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2.4  关于设备的安装调试，如果有必要的安装准备条件，卖方应在合同生效后一个月内向买方提出详细的要求或计划。安装调试的费用应计入投标价中，并应单独列出，供评标使用。</w:t>
      </w:r>
    </w:p>
    <w:p w14:paraId="78A25A4C">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2.5  制造厂家提供的培训指的是涉及货物的基本原理、操作使用和保养维修等有关内容的培训。培训教员的培训费、旅费、食宿费等费用和培训场地费及培训资料费均应由卖方支付。</w:t>
      </w:r>
    </w:p>
    <w:p w14:paraId="113F56E1">
      <w:pPr>
        <w:spacing w:before="156" w:beforeLines="50" w:after="156" w:afterLines="50" w:line="360" w:lineRule="auto"/>
        <w:rPr>
          <w:rFonts w:hint="eastAsia" w:ascii="宋体" w:hAnsi="宋体" w:cs="宋体"/>
          <w:b/>
          <w:color w:val="auto"/>
          <w:sz w:val="24"/>
          <w:highlight w:val="none"/>
        </w:rPr>
      </w:pPr>
      <w:r>
        <w:rPr>
          <w:rFonts w:hint="eastAsia" w:ascii="宋体" w:hAnsi="宋体" w:cs="宋体"/>
          <w:b/>
          <w:color w:val="auto"/>
          <w:sz w:val="24"/>
          <w:highlight w:val="none"/>
        </w:rPr>
        <w:t>3、工作条件</w:t>
      </w:r>
    </w:p>
    <w:p w14:paraId="13EB610E">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除非在技术规格中另有说明，所有仪器、设备和系统都应符合下列要求： </w:t>
      </w:r>
    </w:p>
    <w:p w14:paraId="39ED765C">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3.1  适于在气温为摄氏</w:t>
      </w:r>
      <w:r>
        <w:rPr>
          <w:rFonts w:hint="eastAsia" w:ascii="宋体" w:hAnsi="宋体" w:cs="宋体"/>
          <w:b/>
          <w:color w:val="auto"/>
          <w:sz w:val="24"/>
          <w:highlight w:val="none"/>
        </w:rPr>
        <w:t>-40℃～＋50℃</w:t>
      </w:r>
      <w:r>
        <w:rPr>
          <w:rFonts w:hint="eastAsia" w:ascii="宋体" w:hAnsi="宋体" w:cs="宋体"/>
          <w:color w:val="auto"/>
          <w:sz w:val="24"/>
          <w:highlight w:val="none"/>
        </w:rPr>
        <w:t>和相对湿度为</w:t>
      </w:r>
      <w:r>
        <w:rPr>
          <w:rFonts w:hint="eastAsia" w:ascii="宋体" w:hAnsi="宋体" w:cs="宋体"/>
          <w:b/>
          <w:color w:val="auto"/>
          <w:sz w:val="24"/>
          <w:highlight w:val="none"/>
        </w:rPr>
        <w:t>90％</w:t>
      </w:r>
      <w:r>
        <w:rPr>
          <w:rFonts w:hint="eastAsia" w:ascii="宋体" w:hAnsi="宋体" w:cs="宋体"/>
          <w:color w:val="auto"/>
          <w:sz w:val="24"/>
          <w:highlight w:val="none"/>
        </w:rPr>
        <w:t>的环境条件下运输和贮存。</w:t>
      </w:r>
    </w:p>
    <w:p w14:paraId="71164C32">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3.2  适于在电源</w:t>
      </w:r>
      <w:r>
        <w:rPr>
          <w:rFonts w:hint="eastAsia" w:ascii="宋体" w:hAnsi="宋体" w:cs="宋体"/>
          <w:b/>
          <w:color w:val="auto"/>
          <w:sz w:val="24"/>
          <w:highlight w:val="none"/>
        </w:rPr>
        <w:t>220V（</w:t>
      </w:r>
      <w:r>
        <w:rPr>
          <w:rFonts w:hint="eastAsia" w:ascii="宋体" w:hAnsi="宋体" w:cs="宋体"/>
          <w:b/>
          <w:color w:val="auto"/>
          <w:sz w:val="24"/>
          <w:highlight w:val="none"/>
        </w:rPr>
        <w:sym w:font="Symbol" w:char="F0B1"/>
      </w:r>
      <w:r>
        <w:rPr>
          <w:rFonts w:hint="eastAsia" w:ascii="宋体" w:hAnsi="宋体" w:cs="宋体"/>
          <w:b/>
          <w:color w:val="auto"/>
          <w:sz w:val="24"/>
          <w:highlight w:val="none"/>
        </w:rPr>
        <w:t>10％）/50Hz</w:t>
      </w:r>
      <w:r>
        <w:rPr>
          <w:rFonts w:hint="eastAsia" w:ascii="宋体" w:hAnsi="宋体" w:cs="宋体"/>
          <w:color w:val="auto"/>
          <w:sz w:val="24"/>
          <w:highlight w:val="none"/>
        </w:rPr>
        <w:t>、气温摄氏</w:t>
      </w:r>
      <w:r>
        <w:rPr>
          <w:rFonts w:hint="eastAsia" w:ascii="宋体" w:hAnsi="宋体" w:cs="宋体"/>
          <w:b/>
          <w:color w:val="auto"/>
          <w:sz w:val="24"/>
          <w:highlight w:val="none"/>
        </w:rPr>
        <w:t>+15℃～＋30℃</w:t>
      </w:r>
      <w:r>
        <w:rPr>
          <w:rFonts w:hint="eastAsia" w:ascii="宋体" w:hAnsi="宋体" w:cs="宋体"/>
          <w:color w:val="auto"/>
          <w:sz w:val="24"/>
          <w:highlight w:val="none"/>
        </w:rPr>
        <w:t>和相对湿度小于</w:t>
      </w:r>
      <w:r>
        <w:rPr>
          <w:rFonts w:hint="eastAsia" w:ascii="宋体" w:hAnsi="宋体" w:cs="宋体"/>
          <w:b/>
          <w:color w:val="auto"/>
          <w:sz w:val="24"/>
          <w:highlight w:val="none"/>
        </w:rPr>
        <w:t>80％</w:t>
      </w:r>
      <w:r>
        <w:rPr>
          <w:rFonts w:hint="eastAsia" w:ascii="宋体" w:hAnsi="宋体" w:cs="宋体"/>
          <w:color w:val="auto"/>
          <w:sz w:val="24"/>
          <w:highlight w:val="none"/>
        </w:rPr>
        <w:t>的环境条件下运行。</w:t>
      </w:r>
      <w:r>
        <w:rPr>
          <w:rFonts w:hint="eastAsia" w:ascii="宋体" w:hAnsi="宋体" w:cs="宋体"/>
          <w:b/>
          <w:color w:val="auto"/>
          <w:sz w:val="24"/>
          <w:highlight w:val="none"/>
        </w:rPr>
        <w:t>能够连续正常工作。</w:t>
      </w:r>
    </w:p>
    <w:p w14:paraId="6C65C6BA">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3.3  配置符合中国有关标准要求的插头，如果没有这样的插头，则需提供适当的转换插座。</w:t>
      </w:r>
    </w:p>
    <w:p w14:paraId="7468BD86">
      <w:pPr>
        <w:spacing w:line="360" w:lineRule="auto"/>
        <w:ind w:left="554" w:hanging="554" w:hangingChars="231"/>
        <w:rPr>
          <w:rFonts w:hint="eastAsia" w:ascii="宋体" w:hAnsi="宋体" w:cs="宋体"/>
          <w:b/>
          <w:bCs/>
          <w:color w:val="auto"/>
          <w:kern w:val="44"/>
          <w:sz w:val="24"/>
          <w:highlight w:val="none"/>
        </w:rPr>
      </w:pPr>
      <w:r>
        <w:rPr>
          <w:rFonts w:hint="eastAsia" w:ascii="宋体" w:hAnsi="宋体" w:cs="宋体"/>
          <w:color w:val="auto"/>
          <w:sz w:val="24"/>
          <w:highlight w:val="none"/>
        </w:rPr>
        <w:t>3.4  如产品达不到上述要求，投标人应注明其偏差。如仪器设备需要特殊工作条件（如水、电源、磁场强度、温度、湿度、动强度等）投标人应在投标书中加以说明。</w:t>
      </w:r>
    </w:p>
    <w:p w14:paraId="468B8ED7">
      <w:pPr>
        <w:spacing w:before="156" w:beforeLines="50" w:after="156" w:afterLines="50" w:line="360" w:lineRule="auto"/>
        <w:rPr>
          <w:rFonts w:hint="eastAsia" w:ascii="宋体" w:hAnsi="宋体" w:cs="宋体"/>
          <w:b/>
          <w:color w:val="auto"/>
          <w:sz w:val="24"/>
          <w:highlight w:val="none"/>
        </w:rPr>
      </w:pPr>
      <w:r>
        <w:rPr>
          <w:rFonts w:hint="eastAsia" w:ascii="宋体" w:hAnsi="宋体" w:cs="宋体"/>
          <w:b/>
          <w:color w:val="auto"/>
          <w:sz w:val="24"/>
          <w:highlight w:val="none"/>
        </w:rPr>
        <w:t>4、验收标准</w:t>
      </w:r>
    </w:p>
    <w:p w14:paraId="55701B99">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除非在技术规格中另有说明，所有仪器、设备和系统按下列要求进行验收： </w:t>
      </w:r>
    </w:p>
    <w:p w14:paraId="68831A62">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4.1  仪器设备运抵安装现场后，买方将与卖方共同开箱验收, 如卖方届时不派人来, 则验收结果应以买方的验收报告为最终验收结果。验收时发现短缺、破损, 买方有权要求卖方负责更换。</w:t>
      </w:r>
    </w:p>
    <w:p w14:paraId="795A807B">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4.2  验收标准以中标人提供的投标文件中所列的指标为准（该指标应不低于招标文件所要求的指标）。任何虚假指标响应一经发现即作废标，卖方必须承担由此给买方带来的一切经济损失和其它相关责任。</w:t>
      </w:r>
    </w:p>
    <w:p w14:paraId="56D958DB">
      <w:pPr>
        <w:spacing w:line="360" w:lineRule="auto"/>
        <w:ind w:left="554" w:hanging="554" w:hangingChars="231"/>
        <w:rPr>
          <w:rFonts w:hint="eastAsia" w:ascii="宋体" w:hAnsi="宋体" w:cs="宋体"/>
          <w:color w:val="auto"/>
          <w:sz w:val="24"/>
          <w:highlight w:val="none"/>
        </w:rPr>
      </w:pPr>
      <w:r>
        <w:rPr>
          <w:rFonts w:hint="eastAsia" w:ascii="宋体" w:hAnsi="宋体" w:cs="宋体"/>
          <w:color w:val="auto"/>
          <w:sz w:val="24"/>
          <w:highlight w:val="none"/>
        </w:rPr>
        <w:t>4.3  验收由采购人、中标人及相关人员依国家有关标准、合同及有关附件要求进行，验收完毕由采购人及中标人在验收报告上签名。</w:t>
      </w:r>
    </w:p>
    <w:p w14:paraId="7838681E">
      <w:pPr>
        <w:rPr>
          <w:rFonts w:hint="eastAsia"/>
          <w:color w:val="auto"/>
          <w:highlight w:val="none"/>
        </w:rPr>
      </w:pPr>
    </w:p>
    <w:p w14:paraId="78D42B1B">
      <w:pP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5、本采购需求书中标注“★”号技术条款的为实质性要求，不满足其投标将视为无效投标被拒绝。</w:t>
      </w:r>
    </w:p>
    <w:p w14:paraId="4E201B2E">
      <w:pPr>
        <w:rPr>
          <w:rFonts w:hint="eastAsia"/>
          <w:color w:val="auto"/>
          <w:highlight w:val="none"/>
        </w:rPr>
      </w:pPr>
    </w:p>
    <w:p w14:paraId="574F804B">
      <w:pPr>
        <w:spacing w:line="360" w:lineRule="auto"/>
        <w:rPr>
          <w:rFonts w:hint="eastAsia" w:ascii="宋体" w:hAnsi="宋体"/>
          <w:color w:val="auto"/>
          <w:szCs w:val="21"/>
          <w:highlight w:val="none"/>
        </w:rPr>
      </w:pPr>
      <w:r>
        <w:rPr>
          <w:rFonts w:hint="eastAsia" w:ascii="宋体" w:hAnsi="宋体" w:cs="宋体"/>
          <w:b/>
          <w:color w:val="auto"/>
          <w:sz w:val="24"/>
          <w:highlight w:val="none"/>
        </w:rPr>
        <w:t>6、如在具体技术规格中有本总则不一致之处，以具体技术规格中的要求为准。</w:t>
      </w:r>
    </w:p>
    <w:p w14:paraId="2F9595B2">
      <w:pPr>
        <w:adjustRightInd w:val="0"/>
        <w:snapToGrid w:val="0"/>
        <w:rPr>
          <w:rFonts w:hint="eastAsia" w:ascii="宋体" w:hAnsi="宋体"/>
          <w:color w:val="auto"/>
          <w:szCs w:val="21"/>
          <w:highlight w:val="none"/>
        </w:rPr>
      </w:pPr>
    </w:p>
    <w:p w14:paraId="0ADA4A59">
      <w:pPr>
        <w:adjustRightInd w:val="0"/>
        <w:snapToGrid w:val="0"/>
        <w:rPr>
          <w:rFonts w:hint="eastAsia" w:ascii="宋体" w:hAnsi="宋体"/>
          <w:color w:val="auto"/>
          <w:szCs w:val="21"/>
          <w:highlight w:val="none"/>
        </w:rPr>
      </w:pPr>
    </w:p>
    <w:p w14:paraId="7D33B955">
      <w:pPr>
        <w:adjustRightInd w:val="0"/>
        <w:snapToGrid w:val="0"/>
        <w:spacing w:line="360" w:lineRule="auto"/>
        <w:rPr>
          <w:rFonts w:hint="eastAsia" w:ascii="宋体" w:hAnsi="宋体"/>
          <w:b/>
          <w:color w:val="auto"/>
          <w:sz w:val="24"/>
          <w:highlight w:val="none"/>
        </w:rPr>
      </w:pPr>
    </w:p>
    <w:p w14:paraId="14827AAF">
      <w:pPr>
        <w:adjustRightInd w:val="0"/>
        <w:snapToGrid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二、具体技术规格</w:t>
      </w:r>
    </w:p>
    <w:p w14:paraId="4679EA1E">
      <w:pPr>
        <w:rPr>
          <w:rFonts w:hint="eastAsia"/>
          <w:color w:val="auto"/>
          <w:highlight w:val="none"/>
        </w:rPr>
      </w:pPr>
    </w:p>
    <w:p w14:paraId="77083161">
      <w:pPr>
        <w:jc w:val="center"/>
        <w:rPr>
          <w:rFonts w:hint="eastAsia"/>
          <w:b/>
          <w:color w:val="auto"/>
          <w:sz w:val="24"/>
          <w:highlight w:val="none"/>
        </w:rPr>
      </w:pPr>
      <w:r>
        <w:rPr>
          <w:rFonts w:hint="eastAsia"/>
          <w:b/>
          <w:color w:val="auto"/>
          <w:sz w:val="24"/>
          <w:highlight w:val="none"/>
        </w:rPr>
        <w:t>离子刻蚀机</w:t>
      </w:r>
    </w:p>
    <w:p w14:paraId="3EB03A83">
      <w:pPr>
        <w:rPr>
          <w:rFonts w:hint="eastAsia"/>
          <w:b/>
          <w:color w:val="auto"/>
          <w:sz w:val="24"/>
          <w:highlight w:val="none"/>
        </w:rPr>
      </w:pPr>
    </w:p>
    <w:p w14:paraId="673A2F0A">
      <w:pPr>
        <w:rPr>
          <w:rFonts w:hint="eastAsia"/>
          <w:b/>
          <w:color w:val="auto"/>
          <w:sz w:val="24"/>
          <w:highlight w:val="none"/>
        </w:rPr>
      </w:pPr>
      <w:r>
        <w:rPr>
          <w:rFonts w:hint="eastAsia"/>
          <w:b/>
          <w:color w:val="auto"/>
          <w:sz w:val="24"/>
          <w:highlight w:val="none"/>
        </w:rPr>
        <w:t>（一）技术要求：</w:t>
      </w:r>
    </w:p>
    <w:p w14:paraId="7DA1DEA7">
      <w:pPr>
        <w:rPr>
          <w:b/>
          <w:color w:val="auto"/>
          <w:sz w:val="24"/>
          <w:highlight w:val="none"/>
        </w:rPr>
      </w:pPr>
    </w:p>
    <w:p w14:paraId="0F578EF5">
      <w:pPr>
        <w:pStyle w:val="7"/>
        <w:spacing w:before="156" w:beforeLines="50" w:line="360" w:lineRule="auto"/>
        <w:ind w:left="0" w:leftChars="0" w:firstLine="0" w:firstLineChars="0"/>
        <w:rPr>
          <w:rFonts w:hint="eastAsia"/>
          <w:b/>
          <w:color w:val="auto"/>
          <w:sz w:val="24"/>
          <w:highlight w:val="none"/>
        </w:rPr>
      </w:pPr>
      <w:r>
        <w:rPr>
          <w:b/>
          <w:color w:val="auto"/>
          <w:sz w:val="24"/>
          <w:highlight w:val="none"/>
        </w:rPr>
        <w:t>1、工作条件</w:t>
      </w:r>
      <w:r>
        <w:rPr>
          <w:rFonts w:hint="eastAsia"/>
          <w:b/>
          <w:color w:val="auto"/>
          <w:sz w:val="24"/>
          <w:highlight w:val="none"/>
        </w:rPr>
        <w:t>：</w:t>
      </w:r>
    </w:p>
    <w:p w14:paraId="6D44A655">
      <w:pPr>
        <w:pStyle w:val="10"/>
        <w:spacing w:after="0" w:line="360" w:lineRule="auto"/>
        <w:ind w:firstLine="0" w:firstLineChars="0"/>
        <w:rPr>
          <w:rFonts w:hint="eastAsia" w:ascii="宋体" w:hAnsi="宋体" w:cs="宋体"/>
          <w:color w:val="auto"/>
          <w:sz w:val="24"/>
          <w:highlight w:val="none"/>
        </w:rPr>
      </w:pPr>
      <w:r>
        <w:rPr>
          <w:rFonts w:hint="eastAsia" w:ascii="宋体" w:hAnsi="宋体" w:cs="宋体"/>
          <w:color w:val="auto"/>
          <w:sz w:val="24"/>
          <w:highlight w:val="none"/>
        </w:rPr>
        <w:t>1.1 安装环境：超净环境，Class 1000以上</w:t>
      </w:r>
      <w:r>
        <w:rPr>
          <w:rFonts w:hint="eastAsia" w:ascii="宋体" w:hAnsi="宋体" w:cs="宋体"/>
          <w:color w:val="auto"/>
          <w:sz w:val="24"/>
          <w:highlight w:val="none"/>
          <w:lang w:eastAsia="zh-CN"/>
        </w:rPr>
        <w:t>（</w:t>
      </w:r>
      <w:r>
        <w:rPr>
          <w:rFonts w:hint="eastAsia" w:ascii="宋体" w:hAnsi="宋体" w:cs="宋体"/>
          <w:color w:val="auto"/>
          <w:sz w:val="24"/>
          <w:highlight w:val="none"/>
        </w:rPr>
        <w:t>超净环境定义：Class 1000为每立方英尺内大于等于0.5m的灰尘颗粒不能超过1000颗；Class 100</w:t>
      </w:r>
      <w:r>
        <w:rPr>
          <w:rFonts w:hint="eastAsia" w:ascii="宋体" w:hAnsi="宋体" w:cs="宋体"/>
          <w:color w:val="auto"/>
          <w:sz w:val="24"/>
          <w:highlight w:val="none"/>
          <w:lang w:eastAsia="zh-CN"/>
        </w:rPr>
        <w:t>：</w:t>
      </w:r>
      <w:r>
        <w:rPr>
          <w:rFonts w:hint="eastAsia" w:ascii="宋体" w:hAnsi="宋体" w:cs="宋体"/>
          <w:color w:val="auto"/>
          <w:sz w:val="24"/>
          <w:highlight w:val="none"/>
        </w:rPr>
        <w:t>每立方英尺内大于等于0.5um的灰尘颗粒不能超过100颗</w:t>
      </w:r>
      <w:r>
        <w:rPr>
          <w:rFonts w:hint="eastAsia" w:ascii="宋体" w:hAnsi="宋体" w:cs="宋体"/>
          <w:color w:val="auto"/>
          <w:sz w:val="24"/>
          <w:highlight w:val="none"/>
          <w:lang w:eastAsia="zh-CN"/>
        </w:rPr>
        <w:t>；</w:t>
      </w:r>
      <w:r>
        <w:rPr>
          <w:rFonts w:hint="eastAsia" w:ascii="宋体" w:hAnsi="宋体" w:cs="宋体"/>
          <w:color w:val="auto"/>
          <w:sz w:val="24"/>
          <w:highlight w:val="none"/>
        </w:rPr>
        <w:t>承重</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1000Kg/m2；无明显震动（周边如有干泵等振动源，需安装减震垫</w:t>
      </w:r>
      <w:r>
        <w:rPr>
          <w:rFonts w:hint="eastAsia" w:ascii="宋体" w:hAnsi="宋体" w:cs="宋体"/>
          <w:color w:val="auto"/>
          <w:sz w:val="24"/>
          <w:highlight w:val="none"/>
          <w:lang w:eastAsia="zh-CN"/>
        </w:rPr>
        <w:t>）</w:t>
      </w:r>
    </w:p>
    <w:p w14:paraId="0E0C74FA">
      <w:pPr>
        <w:pStyle w:val="10"/>
        <w:spacing w:after="0" w:line="360" w:lineRule="auto"/>
        <w:ind w:firstLine="0" w:firstLineChars="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 xml:space="preserve"> 环境温度：18 - 25 ℃</w:t>
      </w:r>
    </w:p>
    <w:p w14:paraId="48F07672">
      <w:pPr>
        <w:pStyle w:val="10"/>
        <w:spacing w:after="0" w:line="360" w:lineRule="auto"/>
        <w:ind w:firstLine="0" w:firstLineChars="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 相对湿度：35 - 85%</w:t>
      </w:r>
    </w:p>
    <w:p w14:paraId="63D919C9">
      <w:pPr>
        <w:pStyle w:val="10"/>
        <w:spacing w:after="0" w:line="360" w:lineRule="auto"/>
        <w:ind w:firstLine="0" w:firstLineChars="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 xml:space="preserve"> 适于在电源三相380V（±10％）/50Hz下连续正常工作。</w:t>
      </w:r>
    </w:p>
    <w:p w14:paraId="00631BB2">
      <w:pPr>
        <w:pStyle w:val="10"/>
        <w:spacing w:after="0" w:line="360" w:lineRule="auto"/>
        <w:ind w:firstLine="0" w:firstLineChars="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 xml:space="preserve"> 配置符合中国有关标准要求的插头，如果没有这样的插头，则需提供适当的转换插座。</w:t>
      </w:r>
    </w:p>
    <w:p w14:paraId="303302AF">
      <w:pPr>
        <w:pStyle w:val="10"/>
        <w:spacing w:after="0" w:line="360" w:lineRule="auto"/>
        <w:ind w:firstLine="0" w:firstLineChars="0"/>
        <w:rPr>
          <w:rFonts w:hint="eastAsia"/>
          <w:color w:val="auto"/>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6 </w:t>
      </w:r>
      <w:r>
        <w:rPr>
          <w:rFonts w:hint="eastAsia" w:ascii="宋体" w:hAnsi="宋体" w:cs="宋体"/>
          <w:color w:val="auto"/>
          <w:sz w:val="24"/>
          <w:highlight w:val="none"/>
        </w:rPr>
        <w:t>如产品达不到上述要求，投标人应注明其偏差。如仪器设备需要特殊工作条件（如水、电源、磁场强度、温度、湿度等）投标人应在投标书中加以说明。</w:t>
      </w:r>
    </w:p>
    <w:p w14:paraId="23652150">
      <w:pPr>
        <w:pStyle w:val="7"/>
        <w:spacing w:before="156" w:beforeLines="50" w:line="360" w:lineRule="auto"/>
        <w:ind w:left="0" w:leftChars="0" w:firstLine="0" w:firstLineChars="0"/>
        <w:rPr>
          <w:rFonts w:hint="eastAsia"/>
          <w:b/>
          <w:color w:val="auto"/>
          <w:sz w:val="24"/>
          <w:highlight w:val="none"/>
        </w:rPr>
      </w:pPr>
      <w:r>
        <w:rPr>
          <w:b/>
          <w:color w:val="auto"/>
          <w:sz w:val="24"/>
          <w:highlight w:val="none"/>
        </w:rPr>
        <w:t>2、</w:t>
      </w:r>
      <w:r>
        <w:rPr>
          <w:rFonts w:hint="eastAsia"/>
          <w:b/>
          <w:color w:val="auto"/>
          <w:sz w:val="24"/>
          <w:highlight w:val="none"/>
        </w:rPr>
        <w:t>设备用途说明：</w:t>
      </w:r>
    </w:p>
    <w:p w14:paraId="717A958D">
      <w:pPr>
        <w:widowControl/>
        <w:tabs>
          <w:tab w:val="left" w:pos="8010"/>
        </w:tabs>
        <w:spacing w:line="360" w:lineRule="auto"/>
        <w:ind w:firstLine="480" w:firstLineChars="200"/>
        <w:rPr>
          <w:rFonts w:hint="eastAsia"/>
          <w:bCs/>
          <w:color w:val="auto"/>
          <w:sz w:val="24"/>
          <w:highlight w:val="none"/>
        </w:rPr>
      </w:pPr>
      <w:r>
        <w:rPr>
          <w:rFonts w:hint="eastAsia"/>
          <w:bCs/>
          <w:color w:val="auto"/>
          <w:sz w:val="24"/>
          <w:highlight w:val="none"/>
        </w:rPr>
        <w:t>设备全新设备，主要用来进行8英寸半导体芯片上的金属刻蚀。具备加工MTJ 磁隧道结的能力，同时具备斜光栅和闪耀光栅的能力。</w:t>
      </w:r>
    </w:p>
    <w:p w14:paraId="4F671A0B">
      <w:pPr>
        <w:pStyle w:val="7"/>
        <w:spacing w:before="156" w:beforeLines="50" w:line="360" w:lineRule="auto"/>
        <w:ind w:left="0" w:leftChars="0" w:firstLine="0" w:firstLineChars="0"/>
        <w:rPr>
          <w:b/>
          <w:color w:val="auto"/>
          <w:sz w:val="24"/>
          <w:highlight w:val="none"/>
        </w:rPr>
      </w:pPr>
      <w:r>
        <w:rPr>
          <w:b/>
          <w:color w:val="auto"/>
          <w:sz w:val="24"/>
          <w:highlight w:val="none"/>
        </w:rPr>
        <w:t>3、技术要求及参数：</w:t>
      </w:r>
    </w:p>
    <w:p w14:paraId="33BEC10A">
      <w:pPr>
        <w:pStyle w:val="7"/>
        <w:numPr>
          <w:ilvl w:val="1"/>
          <w:numId w:val="0"/>
        </w:numP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3.1硬件配置要求：</w:t>
      </w:r>
    </w:p>
    <w:p w14:paraId="554CCE34">
      <w:pPr>
        <w:pStyle w:val="7"/>
        <w:spacing w:after="0" w:line="360" w:lineRule="auto"/>
        <w:ind w:left="0" w:leftChars="0" w:firstLine="240" w:firstLineChars="100"/>
        <w:rPr>
          <w:rFonts w:hint="eastAsia" w:ascii="宋体" w:hAnsi="宋体" w:cs="宋体"/>
          <w:color w:val="auto"/>
          <w:sz w:val="24"/>
          <w:highlight w:val="none"/>
        </w:rPr>
      </w:pPr>
      <w:r>
        <w:rPr>
          <w:rFonts w:hint="eastAsia" w:ascii="宋体" w:hAnsi="宋体" w:cs="宋体"/>
          <w:color w:val="auto"/>
          <w:sz w:val="24"/>
          <w:highlight w:val="none"/>
        </w:rPr>
        <w:t>▲3.1.1带有预真空室，且适用独立干泵（不得与主机共用），进样室能够一次完成一片最大直径 8 英寸晶圆的自动传输；干式机械泵（最大抽速不低于110m</w:t>
      </w:r>
      <w:r>
        <w:rPr>
          <w:rFonts w:hint="eastAsia" w:ascii="宋体" w:hAnsi="宋体" w:cs="宋体"/>
          <w:color w:val="auto"/>
          <w:sz w:val="24"/>
          <w:highlight w:val="none"/>
          <w:vertAlign w:val="superscript"/>
        </w:rPr>
        <w:t>3</w:t>
      </w:r>
      <w:r>
        <w:rPr>
          <w:rFonts w:hint="eastAsia" w:ascii="宋体" w:hAnsi="宋体" w:cs="宋体"/>
          <w:color w:val="auto"/>
          <w:sz w:val="24"/>
          <w:highlight w:val="none"/>
        </w:rPr>
        <w:t>/h）。配置氮气气路，用于进样室充气；</w:t>
      </w:r>
    </w:p>
    <w:p w14:paraId="1140412A">
      <w:pPr>
        <w:pStyle w:val="7"/>
        <w:spacing w:after="0" w:line="360" w:lineRule="auto"/>
        <w:ind w:left="0" w:leftChars="0" w:firstLine="242" w:firstLineChars="101"/>
        <w:rPr>
          <w:rFonts w:hint="eastAsia" w:ascii="宋体" w:hAnsi="宋体" w:cs="宋体"/>
          <w:color w:val="auto"/>
          <w:sz w:val="24"/>
          <w:highlight w:val="none"/>
        </w:rPr>
      </w:pPr>
      <w:r>
        <w:rPr>
          <w:rFonts w:hint="eastAsia" w:ascii="宋体" w:hAnsi="宋体" w:cs="宋体"/>
          <w:color w:val="auto"/>
          <w:sz w:val="24"/>
          <w:highlight w:val="none"/>
        </w:rPr>
        <w:t xml:space="preserve">★3.1.2配有刻蚀离子源：三层栅网的RF源 </w:t>
      </w:r>
    </w:p>
    <w:p w14:paraId="4EC4C27E">
      <w:pPr>
        <w:pStyle w:val="7"/>
        <w:spacing w:after="0" w:line="360" w:lineRule="auto"/>
        <w:ind w:left="0" w:leftChars="0" w:firstLine="242" w:firstLineChars="101"/>
        <w:rPr>
          <w:rFonts w:hint="eastAsia" w:ascii="宋体" w:hAnsi="宋体" w:cs="宋体"/>
          <w:color w:val="auto"/>
          <w:sz w:val="24"/>
          <w:highlight w:val="none"/>
        </w:rPr>
      </w:pPr>
      <w:r>
        <w:rPr>
          <w:rFonts w:hint="eastAsia" w:ascii="宋体" w:hAnsi="宋体" w:cs="宋体"/>
          <w:color w:val="auto"/>
          <w:sz w:val="24"/>
          <w:highlight w:val="none"/>
        </w:rPr>
        <w:t>★3.1.3离子源直径不低于28cm直径，功率不低于1000W。</w:t>
      </w:r>
    </w:p>
    <w:p w14:paraId="5F46C11F">
      <w:pPr>
        <w:pStyle w:val="7"/>
        <w:spacing w:after="0" w:line="360" w:lineRule="auto"/>
        <w:ind w:left="0" w:leftChars="0" w:firstLine="242" w:firstLineChars="101"/>
        <w:rPr>
          <w:rFonts w:hint="eastAsia" w:ascii="宋体" w:hAnsi="宋体" w:cs="宋体"/>
          <w:color w:val="auto"/>
          <w:sz w:val="24"/>
          <w:highlight w:val="none"/>
        </w:rPr>
      </w:pPr>
      <w:r>
        <w:rPr>
          <w:rFonts w:hint="eastAsia" w:ascii="宋体" w:hAnsi="宋体" w:cs="宋体"/>
          <w:color w:val="auto"/>
          <w:sz w:val="24"/>
          <w:highlight w:val="none"/>
        </w:rPr>
        <w:t>★3.1.4 载片台电极直径可承载8英寸晶圆，旋转速度0-20rpm可调</w:t>
      </w:r>
    </w:p>
    <w:p w14:paraId="58BBC432">
      <w:pPr>
        <w:pStyle w:val="7"/>
        <w:spacing w:after="0" w:line="360" w:lineRule="auto"/>
        <w:ind w:left="0" w:leftChars="0" w:firstLine="242" w:firstLineChars="101"/>
        <w:rPr>
          <w:rFonts w:hint="eastAsia" w:ascii="宋体" w:hAnsi="宋体" w:cs="宋体"/>
          <w:color w:val="auto"/>
          <w:sz w:val="24"/>
          <w:highlight w:val="none"/>
        </w:rPr>
      </w:pPr>
      <w:r>
        <w:rPr>
          <w:rFonts w:hint="eastAsia" w:ascii="宋体" w:hAnsi="宋体" w:cs="宋体"/>
          <w:color w:val="auto"/>
          <w:sz w:val="24"/>
          <w:highlight w:val="none"/>
        </w:rPr>
        <w:t>★3.1.5载片台可旋转角度以实现倾斜刻蚀，角度转动范围-90°至80°；角度精度±0.1°</w:t>
      </w:r>
    </w:p>
    <w:p w14:paraId="62202DFF">
      <w:pPr>
        <w:pStyle w:val="7"/>
        <w:spacing w:after="0" w:line="360" w:lineRule="auto"/>
        <w:ind w:left="0" w:leftChars="0" w:firstLine="242" w:firstLineChars="101"/>
        <w:rPr>
          <w:rFonts w:hint="eastAsia" w:ascii="宋体" w:hAnsi="宋体" w:cs="宋体"/>
          <w:color w:val="auto"/>
          <w:sz w:val="24"/>
          <w:highlight w:val="none"/>
        </w:rPr>
      </w:pPr>
      <w:r>
        <w:rPr>
          <w:rFonts w:hint="eastAsia" w:ascii="宋体" w:hAnsi="宋体" w:cs="宋体"/>
          <w:color w:val="auto"/>
          <w:sz w:val="24"/>
          <w:highlight w:val="none"/>
        </w:rPr>
        <w:t>▲3.1.6反应腔室配备耐腐前级干泵和分子泵,分子泵抽速≥2100L/s</w:t>
      </w:r>
      <w:r>
        <w:rPr>
          <w:rFonts w:hint="eastAsia" w:ascii="宋体" w:hAnsi="宋体" w:cs="宋体"/>
          <w:color w:val="auto"/>
          <w:sz w:val="24"/>
          <w:highlight w:val="none"/>
          <w:lang w:eastAsia="zh-CN"/>
        </w:rPr>
        <w:t>；</w:t>
      </w:r>
      <w:r>
        <w:rPr>
          <w:rFonts w:hint="eastAsia" w:ascii="宋体" w:hAnsi="宋体" w:cs="宋体"/>
          <w:color w:val="auto"/>
          <w:sz w:val="24"/>
          <w:highlight w:val="none"/>
        </w:rPr>
        <w:t>干泵抽速：≥110 m</w:t>
      </w:r>
      <w:r>
        <w:rPr>
          <w:rFonts w:hint="eastAsia" w:ascii="宋体" w:hAnsi="宋体" w:cs="宋体"/>
          <w:color w:val="auto"/>
          <w:sz w:val="24"/>
          <w:highlight w:val="none"/>
          <w:vertAlign w:val="superscript"/>
        </w:rPr>
        <w:t>3</w:t>
      </w:r>
      <w:r>
        <w:rPr>
          <w:rFonts w:hint="eastAsia" w:ascii="宋体" w:hAnsi="宋体" w:cs="宋体"/>
          <w:color w:val="auto"/>
          <w:sz w:val="24"/>
          <w:highlight w:val="none"/>
        </w:rPr>
        <w:t>/hr</w:t>
      </w:r>
    </w:p>
    <w:p w14:paraId="04FDF1B1">
      <w:pPr>
        <w:pStyle w:val="7"/>
        <w:spacing w:after="0" w:line="360" w:lineRule="auto"/>
        <w:ind w:left="0" w:leftChars="0" w:firstLine="242" w:firstLineChars="101"/>
        <w:rPr>
          <w:rFonts w:hint="eastAsia" w:ascii="宋体" w:hAnsi="宋体" w:cs="宋体"/>
          <w:color w:val="auto"/>
          <w:sz w:val="24"/>
          <w:highlight w:val="none"/>
        </w:rPr>
      </w:pPr>
      <w:r>
        <w:rPr>
          <w:rFonts w:hint="eastAsia" w:ascii="宋体" w:hAnsi="宋体" w:cs="宋体"/>
          <w:color w:val="auto"/>
          <w:sz w:val="24"/>
          <w:highlight w:val="none"/>
        </w:rPr>
        <w:t>★3.1.7反应气路不少于6路，气路需配置质量流量计MFC和气动截止阀，独立气柜。</w:t>
      </w:r>
    </w:p>
    <w:p w14:paraId="39399C43">
      <w:pPr>
        <w:pStyle w:val="7"/>
        <w:spacing w:after="0" w:line="360" w:lineRule="auto"/>
        <w:ind w:left="0" w:leftChars="0" w:firstLine="242" w:firstLineChars="101"/>
        <w:rPr>
          <w:rFonts w:hint="eastAsia" w:ascii="宋体" w:hAnsi="宋体" w:eastAsia="宋体" w:cs="宋体"/>
          <w:color w:val="auto"/>
          <w:sz w:val="24"/>
          <w:highlight w:val="none"/>
          <w:lang w:eastAsia="zh-CN"/>
        </w:rPr>
      </w:pPr>
      <w:r>
        <w:rPr>
          <w:rFonts w:hint="eastAsia" w:ascii="宋体" w:hAnsi="宋体" w:cs="宋体"/>
          <w:color w:val="auto"/>
          <w:sz w:val="24"/>
          <w:highlight w:val="none"/>
        </w:rPr>
        <w:t>★3.1.8 配有刻蚀终点检测</w:t>
      </w:r>
      <w:r>
        <w:rPr>
          <w:rFonts w:hint="eastAsia" w:ascii="宋体" w:hAnsi="宋体" w:cs="宋体"/>
          <w:color w:val="auto"/>
          <w:sz w:val="24"/>
          <w:highlight w:val="none"/>
          <w:lang w:eastAsia="zh-CN"/>
        </w:rPr>
        <w:t>；</w:t>
      </w:r>
    </w:p>
    <w:p w14:paraId="6F5FCE42">
      <w:pPr>
        <w:pStyle w:val="7"/>
        <w:spacing w:after="0" w:line="360" w:lineRule="auto"/>
        <w:ind w:left="0" w:leftChars="0" w:firstLine="480"/>
        <w:rPr>
          <w:rFonts w:hint="eastAsia" w:ascii="宋体" w:hAnsi="宋体" w:cs="宋体"/>
          <w:color w:val="auto"/>
          <w:sz w:val="24"/>
          <w:highlight w:val="none"/>
        </w:rPr>
      </w:pPr>
      <w:r>
        <w:rPr>
          <w:rFonts w:hint="eastAsia" w:ascii="宋体" w:hAnsi="宋体" w:cs="宋体"/>
          <w:color w:val="auto"/>
          <w:sz w:val="24"/>
          <w:highlight w:val="none"/>
        </w:rPr>
        <w:t>3.1.9 控制软件具有密码权限分级功能，软件能以系统图形式显示系统流量、温度、阀门状态，具有编辑、调用、存储及查询等功能，软件具有工艺制程记录以及异常报警以及记录功能。软件满足手动、自动、维护多种控制模式。</w:t>
      </w:r>
    </w:p>
    <w:p w14:paraId="39FB0369">
      <w:pPr>
        <w:pStyle w:val="7"/>
        <w:spacing w:after="0" w:line="360" w:lineRule="auto"/>
        <w:ind w:left="0" w:leftChars="0" w:firstLine="4" w:firstLineChars="2"/>
        <w:rPr>
          <w:rFonts w:hint="eastAsia" w:ascii="宋体" w:hAnsi="宋体" w:cs="宋体"/>
          <w:color w:val="auto"/>
          <w:sz w:val="24"/>
          <w:highlight w:val="none"/>
        </w:rPr>
      </w:pPr>
      <w:r>
        <w:rPr>
          <w:rFonts w:hint="eastAsia" w:ascii="宋体" w:hAnsi="宋体" w:cs="宋体"/>
          <w:color w:val="auto"/>
          <w:sz w:val="24"/>
          <w:highlight w:val="none"/>
        </w:rPr>
        <w:t>3.2 工艺指标：</w:t>
      </w:r>
      <w:r>
        <w:rPr>
          <w:rFonts w:hint="eastAsia" w:ascii="宋体" w:hAnsi="宋体" w:cs="宋体"/>
          <w:color w:val="auto"/>
          <w:sz w:val="24"/>
          <w:highlight w:val="none"/>
        </w:rPr>
        <w:tab/>
      </w:r>
    </w:p>
    <w:p w14:paraId="2C56C47B">
      <w:pPr>
        <w:pStyle w:val="7"/>
        <w:spacing w:after="0" w:line="360" w:lineRule="auto"/>
        <w:ind w:left="0" w:leftChars="0" w:firstLine="480"/>
        <w:rPr>
          <w:rFonts w:hint="eastAsia" w:ascii="宋体" w:hAnsi="宋体" w:cs="宋体"/>
          <w:color w:val="auto"/>
          <w:sz w:val="24"/>
          <w:highlight w:val="none"/>
        </w:rPr>
      </w:pPr>
      <w:r>
        <w:rPr>
          <w:rFonts w:hint="eastAsia" w:ascii="宋体" w:hAnsi="宋体" w:cs="宋体"/>
          <w:color w:val="auto"/>
          <w:sz w:val="24"/>
          <w:highlight w:val="none"/>
        </w:rPr>
        <w:t>3.2.1 Co薄膜刻蚀：</w:t>
      </w:r>
      <w:bookmarkStart w:id="0" w:name="_Hlk175820123"/>
      <w:r>
        <w:rPr>
          <w:rFonts w:hint="eastAsia" w:ascii="宋体" w:hAnsi="宋体" w:cs="宋体"/>
          <w:color w:val="auto"/>
          <w:sz w:val="24"/>
          <w:highlight w:val="none"/>
        </w:rPr>
        <w:t>刻蚀片内均匀性（8mm去边，9点）</w:t>
      </w:r>
      <w:bookmarkEnd w:id="0"/>
      <w:r>
        <w:rPr>
          <w:rFonts w:hint="eastAsia" w:ascii="宋体" w:hAnsi="宋体" w:cs="宋体"/>
          <w:color w:val="auto"/>
          <w:sz w:val="24"/>
          <w:highlight w:val="none"/>
        </w:rPr>
        <w:t>：≤±5%</w:t>
      </w:r>
    </w:p>
    <w:p w14:paraId="7306D6E3">
      <w:pPr>
        <w:pStyle w:val="7"/>
        <w:spacing w:after="0" w:line="360" w:lineRule="auto"/>
        <w:ind w:left="0" w:leftChars="0" w:firstLine="4" w:firstLineChars="2"/>
        <w:rPr>
          <w:rFonts w:hint="eastAsia"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刻蚀重复性（使用5片的平均值计算）：≤±3%</w:t>
      </w:r>
    </w:p>
    <w:p w14:paraId="04253D68">
      <w:pPr>
        <w:pStyle w:val="7"/>
        <w:spacing w:after="0" w:line="360" w:lineRule="auto"/>
        <w:ind w:left="0" w:leftChars="0" w:firstLine="4" w:firstLineChars="2"/>
        <w:rPr>
          <w:rFonts w:hint="eastAsia"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刻蚀深度（500nm槽宽）：&gt;100nm</w:t>
      </w:r>
    </w:p>
    <w:p w14:paraId="4ADEB553">
      <w:pPr>
        <w:pStyle w:val="7"/>
        <w:spacing w:after="0" w:line="360" w:lineRule="auto"/>
        <w:ind w:left="0" w:leftChars="0" w:firstLine="4" w:firstLineChars="2"/>
        <w:rPr>
          <w:rFonts w:hint="eastAsia"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  刻蚀速率（暴露面积20%）: &gt;10 nm/min</w:t>
      </w:r>
    </w:p>
    <w:p w14:paraId="16ACB44D">
      <w:pPr>
        <w:pStyle w:val="7"/>
        <w:spacing w:after="0" w:line="360" w:lineRule="auto"/>
        <w:ind w:left="0" w:leftChars="0" w:firstLine="242" w:firstLineChars="101"/>
        <w:rPr>
          <w:rFonts w:hint="eastAsia" w:ascii="宋体" w:hAnsi="宋体" w:cs="宋体"/>
          <w:color w:val="auto"/>
          <w:sz w:val="24"/>
          <w:highlight w:val="none"/>
        </w:rPr>
      </w:pPr>
      <w:bookmarkStart w:id="1" w:name="_Hlk190942126"/>
      <w:r>
        <w:rPr>
          <w:rFonts w:hint="eastAsia" w:ascii="宋体" w:hAnsi="宋体" w:cs="宋体"/>
          <w:color w:val="auto"/>
          <w:sz w:val="24"/>
          <w:highlight w:val="none"/>
        </w:rPr>
        <w:t>▲3.2.2 MTJ 磁隧道结刻蚀：</w:t>
      </w:r>
    </w:p>
    <w:p w14:paraId="4EB446A8">
      <w:pPr>
        <w:pStyle w:val="7"/>
        <w:spacing w:after="0" w:line="360" w:lineRule="auto"/>
        <w:ind w:left="0" w:leftChars="0" w:firstLine="4" w:firstLineChars="2"/>
        <w:rPr>
          <w:rFonts w:hint="eastAsia" w:ascii="宋体" w:hAnsi="宋体" w:cs="宋体"/>
          <w:color w:val="auto"/>
          <w:sz w:val="24"/>
          <w:highlight w:val="none"/>
        </w:rPr>
      </w:pPr>
      <w:r>
        <w:rPr>
          <w:rFonts w:hint="eastAsia" w:ascii="宋体" w:hAnsi="宋体" w:cs="宋体"/>
          <w:color w:val="auto"/>
          <w:sz w:val="24"/>
          <w:highlight w:val="none"/>
        </w:rPr>
        <w:t xml:space="preserve">          profile：≥80°，CD：≤50nm，Re-dep：功能层侧壁无re-dep</w:t>
      </w:r>
    </w:p>
    <w:bookmarkEnd w:id="1"/>
    <w:p w14:paraId="6F049B43">
      <w:pPr>
        <w:pStyle w:val="7"/>
        <w:spacing w:after="0" w:line="360" w:lineRule="auto"/>
        <w:ind w:left="2159" w:leftChars="114" w:hanging="1920" w:hangingChars="800"/>
        <w:rPr>
          <w:rFonts w:hint="eastAsia" w:ascii="宋体" w:hAnsi="宋体" w:cs="宋体"/>
          <w:color w:val="auto"/>
          <w:sz w:val="24"/>
          <w:highlight w:val="none"/>
        </w:rPr>
      </w:pPr>
      <w:r>
        <w:rPr>
          <w:rFonts w:hint="eastAsia" w:ascii="宋体" w:hAnsi="宋体" w:cs="宋体"/>
          <w:color w:val="auto"/>
          <w:sz w:val="24"/>
          <w:highlight w:val="none"/>
        </w:rPr>
        <w:t>★3.2.3 刻蚀线宽：机台的微纳加工能力，可以加工最小CD（关键尺寸：刻蚀图形如果为槽，则为槽的宽度，如果为孔则为孔的直径，如果为柱则为柱的直径）50nm及以下。需提供刻蚀后SEM图片</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p>
    <w:p w14:paraId="5CF4AAC4">
      <w:pPr>
        <w:widowControl/>
        <w:tabs>
          <w:tab w:val="left" w:pos="7530"/>
        </w:tabs>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★3.2.4 Si闪耀光栅：Blaze angle/闪耀角：25°-45°，典型值可取30°，±3°</w:t>
      </w:r>
    </w:p>
    <w:p w14:paraId="2C894842">
      <w:pPr>
        <w:widowControl/>
        <w:tabs>
          <w:tab w:val="left" w:pos="753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Anti-Blaze angle/反闪耀角：60°-80°；提供SEM图片</w:t>
      </w:r>
    </w:p>
    <w:p w14:paraId="7E8F51ED">
      <w:pPr>
        <w:widowControl/>
        <w:tabs>
          <w:tab w:val="left" w:pos="7530"/>
        </w:tabs>
        <w:spacing w:line="360" w:lineRule="auto"/>
        <w:ind w:left="2159" w:leftChars="114" w:hanging="1920" w:hangingChars="800"/>
        <w:rPr>
          <w:rFonts w:hint="eastAsia" w:ascii="宋体" w:hAnsi="宋体" w:cs="宋体"/>
          <w:color w:val="auto"/>
          <w:sz w:val="24"/>
          <w:highlight w:val="none"/>
        </w:rPr>
      </w:pPr>
      <w:r>
        <w:rPr>
          <w:rFonts w:hint="eastAsia" w:ascii="宋体" w:hAnsi="宋体" w:cs="宋体"/>
          <w:color w:val="auto"/>
          <w:sz w:val="24"/>
          <w:highlight w:val="none"/>
        </w:rPr>
        <w:t>★3.2.5 SiO</w:t>
      </w:r>
      <w:r>
        <w:rPr>
          <w:rFonts w:hint="eastAsia" w:ascii="宋体" w:hAnsi="宋体" w:cs="宋体"/>
          <w:color w:val="auto"/>
          <w:sz w:val="24"/>
          <w:highlight w:val="none"/>
          <w:vertAlign w:val="subscript"/>
        </w:rPr>
        <w:t>2</w:t>
      </w:r>
      <w:r>
        <w:rPr>
          <w:rFonts w:hint="eastAsia" w:ascii="宋体" w:hAnsi="宋体" w:cs="宋体"/>
          <w:color w:val="auto"/>
          <w:sz w:val="24"/>
          <w:highlight w:val="none"/>
        </w:rPr>
        <w:t>倾斜光栅：Slant angle/倾斜角(侧壁与底面夹角)：45°-90°，典型值可取60°，±3°</w:t>
      </w:r>
    </w:p>
    <w:p w14:paraId="20D8D6EB">
      <w:pPr>
        <w:widowControl/>
        <w:tabs>
          <w:tab w:val="left" w:pos="7530"/>
        </w:tabs>
        <w:spacing w:line="360" w:lineRule="auto"/>
        <w:ind w:left="2160" w:hanging="2160" w:hangingChars="900"/>
        <w:rPr>
          <w:rFonts w:hint="eastAsia" w:ascii="宋体" w:hAnsi="宋体" w:cs="宋体"/>
          <w:color w:val="auto"/>
          <w:sz w:val="24"/>
          <w:highlight w:val="none"/>
        </w:rPr>
      </w:pPr>
      <w:r>
        <w:rPr>
          <w:rFonts w:hint="eastAsia" w:ascii="宋体" w:hAnsi="宋体" w:cs="宋体"/>
          <w:color w:val="auto"/>
          <w:sz w:val="24"/>
          <w:highlight w:val="none"/>
        </w:rPr>
        <w:t xml:space="preserve">                    Height/光栅高度：≥200nm，以实际膜层厚度为准，±5%</w:t>
      </w:r>
    </w:p>
    <w:p w14:paraId="61149F44">
      <w:pPr>
        <w:widowControl/>
        <w:tabs>
          <w:tab w:val="left" w:pos="7530"/>
        </w:tabs>
        <w:spacing w:line="360" w:lineRule="auto"/>
        <w:ind w:left="2400" w:hanging="2400" w:hangingChars="1000"/>
        <w:rPr>
          <w:rFonts w:hint="eastAsia" w:ascii="宋体" w:hAnsi="宋体" w:cs="宋体"/>
          <w:color w:val="auto"/>
          <w:sz w:val="24"/>
          <w:highlight w:val="none"/>
        </w:rPr>
      </w:pPr>
      <w:r>
        <w:rPr>
          <w:rFonts w:hint="eastAsia" w:ascii="宋体" w:hAnsi="宋体" w:cs="宋体"/>
          <w:color w:val="auto"/>
          <w:sz w:val="24"/>
          <w:highlight w:val="none"/>
        </w:rPr>
        <w:t xml:space="preserve">                    Critical dimension/线宽精度(量测时以光栅中部为准)：以实际线宽为准，±10%；提供SEM图片</w:t>
      </w:r>
    </w:p>
    <w:p w14:paraId="19A9B3CD">
      <w:pPr>
        <w:pStyle w:val="7"/>
        <w:spacing w:after="0" w:line="360" w:lineRule="auto"/>
        <w:ind w:left="2160" w:leftChars="0" w:hanging="2160" w:hangingChars="900"/>
        <w:rPr>
          <w:rFonts w:hint="eastAsia" w:ascii="宋体" w:hAnsi="宋体" w:cs="宋体"/>
          <w:color w:val="auto"/>
          <w:sz w:val="24"/>
          <w:highlight w:val="none"/>
        </w:rPr>
      </w:pPr>
      <w:bookmarkStart w:id="2" w:name="_Toc138845638"/>
      <w:bookmarkStart w:id="3" w:name="_Toc144303645"/>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 控制/软件要求</w:t>
      </w:r>
      <w:bookmarkEnd w:id="2"/>
      <w:bookmarkEnd w:id="3"/>
      <w:r>
        <w:rPr>
          <w:rFonts w:hint="eastAsia" w:ascii="宋体" w:hAnsi="宋体" w:cs="宋体"/>
          <w:color w:val="auto"/>
          <w:sz w:val="24"/>
          <w:highlight w:val="none"/>
        </w:rPr>
        <w:t>：</w:t>
      </w:r>
    </w:p>
    <w:p w14:paraId="01431157">
      <w:pPr>
        <w:pStyle w:val="7"/>
        <w:spacing w:after="0" w:line="360" w:lineRule="auto"/>
        <w:ind w:left="0" w:leftChars="0" w:firstLine="480"/>
        <w:rPr>
          <w:rFonts w:hint="eastAsia" w:ascii="宋体" w:hAnsi="宋体" w:cs="宋体"/>
          <w:color w:val="auto"/>
          <w:sz w:val="24"/>
          <w:highlight w:val="none"/>
        </w:rPr>
      </w:pPr>
      <w:r>
        <w:rPr>
          <w:rFonts w:hint="eastAsia" w:ascii="宋体" w:hAnsi="宋体" w:cs="宋体"/>
          <w:color w:val="auto"/>
          <w:sz w:val="24"/>
          <w:highlight w:val="none"/>
        </w:rPr>
        <w:t>软件系统质保期内免费升级；</w:t>
      </w:r>
    </w:p>
    <w:p w14:paraId="51FE11C8">
      <w:pPr>
        <w:pStyle w:val="7"/>
        <w:spacing w:after="0" w:line="360" w:lineRule="auto"/>
        <w:ind w:left="2159" w:leftChars="228" w:hanging="1680" w:hangingChars="700"/>
        <w:rPr>
          <w:rFonts w:hint="eastAsia" w:ascii="宋体" w:hAnsi="宋体" w:cs="宋体"/>
          <w:color w:val="auto"/>
          <w:sz w:val="24"/>
          <w:highlight w:val="none"/>
        </w:rPr>
      </w:pPr>
      <w:r>
        <w:rPr>
          <w:rFonts w:hint="eastAsia" w:ascii="宋体" w:hAnsi="宋体" w:cs="宋体"/>
          <w:color w:val="auto"/>
          <w:sz w:val="24"/>
          <w:highlight w:val="none"/>
        </w:rPr>
        <w:t>自动工艺：基于编程控制的自动控制系统；</w:t>
      </w:r>
    </w:p>
    <w:p w14:paraId="539977FA">
      <w:pPr>
        <w:pStyle w:val="7"/>
        <w:spacing w:after="0" w:line="360" w:lineRule="auto"/>
        <w:ind w:left="2159" w:leftChars="228" w:hanging="1680" w:hangingChars="700"/>
        <w:rPr>
          <w:rFonts w:hint="eastAsia" w:ascii="宋体" w:hAnsi="宋体" w:cs="宋体"/>
          <w:color w:val="auto"/>
          <w:sz w:val="24"/>
          <w:highlight w:val="none"/>
        </w:rPr>
      </w:pPr>
      <w:r>
        <w:rPr>
          <w:rFonts w:hint="eastAsia" w:ascii="宋体" w:hAnsi="宋体" w:cs="宋体"/>
          <w:color w:val="auto"/>
          <w:sz w:val="24"/>
          <w:highlight w:val="none"/>
        </w:rPr>
        <w:t>手动控制：可通过软件对机台进行临时手动操作；</w:t>
      </w:r>
    </w:p>
    <w:p w14:paraId="137EFF48">
      <w:pPr>
        <w:pStyle w:val="7"/>
        <w:spacing w:after="0" w:line="360" w:lineRule="auto"/>
        <w:ind w:left="2159" w:leftChars="228" w:hanging="1680" w:hangingChars="700"/>
        <w:rPr>
          <w:rFonts w:hint="eastAsia" w:ascii="宋体" w:hAnsi="宋体" w:cs="宋体"/>
          <w:color w:val="auto"/>
          <w:sz w:val="24"/>
          <w:highlight w:val="none"/>
        </w:rPr>
      </w:pPr>
      <w:r>
        <w:rPr>
          <w:rFonts w:hint="eastAsia" w:ascii="宋体" w:hAnsi="宋体" w:cs="宋体"/>
          <w:color w:val="auto"/>
          <w:sz w:val="24"/>
          <w:highlight w:val="none"/>
        </w:rPr>
        <w:t>故障响应：具备系统故障远程诊断功能；</w:t>
      </w:r>
    </w:p>
    <w:p w14:paraId="4E12C520">
      <w:pPr>
        <w:pStyle w:val="7"/>
        <w:spacing w:after="0" w:line="360" w:lineRule="auto"/>
        <w:ind w:left="0" w:leftChars="0" w:firstLine="480"/>
        <w:rPr>
          <w:rFonts w:hint="eastAsia" w:ascii="宋体" w:hAnsi="宋体" w:cs="宋体"/>
          <w:color w:val="auto"/>
          <w:sz w:val="24"/>
          <w:highlight w:val="none"/>
        </w:rPr>
      </w:pPr>
      <w:r>
        <w:rPr>
          <w:rFonts w:hint="eastAsia" w:ascii="宋体" w:hAnsi="宋体" w:cs="宋体"/>
          <w:color w:val="auto"/>
          <w:sz w:val="24"/>
          <w:highlight w:val="none"/>
        </w:rPr>
        <w:t>报警管理：具备安全自检及自我保护功能，通过软件判断；</w:t>
      </w:r>
    </w:p>
    <w:p w14:paraId="75FBEC8F">
      <w:pPr>
        <w:pStyle w:val="7"/>
        <w:spacing w:after="0" w:line="360" w:lineRule="auto"/>
        <w:ind w:left="2159" w:leftChars="228" w:hanging="1680" w:hangingChars="700"/>
        <w:rPr>
          <w:rFonts w:hint="eastAsia" w:ascii="宋体" w:hAnsi="宋体" w:cs="宋体"/>
          <w:color w:val="auto"/>
          <w:sz w:val="24"/>
          <w:highlight w:val="none"/>
        </w:rPr>
      </w:pPr>
      <w:r>
        <w:rPr>
          <w:rFonts w:hint="eastAsia" w:ascii="宋体" w:hAnsi="宋体" w:cs="宋体"/>
          <w:color w:val="auto"/>
          <w:sz w:val="24"/>
          <w:highlight w:val="none"/>
        </w:rPr>
        <w:t>状态监控：重要参数的实时变化监控，辅助用户分析和监测；</w:t>
      </w:r>
    </w:p>
    <w:p w14:paraId="0FBD6F5F">
      <w:pPr>
        <w:pStyle w:val="7"/>
        <w:spacing w:after="0" w:line="360" w:lineRule="auto"/>
        <w:ind w:left="2159" w:leftChars="228" w:hanging="1680" w:hangingChars="700"/>
        <w:rPr>
          <w:rFonts w:hint="eastAsia" w:ascii="宋体" w:hAnsi="宋体" w:cs="宋体"/>
          <w:color w:val="auto"/>
          <w:sz w:val="24"/>
          <w:highlight w:val="none"/>
        </w:rPr>
      </w:pPr>
      <w:r>
        <w:rPr>
          <w:rFonts w:hint="eastAsia" w:ascii="宋体" w:hAnsi="宋体" w:cs="宋体"/>
          <w:color w:val="auto"/>
          <w:sz w:val="24"/>
          <w:highlight w:val="none"/>
        </w:rPr>
        <w:t>自动记录：设备工作参数日志自动记录功能；</w:t>
      </w:r>
    </w:p>
    <w:p w14:paraId="0350619D">
      <w:pPr>
        <w:pStyle w:val="7"/>
        <w:spacing w:after="0" w:line="360" w:lineRule="auto"/>
        <w:ind w:left="2159" w:leftChars="228" w:hanging="1680" w:hangingChars="700"/>
        <w:rPr>
          <w:rFonts w:hint="eastAsia" w:ascii="宋体" w:hAnsi="宋体" w:cs="宋体"/>
          <w:color w:val="auto"/>
          <w:sz w:val="24"/>
          <w:highlight w:val="none"/>
        </w:rPr>
      </w:pPr>
      <w:r>
        <w:rPr>
          <w:rFonts w:hint="eastAsia" w:ascii="宋体" w:hAnsi="宋体" w:cs="宋体"/>
          <w:color w:val="auto"/>
          <w:sz w:val="24"/>
          <w:highlight w:val="none"/>
        </w:rPr>
        <w:t>权限管理：用户分级管理功能；</w:t>
      </w:r>
    </w:p>
    <w:p w14:paraId="5915271E">
      <w:pPr>
        <w:pStyle w:val="7"/>
        <w:spacing w:after="0" w:line="360" w:lineRule="auto"/>
        <w:ind w:left="2159" w:leftChars="228" w:hanging="1680" w:hangingChars="700"/>
        <w:rPr>
          <w:rFonts w:hint="eastAsia" w:ascii="宋体" w:hAnsi="宋体" w:cs="宋体"/>
          <w:color w:val="auto"/>
          <w:sz w:val="24"/>
          <w:highlight w:val="none"/>
        </w:rPr>
      </w:pPr>
      <w:r>
        <w:rPr>
          <w:rFonts w:hint="eastAsia" w:ascii="宋体" w:hAnsi="宋体" w:cs="宋体"/>
          <w:color w:val="auto"/>
          <w:sz w:val="24"/>
          <w:highlight w:val="none"/>
        </w:rPr>
        <w:t>配方管理：支持多工艺配方进行创建、删除、修改等操作；</w:t>
      </w:r>
    </w:p>
    <w:p w14:paraId="5F064E83">
      <w:pPr>
        <w:pStyle w:val="7"/>
        <w:spacing w:after="0" w:line="360" w:lineRule="auto"/>
        <w:ind w:left="2159" w:leftChars="228" w:hanging="1680" w:hangingChars="700"/>
        <w:rPr>
          <w:rFonts w:hint="eastAsia" w:ascii="宋体" w:hAnsi="宋体" w:cs="宋体"/>
          <w:color w:val="auto"/>
          <w:sz w:val="24"/>
          <w:highlight w:val="none"/>
        </w:rPr>
      </w:pPr>
      <w:r>
        <w:rPr>
          <w:rFonts w:hint="eastAsia" w:ascii="宋体" w:hAnsi="宋体" w:cs="宋体"/>
          <w:color w:val="auto"/>
          <w:sz w:val="24"/>
          <w:highlight w:val="none"/>
        </w:rPr>
        <w:t>参数管理：分级查看、修改工艺参数；</w:t>
      </w:r>
    </w:p>
    <w:p w14:paraId="3E783657">
      <w:pPr>
        <w:pStyle w:val="10"/>
        <w:spacing w:after="0" w:line="360" w:lineRule="auto"/>
        <w:ind w:left="0" w:leftChars="0" w:firstLine="480"/>
        <w:rPr>
          <w:rFonts w:hint="eastAsia" w:ascii="宋体" w:hAnsi="宋体" w:cs="宋体"/>
          <w:color w:val="auto"/>
          <w:sz w:val="24"/>
          <w:highlight w:val="none"/>
        </w:rPr>
      </w:pPr>
      <w:r>
        <w:rPr>
          <w:rFonts w:hint="eastAsia" w:ascii="宋体" w:hAnsi="宋体" w:cs="宋体"/>
          <w:color w:val="auto"/>
          <w:sz w:val="24"/>
          <w:highlight w:val="none"/>
        </w:rPr>
        <w:t>设备维护：重要部件的生命周期管理。</w:t>
      </w:r>
    </w:p>
    <w:p w14:paraId="0179AA09">
      <w:pPr>
        <w:rPr>
          <w:color w:val="auto"/>
          <w:highlight w:val="none"/>
        </w:rPr>
      </w:pPr>
    </w:p>
    <w:p w14:paraId="72D66174">
      <w:pPr>
        <w:widowControl/>
        <w:snapToGrid w:val="0"/>
        <w:spacing w:before="156" w:beforeLines="50" w:line="360" w:lineRule="auto"/>
        <w:rPr>
          <w:b/>
          <w:color w:val="auto"/>
          <w:sz w:val="24"/>
          <w:highlight w:val="none"/>
        </w:rPr>
      </w:pPr>
      <w:r>
        <w:rPr>
          <w:rFonts w:hint="eastAsia"/>
          <w:b/>
          <w:color w:val="auto"/>
          <w:sz w:val="24"/>
          <w:highlight w:val="none"/>
          <w:lang w:val="en-US" w:eastAsia="zh-CN"/>
        </w:rPr>
        <w:t>5</w:t>
      </w:r>
      <w:r>
        <w:rPr>
          <w:b/>
          <w:color w:val="auto"/>
          <w:sz w:val="24"/>
          <w:highlight w:val="none"/>
        </w:rPr>
        <w:t>、配置清单及零配件（包括专用工具）：</w:t>
      </w:r>
    </w:p>
    <w:tbl>
      <w:tblPr>
        <w:tblStyle w:val="8"/>
        <w:tblW w:w="9067" w:type="dxa"/>
        <w:tblInd w:w="0" w:type="dxa"/>
        <w:tblLayout w:type="fixed"/>
        <w:tblCellMar>
          <w:top w:w="0" w:type="dxa"/>
          <w:left w:w="108" w:type="dxa"/>
          <w:bottom w:w="0" w:type="dxa"/>
          <w:right w:w="108" w:type="dxa"/>
        </w:tblCellMar>
      </w:tblPr>
      <w:tblGrid>
        <w:gridCol w:w="950"/>
        <w:gridCol w:w="6122"/>
        <w:gridCol w:w="974"/>
        <w:gridCol w:w="1021"/>
      </w:tblGrid>
      <w:tr w14:paraId="33B448CF">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039878C2">
            <w:pPr>
              <w:widowControl/>
              <w:snapToGrid w:val="0"/>
              <w:spacing w:before="156" w:beforeLines="50" w:line="360" w:lineRule="auto"/>
              <w:jc w:val="center"/>
              <w:rPr>
                <w:b/>
                <w:bCs/>
                <w:color w:val="auto"/>
                <w:sz w:val="24"/>
                <w:highlight w:val="none"/>
              </w:rPr>
            </w:pPr>
            <w:r>
              <w:rPr>
                <w:b/>
                <w:bCs/>
                <w:color w:val="auto"/>
                <w:sz w:val="24"/>
                <w:highlight w:val="none"/>
              </w:rPr>
              <w:t>序号</w:t>
            </w:r>
          </w:p>
        </w:tc>
        <w:tc>
          <w:tcPr>
            <w:tcW w:w="6122" w:type="dxa"/>
            <w:tcBorders>
              <w:top w:val="single" w:color="auto" w:sz="4" w:space="0"/>
              <w:left w:val="nil"/>
              <w:bottom w:val="single" w:color="auto" w:sz="4" w:space="0"/>
              <w:right w:val="single" w:color="auto" w:sz="4" w:space="0"/>
            </w:tcBorders>
            <w:noWrap/>
            <w:vAlign w:val="center"/>
          </w:tcPr>
          <w:p w14:paraId="07179E07">
            <w:pPr>
              <w:widowControl/>
              <w:snapToGrid w:val="0"/>
              <w:spacing w:before="156" w:beforeLines="50" w:line="360" w:lineRule="auto"/>
              <w:jc w:val="center"/>
              <w:rPr>
                <w:b/>
                <w:bCs/>
                <w:color w:val="auto"/>
                <w:sz w:val="24"/>
                <w:highlight w:val="none"/>
              </w:rPr>
            </w:pPr>
            <w:r>
              <w:rPr>
                <w:b/>
                <w:bCs/>
                <w:color w:val="auto"/>
                <w:sz w:val="24"/>
                <w:highlight w:val="none"/>
              </w:rPr>
              <w:t>名称</w:t>
            </w:r>
          </w:p>
        </w:tc>
        <w:tc>
          <w:tcPr>
            <w:tcW w:w="974" w:type="dxa"/>
            <w:tcBorders>
              <w:top w:val="single" w:color="auto" w:sz="4" w:space="0"/>
              <w:left w:val="nil"/>
              <w:bottom w:val="single" w:color="auto" w:sz="4" w:space="0"/>
              <w:right w:val="single" w:color="auto" w:sz="4" w:space="0"/>
            </w:tcBorders>
            <w:noWrap/>
            <w:vAlign w:val="center"/>
          </w:tcPr>
          <w:p w14:paraId="6F9B0D99">
            <w:pPr>
              <w:widowControl/>
              <w:snapToGrid w:val="0"/>
              <w:spacing w:before="156" w:beforeLines="50" w:line="360" w:lineRule="auto"/>
              <w:jc w:val="center"/>
              <w:rPr>
                <w:b/>
                <w:bCs/>
                <w:color w:val="auto"/>
                <w:sz w:val="24"/>
                <w:highlight w:val="none"/>
              </w:rPr>
            </w:pPr>
            <w:r>
              <w:rPr>
                <w:b/>
                <w:bCs/>
                <w:color w:val="auto"/>
                <w:sz w:val="24"/>
                <w:highlight w:val="none"/>
              </w:rPr>
              <w:t>单位</w:t>
            </w:r>
          </w:p>
        </w:tc>
        <w:tc>
          <w:tcPr>
            <w:tcW w:w="1021" w:type="dxa"/>
            <w:tcBorders>
              <w:top w:val="single" w:color="auto" w:sz="4" w:space="0"/>
              <w:left w:val="nil"/>
              <w:bottom w:val="single" w:color="auto" w:sz="4" w:space="0"/>
              <w:right w:val="single" w:color="auto" w:sz="4" w:space="0"/>
            </w:tcBorders>
            <w:noWrap/>
            <w:vAlign w:val="center"/>
          </w:tcPr>
          <w:p w14:paraId="574E8111">
            <w:pPr>
              <w:widowControl/>
              <w:snapToGrid w:val="0"/>
              <w:spacing w:before="156" w:beforeLines="50" w:line="360" w:lineRule="auto"/>
              <w:jc w:val="center"/>
              <w:rPr>
                <w:b/>
                <w:bCs/>
                <w:color w:val="auto"/>
                <w:sz w:val="24"/>
                <w:highlight w:val="none"/>
              </w:rPr>
            </w:pPr>
            <w:r>
              <w:rPr>
                <w:b/>
                <w:bCs/>
                <w:color w:val="auto"/>
                <w:sz w:val="24"/>
                <w:highlight w:val="none"/>
              </w:rPr>
              <w:t>数量</w:t>
            </w:r>
          </w:p>
        </w:tc>
      </w:tr>
      <w:tr w14:paraId="2BECFD11">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157A0B83">
            <w:pPr>
              <w:widowControl/>
              <w:snapToGrid w:val="0"/>
              <w:spacing w:before="156" w:beforeLines="50" w:line="360" w:lineRule="auto"/>
              <w:jc w:val="center"/>
              <w:rPr>
                <w:color w:val="auto"/>
                <w:sz w:val="24"/>
                <w:highlight w:val="none"/>
              </w:rPr>
            </w:pPr>
            <w:r>
              <w:rPr>
                <w:color w:val="auto"/>
                <w:sz w:val="24"/>
                <w:highlight w:val="none"/>
              </w:rPr>
              <w:t>1</w:t>
            </w:r>
          </w:p>
        </w:tc>
        <w:tc>
          <w:tcPr>
            <w:tcW w:w="6122" w:type="dxa"/>
            <w:tcBorders>
              <w:top w:val="single" w:color="auto" w:sz="4" w:space="0"/>
              <w:left w:val="single" w:color="auto" w:sz="4" w:space="0"/>
              <w:bottom w:val="single" w:color="auto" w:sz="4" w:space="0"/>
              <w:right w:val="single" w:color="auto" w:sz="4" w:space="0"/>
            </w:tcBorders>
            <w:noWrap/>
            <w:vAlign w:val="center"/>
          </w:tcPr>
          <w:p w14:paraId="6693A212">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离子刻蚀机主机</w:t>
            </w:r>
          </w:p>
        </w:tc>
        <w:tc>
          <w:tcPr>
            <w:tcW w:w="974" w:type="dxa"/>
            <w:tcBorders>
              <w:top w:val="single" w:color="auto" w:sz="4" w:space="0"/>
              <w:left w:val="single" w:color="auto" w:sz="4" w:space="0"/>
              <w:bottom w:val="single" w:color="auto" w:sz="4" w:space="0"/>
              <w:right w:val="single" w:color="auto" w:sz="4" w:space="0"/>
            </w:tcBorders>
            <w:noWrap/>
            <w:vAlign w:val="center"/>
          </w:tcPr>
          <w:p w14:paraId="6125211B">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套</w:t>
            </w:r>
          </w:p>
        </w:tc>
        <w:tc>
          <w:tcPr>
            <w:tcW w:w="1021" w:type="dxa"/>
            <w:tcBorders>
              <w:top w:val="single" w:color="auto" w:sz="4" w:space="0"/>
              <w:left w:val="single" w:color="auto" w:sz="4" w:space="0"/>
              <w:bottom w:val="single" w:color="auto" w:sz="4" w:space="0"/>
              <w:right w:val="single" w:color="auto" w:sz="4" w:space="0"/>
            </w:tcBorders>
            <w:noWrap/>
            <w:vAlign w:val="center"/>
          </w:tcPr>
          <w:p w14:paraId="617278BD">
            <w:pPr>
              <w:widowControl/>
              <w:snapToGrid w:val="0"/>
              <w:spacing w:before="156" w:beforeLines="50" w:line="360" w:lineRule="auto"/>
              <w:jc w:val="center"/>
              <w:rPr>
                <w:color w:val="auto"/>
                <w:sz w:val="24"/>
                <w:highlight w:val="none"/>
              </w:rPr>
            </w:pPr>
            <w:r>
              <w:rPr>
                <w:color w:val="auto"/>
                <w:sz w:val="24"/>
                <w:highlight w:val="none"/>
              </w:rPr>
              <w:t>1</w:t>
            </w:r>
          </w:p>
        </w:tc>
      </w:tr>
      <w:tr w14:paraId="383C61F5">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53208473">
            <w:pPr>
              <w:widowControl/>
              <w:snapToGrid w:val="0"/>
              <w:spacing w:before="156" w:beforeLines="50" w:line="360" w:lineRule="auto"/>
              <w:jc w:val="center"/>
              <w:rPr>
                <w:color w:val="auto"/>
                <w:sz w:val="24"/>
                <w:highlight w:val="none"/>
              </w:rPr>
            </w:pPr>
            <w:r>
              <w:rPr>
                <w:color w:val="auto"/>
                <w:sz w:val="24"/>
                <w:highlight w:val="none"/>
              </w:rPr>
              <w:t>2</w:t>
            </w:r>
          </w:p>
        </w:tc>
        <w:tc>
          <w:tcPr>
            <w:tcW w:w="6122" w:type="dxa"/>
            <w:tcBorders>
              <w:top w:val="single" w:color="auto" w:sz="4" w:space="0"/>
              <w:left w:val="single" w:color="auto" w:sz="4" w:space="0"/>
              <w:bottom w:val="single" w:color="auto" w:sz="4" w:space="0"/>
              <w:right w:val="single" w:color="auto" w:sz="4" w:space="0"/>
            </w:tcBorders>
            <w:noWrap/>
            <w:vAlign w:val="center"/>
          </w:tcPr>
          <w:p w14:paraId="6646DEA9">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腔体内衬</w:t>
            </w:r>
          </w:p>
        </w:tc>
        <w:tc>
          <w:tcPr>
            <w:tcW w:w="974" w:type="dxa"/>
            <w:tcBorders>
              <w:top w:val="single" w:color="auto" w:sz="4" w:space="0"/>
              <w:left w:val="single" w:color="auto" w:sz="4" w:space="0"/>
              <w:bottom w:val="single" w:color="auto" w:sz="4" w:space="0"/>
              <w:right w:val="single" w:color="auto" w:sz="4" w:space="0"/>
            </w:tcBorders>
            <w:noWrap/>
            <w:vAlign w:val="center"/>
          </w:tcPr>
          <w:p w14:paraId="3167D7C8">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套</w:t>
            </w:r>
          </w:p>
        </w:tc>
        <w:tc>
          <w:tcPr>
            <w:tcW w:w="1021" w:type="dxa"/>
            <w:tcBorders>
              <w:top w:val="single" w:color="auto" w:sz="4" w:space="0"/>
              <w:left w:val="single" w:color="auto" w:sz="4" w:space="0"/>
              <w:bottom w:val="single" w:color="auto" w:sz="4" w:space="0"/>
              <w:right w:val="single" w:color="auto" w:sz="4" w:space="0"/>
            </w:tcBorders>
            <w:noWrap/>
            <w:vAlign w:val="center"/>
          </w:tcPr>
          <w:p w14:paraId="32E3EB9D">
            <w:pPr>
              <w:widowControl/>
              <w:snapToGrid w:val="0"/>
              <w:spacing w:before="156" w:beforeLines="50" w:line="360" w:lineRule="auto"/>
              <w:jc w:val="center"/>
              <w:rPr>
                <w:rFonts w:hint="eastAsia"/>
                <w:color w:val="auto"/>
                <w:sz w:val="24"/>
                <w:highlight w:val="none"/>
              </w:rPr>
            </w:pPr>
            <w:r>
              <w:rPr>
                <w:rFonts w:hint="eastAsia"/>
                <w:color w:val="auto"/>
                <w:sz w:val="24"/>
                <w:highlight w:val="none"/>
              </w:rPr>
              <w:t>2</w:t>
            </w:r>
          </w:p>
        </w:tc>
      </w:tr>
      <w:tr w14:paraId="19CB9068">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776B8B72">
            <w:pPr>
              <w:widowControl/>
              <w:snapToGrid w:val="0"/>
              <w:spacing w:before="156" w:beforeLines="50" w:line="360" w:lineRule="auto"/>
              <w:jc w:val="center"/>
              <w:rPr>
                <w:color w:val="auto"/>
                <w:sz w:val="24"/>
                <w:highlight w:val="none"/>
              </w:rPr>
            </w:pPr>
            <w:r>
              <w:rPr>
                <w:color w:val="auto"/>
                <w:sz w:val="24"/>
                <w:highlight w:val="none"/>
              </w:rPr>
              <w:t>3</w:t>
            </w:r>
          </w:p>
        </w:tc>
        <w:tc>
          <w:tcPr>
            <w:tcW w:w="6122" w:type="dxa"/>
            <w:tcBorders>
              <w:top w:val="single" w:color="auto" w:sz="4" w:space="0"/>
              <w:left w:val="single" w:color="auto" w:sz="4" w:space="0"/>
              <w:bottom w:val="single" w:color="auto" w:sz="4" w:space="0"/>
              <w:right w:val="single" w:color="auto" w:sz="4" w:space="0"/>
            </w:tcBorders>
            <w:noWrap/>
            <w:vAlign w:val="center"/>
          </w:tcPr>
          <w:p w14:paraId="71163128">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干泵</w:t>
            </w:r>
          </w:p>
        </w:tc>
        <w:tc>
          <w:tcPr>
            <w:tcW w:w="974" w:type="dxa"/>
            <w:tcBorders>
              <w:top w:val="single" w:color="auto" w:sz="4" w:space="0"/>
              <w:left w:val="single" w:color="auto" w:sz="4" w:space="0"/>
              <w:bottom w:val="single" w:color="auto" w:sz="4" w:space="0"/>
              <w:right w:val="single" w:color="auto" w:sz="4" w:space="0"/>
            </w:tcBorders>
            <w:noWrap/>
            <w:vAlign w:val="center"/>
          </w:tcPr>
          <w:p w14:paraId="48FE0A11">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台</w:t>
            </w:r>
          </w:p>
        </w:tc>
        <w:tc>
          <w:tcPr>
            <w:tcW w:w="1021" w:type="dxa"/>
            <w:tcBorders>
              <w:top w:val="single" w:color="auto" w:sz="4" w:space="0"/>
              <w:left w:val="single" w:color="auto" w:sz="4" w:space="0"/>
              <w:bottom w:val="single" w:color="auto" w:sz="4" w:space="0"/>
              <w:right w:val="single" w:color="auto" w:sz="4" w:space="0"/>
            </w:tcBorders>
            <w:noWrap/>
            <w:vAlign w:val="center"/>
          </w:tcPr>
          <w:p w14:paraId="72F24DAD">
            <w:pPr>
              <w:widowControl/>
              <w:snapToGrid w:val="0"/>
              <w:spacing w:before="156" w:beforeLines="50" w:line="360" w:lineRule="auto"/>
              <w:jc w:val="center"/>
              <w:rPr>
                <w:color w:val="auto"/>
                <w:sz w:val="24"/>
                <w:highlight w:val="none"/>
              </w:rPr>
            </w:pPr>
            <w:r>
              <w:rPr>
                <w:color w:val="auto"/>
                <w:sz w:val="24"/>
                <w:highlight w:val="none"/>
              </w:rPr>
              <w:t>1</w:t>
            </w:r>
          </w:p>
        </w:tc>
      </w:tr>
      <w:tr w14:paraId="5AA8EAB0">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517E7497">
            <w:pPr>
              <w:widowControl/>
              <w:snapToGrid w:val="0"/>
              <w:spacing w:before="156" w:beforeLines="50" w:line="360" w:lineRule="auto"/>
              <w:jc w:val="center"/>
              <w:rPr>
                <w:color w:val="auto"/>
                <w:sz w:val="24"/>
                <w:highlight w:val="none"/>
              </w:rPr>
            </w:pPr>
            <w:r>
              <w:rPr>
                <w:color w:val="auto"/>
                <w:sz w:val="24"/>
                <w:highlight w:val="none"/>
              </w:rPr>
              <w:t>4</w:t>
            </w:r>
          </w:p>
        </w:tc>
        <w:tc>
          <w:tcPr>
            <w:tcW w:w="6122" w:type="dxa"/>
            <w:tcBorders>
              <w:top w:val="single" w:color="auto" w:sz="4" w:space="0"/>
              <w:left w:val="single" w:color="auto" w:sz="4" w:space="0"/>
              <w:bottom w:val="single" w:color="auto" w:sz="4" w:space="0"/>
              <w:right w:val="single" w:color="auto" w:sz="4" w:space="0"/>
            </w:tcBorders>
            <w:noWrap/>
            <w:vAlign w:val="center"/>
          </w:tcPr>
          <w:p w14:paraId="3561267B">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水冷机</w:t>
            </w:r>
          </w:p>
        </w:tc>
        <w:tc>
          <w:tcPr>
            <w:tcW w:w="974" w:type="dxa"/>
            <w:tcBorders>
              <w:top w:val="single" w:color="auto" w:sz="4" w:space="0"/>
              <w:left w:val="single" w:color="auto" w:sz="4" w:space="0"/>
              <w:bottom w:val="single" w:color="auto" w:sz="4" w:space="0"/>
              <w:right w:val="single" w:color="auto" w:sz="4" w:space="0"/>
            </w:tcBorders>
            <w:noWrap/>
            <w:vAlign w:val="center"/>
          </w:tcPr>
          <w:p w14:paraId="5A88AB74">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台</w:t>
            </w:r>
          </w:p>
        </w:tc>
        <w:tc>
          <w:tcPr>
            <w:tcW w:w="1021" w:type="dxa"/>
            <w:tcBorders>
              <w:top w:val="single" w:color="auto" w:sz="4" w:space="0"/>
              <w:left w:val="single" w:color="auto" w:sz="4" w:space="0"/>
              <w:bottom w:val="single" w:color="auto" w:sz="4" w:space="0"/>
              <w:right w:val="single" w:color="auto" w:sz="4" w:space="0"/>
            </w:tcBorders>
            <w:noWrap/>
            <w:vAlign w:val="center"/>
          </w:tcPr>
          <w:p w14:paraId="03DEA3B7">
            <w:pPr>
              <w:widowControl/>
              <w:snapToGrid w:val="0"/>
              <w:spacing w:before="156" w:beforeLines="50" w:line="360" w:lineRule="auto"/>
              <w:jc w:val="center"/>
              <w:rPr>
                <w:rFonts w:hint="eastAsia"/>
                <w:color w:val="auto"/>
                <w:sz w:val="24"/>
                <w:highlight w:val="none"/>
              </w:rPr>
            </w:pPr>
            <w:r>
              <w:rPr>
                <w:rFonts w:hint="eastAsia"/>
                <w:color w:val="auto"/>
                <w:sz w:val="24"/>
                <w:highlight w:val="none"/>
              </w:rPr>
              <w:t>1</w:t>
            </w:r>
          </w:p>
        </w:tc>
      </w:tr>
      <w:tr w14:paraId="0A92D507">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26D5AB5A">
            <w:pPr>
              <w:widowControl/>
              <w:snapToGrid w:val="0"/>
              <w:spacing w:before="156" w:beforeLines="50" w:line="360" w:lineRule="auto"/>
              <w:jc w:val="center"/>
              <w:rPr>
                <w:color w:val="auto"/>
                <w:sz w:val="24"/>
                <w:highlight w:val="none"/>
              </w:rPr>
            </w:pPr>
            <w:r>
              <w:rPr>
                <w:color w:val="auto"/>
                <w:sz w:val="24"/>
                <w:highlight w:val="none"/>
              </w:rPr>
              <w:t>5</w:t>
            </w:r>
          </w:p>
        </w:tc>
        <w:tc>
          <w:tcPr>
            <w:tcW w:w="6122" w:type="dxa"/>
            <w:tcBorders>
              <w:top w:val="single" w:color="auto" w:sz="4" w:space="0"/>
              <w:left w:val="single" w:color="auto" w:sz="4" w:space="0"/>
              <w:bottom w:val="single" w:color="auto" w:sz="4" w:space="0"/>
              <w:right w:val="single" w:color="auto" w:sz="4" w:space="0"/>
            </w:tcBorders>
            <w:noWrap/>
            <w:vAlign w:val="center"/>
          </w:tcPr>
          <w:p w14:paraId="3C589F3D">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分子泵</w:t>
            </w:r>
          </w:p>
        </w:tc>
        <w:tc>
          <w:tcPr>
            <w:tcW w:w="974" w:type="dxa"/>
            <w:tcBorders>
              <w:top w:val="single" w:color="auto" w:sz="4" w:space="0"/>
              <w:left w:val="single" w:color="auto" w:sz="4" w:space="0"/>
              <w:bottom w:val="single" w:color="auto" w:sz="4" w:space="0"/>
              <w:right w:val="single" w:color="auto" w:sz="4" w:space="0"/>
            </w:tcBorders>
            <w:noWrap/>
            <w:vAlign w:val="center"/>
          </w:tcPr>
          <w:p w14:paraId="256D9117">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台</w:t>
            </w:r>
          </w:p>
        </w:tc>
        <w:tc>
          <w:tcPr>
            <w:tcW w:w="1021" w:type="dxa"/>
            <w:tcBorders>
              <w:top w:val="single" w:color="auto" w:sz="4" w:space="0"/>
              <w:left w:val="single" w:color="auto" w:sz="4" w:space="0"/>
              <w:bottom w:val="single" w:color="auto" w:sz="4" w:space="0"/>
              <w:right w:val="single" w:color="auto" w:sz="4" w:space="0"/>
            </w:tcBorders>
            <w:noWrap/>
            <w:vAlign w:val="center"/>
          </w:tcPr>
          <w:p w14:paraId="24770951">
            <w:pPr>
              <w:widowControl/>
              <w:snapToGrid w:val="0"/>
              <w:spacing w:before="156" w:beforeLines="50" w:line="360" w:lineRule="auto"/>
              <w:jc w:val="center"/>
              <w:rPr>
                <w:color w:val="auto"/>
                <w:sz w:val="24"/>
                <w:highlight w:val="none"/>
              </w:rPr>
            </w:pPr>
            <w:r>
              <w:rPr>
                <w:color w:val="auto"/>
                <w:sz w:val="24"/>
                <w:highlight w:val="none"/>
              </w:rPr>
              <w:t>1</w:t>
            </w:r>
          </w:p>
        </w:tc>
      </w:tr>
      <w:tr w14:paraId="42863CC5">
        <w:tblPrEx>
          <w:tblCellMar>
            <w:top w:w="0" w:type="dxa"/>
            <w:left w:w="108" w:type="dxa"/>
            <w:bottom w:w="0" w:type="dxa"/>
            <w:right w:w="108" w:type="dxa"/>
          </w:tblCellMar>
        </w:tblPrEx>
        <w:trPr>
          <w:trHeight w:val="280"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2D32729C">
            <w:pPr>
              <w:widowControl/>
              <w:snapToGrid w:val="0"/>
              <w:spacing w:before="156" w:beforeLines="50" w:line="360" w:lineRule="auto"/>
              <w:jc w:val="center"/>
              <w:rPr>
                <w:color w:val="auto"/>
                <w:sz w:val="24"/>
                <w:highlight w:val="none"/>
              </w:rPr>
            </w:pPr>
            <w:r>
              <w:rPr>
                <w:rFonts w:hint="eastAsia"/>
                <w:color w:val="auto"/>
                <w:sz w:val="24"/>
                <w:highlight w:val="none"/>
              </w:rPr>
              <w:t>6</w:t>
            </w:r>
          </w:p>
        </w:tc>
        <w:tc>
          <w:tcPr>
            <w:tcW w:w="6122" w:type="dxa"/>
            <w:tcBorders>
              <w:top w:val="single" w:color="auto" w:sz="4" w:space="0"/>
              <w:left w:val="single" w:color="auto" w:sz="4" w:space="0"/>
              <w:bottom w:val="single" w:color="auto" w:sz="4" w:space="0"/>
              <w:right w:val="single" w:color="auto" w:sz="4" w:space="0"/>
            </w:tcBorders>
            <w:noWrap/>
            <w:vAlign w:val="center"/>
          </w:tcPr>
          <w:p w14:paraId="4FDC51DD">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预真空室干泵</w:t>
            </w:r>
          </w:p>
        </w:tc>
        <w:tc>
          <w:tcPr>
            <w:tcW w:w="974" w:type="dxa"/>
            <w:tcBorders>
              <w:top w:val="single" w:color="auto" w:sz="4" w:space="0"/>
              <w:left w:val="single" w:color="auto" w:sz="4" w:space="0"/>
              <w:bottom w:val="single" w:color="auto" w:sz="4" w:space="0"/>
              <w:right w:val="single" w:color="auto" w:sz="4" w:space="0"/>
            </w:tcBorders>
            <w:noWrap/>
            <w:vAlign w:val="center"/>
          </w:tcPr>
          <w:p w14:paraId="1BDC4091">
            <w:pPr>
              <w:widowControl/>
              <w:snapToGrid w:val="0"/>
              <w:spacing w:before="156" w:beforeLines="50" w:line="360" w:lineRule="auto"/>
              <w:jc w:val="center"/>
              <w:rPr>
                <w:color w:val="auto"/>
                <w:sz w:val="24"/>
                <w:highlight w:val="none"/>
              </w:rPr>
            </w:pPr>
            <w:r>
              <w:rPr>
                <w:rFonts w:hint="eastAsia" w:ascii="宋体" w:hAnsi="宋体"/>
                <w:color w:val="auto"/>
                <w:sz w:val="24"/>
                <w:highlight w:val="none"/>
              </w:rPr>
              <w:t>台</w:t>
            </w:r>
          </w:p>
        </w:tc>
        <w:tc>
          <w:tcPr>
            <w:tcW w:w="1021" w:type="dxa"/>
            <w:tcBorders>
              <w:top w:val="single" w:color="auto" w:sz="4" w:space="0"/>
              <w:left w:val="single" w:color="auto" w:sz="4" w:space="0"/>
              <w:bottom w:val="single" w:color="auto" w:sz="4" w:space="0"/>
              <w:right w:val="single" w:color="auto" w:sz="4" w:space="0"/>
            </w:tcBorders>
            <w:noWrap/>
            <w:vAlign w:val="center"/>
          </w:tcPr>
          <w:p w14:paraId="2091F4C8">
            <w:pPr>
              <w:widowControl/>
              <w:snapToGrid w:val="0"/>
              <w:spacing w:before="156" w:beforeLines="50" w:line="360" w:lineRule="auto"/>
              <w:jc w:val="center"/>
              <w:rPr>
                <w:rFonts w:hint="eastAsia"/>
                <w:color w:val="auto"/>
                <w:sz w:val="24"/>
                <w:highlight w:val="none"/>
              </w:rPr>
            </w:pPr>
            <w:r>
              <w:rPr>
                <w:rFonts w:hint="eastAsia"/>
                <w:color w:val="auto"/>
                <w:sz w:val="24"/>
                <w:highlight w:val="none"/>
              </w:rPr>
              <w:t>1</w:t>
            </w:r>
          </w:p>
        </w:tc>
      </w:tr>
      <w:tr w14:paraId="3764F919">
        <w:tblPrEx>
          <w:tblCellMar>
            <w:top w:w="0" w:type="dxa"/>
            <w:left w:w="108" w:type="dxa"/>
            <w:bottom w:w="0" w:type="dxa"/>
            <w:right w:w="108" w:type="dxa"/>
          </w:tblCellMar>
        </w:tblPrEx>
        <w:trPr>
          <w:trHeight w:val="765" w:hRule="atLeast"/>
        </w:trPr>
        <w:tc>
          <w:tcPr>
            <w:tcW w:w="950" w:type="dxa"/>
            <w:tcBorders>
              <w:top w:val="single" w:color="auto" w:sz="4" w:space="0"/>
              <w:left w:val="single" w:color="auto" w:sz="4" w:space="0"/>
              <w:bottom w:val="single" w:color="auto" w:sz="4" w:space="0"/>
              <w:right w:val="single" w:color="auto" w:sz="4" w:space="0"/>
            </w:tcBorders>
            <w:noWrap/>
            <w:vAlign w:val="center"/>
          </w:tcPr>
          <w:p w14:paraId="25146DF3">
            <w:pPr>
              <w:widowControl/>
              <w:snapToGrid w:val="0"/>
              <w:spacing w:before="156" w:beforeLines="50" w:line="360" w:lineRule="auto"/>
              <w:jc w:val="center"/>
              <w:rPr>
                <w:rFonts w:hint="eastAsia"/>
                <w:color w:val="auto"/>
                <w:sz w:val="24"/>
                <w:highlight w:val="none"/>
              </w:rPr>
            </w:pPr>
            <w:r>
              <w:rPr>
                <w:rFonts w:hint="eastAsia"/>
                <w:color w:val="auto"/>
                <w:sz w:val="24"/>
                <w:highlight w:val="none"/>
              </w:rPr>
              <w:t>7</w:t>
            </w:r>
          </w:p>
        </w:tc>
        <w:tc>
          <w:tcPr>
            <w:tcW w:w="6122" w:type="dxa"/>
            <w:tcBorders>
              <w:top w:val="single" w:color="auto" w:sz="4" w:space="0"/>
              <w:left w:val="single" w:color="auto" w:sz="4" w:space="0"/>
              <w:bottom w:val="single" w:color="auto" w:sz="4" w:space="0"/>
              <w:right w:val="single" w:color="auto" w:sz="4" w:space="0"/>
            </w:tcBorders>
            <w:noWrap/>
            <w:vAlign w:val="center"/>
          </w:tcPr>
          <w:p w14:paraId="51B31A85">
            <w:pPr>
              <w:widowControl/>
              <w:snapToGrid w:val="0"/>
              <w:spacing w:before="156" w:beforeLines="50" w:line="360" w:lineRule="auto"/>
              <w:jc w:val="center"/>
              <w:rPr>
                <w:rFonts w:hint="eastAsia"/>
                <w:color w:val="auto"/>
                <w:sz w:val="24"/>
                <w:highlight w:val="none"/>
              </w:rPr>
            </w:pPr>
            <w:r>
              <w:rPr>
                <w:rFonts w:hint="eastAsia" w:ascii="宋体" w:hAnsi="宋体"/>
                <w:color w:val="auto"/>
                <w:sz w:val="24"/>
                <w:highlight w:val="none"/>
              </w:rPr>
              <w:t>备品备件、耗材及专用工具：腔室换洗内衬、离子源换洗部件、观察窗及观察窗挡板、密封圈、铜垫以及专用工具</w:t>
            </w:r>
          </w:p>
        </w:tc>
        <w:tc>
          <w:tcPr>
            <w:tcW w:w="974" w:type="dxa"/>
            <w:tcBorders>
              <w:top w:val="single" w:color="auto" w:sz="4" w:space="0"/>
              <w:left w:val="single" w:color="auto" w:sz="4" w:space="0"/>
              <w:bottom w:val="single" w:color="auto" w:sz="4" w:space="0"/>
              <w:right w:val="single" w:color="auto" w:sz="4" w:space="0"/>
            </w:tcBorders>
            <w:noWrap/>
            <w:vAlign w:val="center"/>
          </w:tcPr>
          <w:p w14:paraId="3C5A613E">
            <w:pPr>
              <w:widowControl/>
              <w:snapToGrid w:val="0"/>
              <w:spacing w:before="156" w:beforeLines="50" w:line="360" w:lineRule="auto"/>
              <w:jc w:val="center"/>
              <w:rPr>
                <w:rFonts w:hint="eastAsia"/>
                <w:color w:val="auto"/>
                <w:sz w:val="24"/>
                <w:highlight w:val="none"/>
              </w:rPr>
            </w:pPr>
            <w:r>
              <w:rPr>
                <w:rFonts w:hint="eastAsia" w:ascii="宋体" w:hAnsi="宋体"/>
                <w:color w:val="auto"/>
                <w:sz w:val="24"/>
                <w:highlight w:val="none"/>
              </w:rPr>
              <w:t>套</w:t>
            </w:r>
          </w:p>
        </w:tc>
        <w:tc>
          <w:tcPr>
            <w:tcW w:w="1021" w:type="dxa"/>
            <w:tcBorders>
              <w:top w:val="single" w:color="auto" w:sz="4" w:space="0"/>
              <w:left w:val="single" w:color="auto" w:sz="4" w:space="0"/>
              <w:bottom w:val="single" w:color="auto" w:sz="4" w:space="0"/>
              <w:right w:val="single" w:color="auto" w:sz="4" w:space="0"/>
            </w:tcBorders>
            <w:noWrap/>
            <w:vAlign w:val="center"/>
          </w:tcPr>
          <w:p w14:paraId="5F080FC6">
            <w:pPr>
              <w:widowControl/>
              <w:snapToGrid w:val="0"/>
              <w:spacing w:before="156" w:beforeLines="50" w:line="360" w:lineRule="auto"/>
              <w:jc w:val="center"/>
              <w:rPr>
                <w:rFonts w:hint="eastAsia"/>
                <w:color w:val="auto"/>
                <w:sz w:val="24"/>
                <w:highlight w:val="none"/>
              </w:rPr>
            </w:pPr>
            <w:r>
              <w:rPr>
                <w:rFonts w:hint="eastAsia"/>
                <w:color w:val="auto"/>
                <w:sz w:val="24"/>
                <w:highlight w:val="none"/>
              </w:rPr>
              <w:t>1</w:t>
            </w:r>
          </w:p>
        </w:tc>
      </w:tr>
    </w:tbl>
    <w:p w14:paraId="47744D58">
      <w:pPr>
        <w:pStyle w:val="2"/>
        <w:spacing w:before="0" w:after="0" w:line="240" w:lineRule="auto"/>
        <w:rPr>
          <w:color w:val="auto"/>
          <w:highlight w:val="none"/>
        </w:rPr>
      </w:pPr>
    </w:p>
    <w:p w14:paraId="685A6944">
      <w:pPr>
        <w:rPr>
          <w:color w:val="auto"/>
          <w:highlight w:val="none"/>
        </w:rPr>
      </w:pPr>
    </w:p>
    <w:p w14:paraId="7B31EFC2">
      <w:pPr>
        <w:rPr>
          <w:b/>
          <w:color w:val="auto"/>
          <w:sz w:val="24"/>
          <w:highlight w:val="none"/>
        </w:rPr>
      </w:pPr>
      <w:r>
        <w:rPr>
          <w:b/>
          <w:color w:val="auto"/>
          <w:sz w:val="24"/>
          <w:highlight w:val="none"/>
        </w:rPr>
        <w:t>（</w:t>
      </w:r>
      <w:r>
        <w:rPr>
          <w:rFonts w:hint="eastAsia"/>
          <w:b/>
          <w:color w:val="auto"/>
          <w:sz w:val="24"/>
          <w:highlight w:val="none"/>
        </w:rPr>
        <w:t>二</w:t>
      </w:r>
      <w:r>
        <w:rPr>
          <w:b/>
          <w:color w:val="auto"/>
          <w:sz w:val="24"/>
          <w:highlight w:val="none"/>
        </w:rPr>
        <w:t>）</w:t>
      </w:r>
      <w:r>
        <w:rPr>
          <w:rFonts w:hint="eastAsia"/>
          <w:b/>
          <w:color w:val="auto"/>
          <w:sz w:val="24"/>
          <w:highlight w:val="none"/>
        </w:rPr>
        <w:t>商务</w:t>
      </w:r>
      <w:r>
        <w:rPr>
          <w:b/>
          <w:color w:val="auto"/>
          <w:sz w:val="24"/>
          <w:highlight w:val="none"/>
        </w:rPr>
        <w:t>要求：</w:t>
      </w:r>
    </w:p>
    <w:p w14:paraId="4ACFB997">
      <w:pPr>
        <w:pStyle w:val="6"/>
        <w:rPr>
          <w:rFonts w:hint="eastAsia"/>
          <w:color w:val="auto"/>
          <w:highlight w:val="none"/>
        </w:rPr>
      </w:pPr>
    </w:p>
    <w:p w14:paraId="79A9A966">
      <w:pPr>
        <w:widowControl/>
        <w:tabs>
          <w:tab w:val="left" w:pos="8010"/>
        </w:tabs>
        <w:spacing w:before="156" w:beforeLines="50" w:line="360" w:lineRule="auto"/>
        <w:rPr>
          <w:b/>
          <w:color w:val="auto"/>
          <w:sz w:val="24"/>
          <w:highlight w:val="none"/>
        </w:rPr>
      </w:pPr>
      <w:r>
        <w:rPr>
          <w:b/>
          <w:color w:val="auto"/>
          <w:sz w:val="24"/>
          <w:highlight w:val="none"/>
        </w:rPr>
        <w:t xml:space="preserve">1. </w:t>
      </w:r>
      <w:r>
        <w:rPr>
          <w:rFonts w:hint="eastAsia"/>
          <w:b/>
          <w:color w:val="auto"/>
          <w:sz w:val="24"/>
          <w:highlight w:val="none"/>
        </w:rPr>
        <w:t>技术资料和配套要求</w:t>
      </w:r>
      <w:r>
        <w:rPr>
          <w:b/>
          <w:color w:val="auto"/>
          <w:sz w:val="24"/>
          <w:highlight w:val="none"/>
        </w:rPr>
        <w:t>：</w:t>
      </w:r>
    </w:p>
    <w:p w14:paraId="3B0D6741">
      <w:pPr>
        <w:tabs>
          <w:tab w:val="left" w:pos="420"/>
          <w:tab w:val="bar" w:pos="11340"/>
        </w:tabs>
        <w:spacing w:line="360" w:lineRule="auto"/>
        <w:ind w:firstLine="480" w:firstLineChars="200"/>
        <w:rPr>
          <w:color w:val="auto"/>
          <w:sz w:val="24"/>
          <w:highlight w:val="none"/>
        </w:rPr>
      </w:pPr>
      <w:r>
        <w:rPr>
          <w:rFonts w:hint="eastAsia"/>
          <w:color w:val="auto"/>
          <w:sz w:val="24"/>
          <w:highlight w:val="none"/>
        </w:rPr>
        <w:t>供应商应提供1套完整的技术资料，包括所有方案中提到的设备和控制软件的相关技术资料，主要有操作手册、维护手册、安装手册等，全套手册必须可在设备操作界面上实时方便查阅，并可以使用关键字检索。</w:t>
      </w:r>
    </w:p>
    <w:p w14:paraId="057503E6">
      <w:pPr>
        <w:widowControl/>
        <w:tabs>
          <w:tab w:val="left" w:pos="8010"/>
        </w:tabs>
        <w:spacing w:before="156" w:beforeLines="50" w:line="360" w:lineRule="auto"/>
        <w:rPr>
          <w:b/>
          <w:color w:val="auto"/>
          <w:sz w:val="24"/>
          <w:highlight w:val="none"/>
        </w:rPr>
      </w:pPr>
      <w:r>
        <w:rPr>
          <w:b/>
          <w:color w:val="auto"/>
          <w:sz w:val="24"/>
          <w:highlight w:val="none"/>
        </w:rPr>
        <w:t>2.</w:t>
      </w:r>
      <w:r>
        <w:rPr>
          <w:rFonts w:hint="eastAsia"/>
          <w:b/>
          <w:color w:val="auto"/>
          <w:sz w:val="24"/>
          <w:highlight w:val="none"/>
        </w:rPr>
        <w:t xml:space="preserve"> </w:t>
      </w:r>
      <w:r>
        <w:rPr>
          <w:b/>
          <w:color w:val="auto"/>
          <w:sz w:val="24"/>
          <w:highlight w:val="none"/>
        </w:rPr>
        <w:t>安装、调试及验收要求：</w:t>
      </w:r>
    </w:p>
    <w:p w14:paraId="02F5BB3B">
      <w:pPr>
        <w:tabs>
          <w:tab w:val="left" w:pos="420"/>
          <w:tab w:val="bar" w:pos="11340"/>
        </w:tabs>
        <w:spacing w:line="360" w:lineRule="auto"/>
        <w:rPr>
          <w:color w:val="auto"/>
          <w:sz w:val="24"/>
          <w:highlight w:val="none"/>
        </w:rPr>
      </w:pPr>
      <w:r>
        <w:rPr>
          <w:color w:val="auto"/>
          <w:sz w:val="24"/>
          <w:highlight w:val="none"/>
        </w:rPr>
        <w:t>2.1 出厂检验报告：供应商在设备发货前提供到用户，或随设备发货提供到用户。</w:t>
      </w:r>
    </w:p>
    <w:p w14:paraId="6E5ADDD9">
      <w:pPr>
        <w:tabs>
          <w:tab w:val="left" w:pos="420"/>
          <w:tab w:val="bar" w:pos="11340"/>
        </w:tabs>
        <w:spacing w:line="360" w:lineRule="auto"/>
        <w:rPr>
          <w:color w:val="auto"/>
          <w:sz w:val="24"/>
          <w:highlight w:val="none"/>
        </w:rPr>
      </w:pPr>
      <w:r>
        <w:rPr>
          <w:color w:val="auto"/>
          <w:sz w:val="24"/>
          <w:highlight w:val="none"/>
        </w:rPr>
        <w:t>2.2 设备检查和清点：</w:t>
      </w:r>
    </w:p>
    <w:p w14:paraId="118AB23F">
      <w:pPr>
        <w:tabs>
          <w:tab w:val="left" w:pos="420"/>
          <w:tab w:val="bar" w:pos="11340"/>
        </w:tabs>
        <w:spacing w:line="360" w:lineRule="auto"/>
        <w:ind w:firstLine="480" w:firstLineChars="200"/>
        <w:rPr>
          <w:color w:val="auto"/>
          <w:sz w:val="24"/>
          <w:highlight w:val="none"/>
        </w:rPr>
      </w:pPr>
      <w:r>
        <w:rPr>
          <w:color w:val="auto"/>
          <w:sz w:val="24"/>
          <w:highlight w:val="none"/>
        </w:rPr>
        <w:t>设备到达现场后，双方一起根据合同清单对设备进行开箱检查和清点，并形成经双方认可的记录。如供应商届时不派人来，则验收结果应以用户的清点记录为最终结果。发现短缺、破损，用户有权要求供应商立即补发和负责更换。</w:t>
      </w:r>
    </w:p>
    <w:p w14:paraId="46180B39">
      <w:pPr>
        <w:tabs>
          <w:tab w:val="left" w:pos="420"/>
          <w:tab w:val="bar" w:pos="11340"/>
        </w:tabs>
        <w:spacing w:line="360" w:lineRule="auto"/>
        <w:rPr>
          <w:color w:val="auto"/>
          <w:sz w:val="24"/>
          <w:highlight w:val="none"/>
        </w:rPr>
      </w:pPr>
      <w:r>
        <w:rPr>
          <w:color w:val="auto"/>
          <w:sz w:val="24"/>
          <w:highlight w:val="none"/>
        </w:rPr>
        <w:t>2.3 设备现场安装：</w:t>
      </w:r>
    </w:p>
    <w:p w14:paraId="6B054F91">
      <w:pPr>
        <w:tabs>
          <w:tab w:val="left" w:pos="420"/>
          <w:tab w:val="bar" w:pos="11340"/>
        </w:tabs>
        <w:spacing w:line="360" w:lineRule="auto"/>
        <w:ind w:firstLine="480" w:firstLineChars="200"/>
        <w:rPr>
          <w:rFonts w:hint="eastAsia"/>
          <w:color w:val="auto"/>
          <w:sz w:val="24"/>
          <w:highlight w:val="none"/>
        </w:rPr>
      </w:pPr>
      <w:r>
        <w:rPr>
          <w:rFonts w:hint="eastAsia"/>
          <w:color w:val="auto"/>
          <w:sz w:val="24"/>
          <w:highlight w:val="none"/>
        </w:rPr>
        <w:t>现场安装应在设备检查、清点合格后开始。设备安装前，设备供应商应根据用户现场条件设计安装方案，并经用户认可。供应商免费提供设备安装、调试、试运行所需水电气连接等安装过程配套条件。用户方派相关人员给与配合，并负责提供设备安装过程所需的配套条件；设备安装、调试时间由设备供应商和用户方协商确定。</w:t>
      </w:r>
    </w:p>
    <w:p w14:paraId="471F0CED">
      <w:pPr>
        <w:tabs>
          <w:tab w:val="left" w:pos="420"/>
          <w:tab w:val="bar" w:pos="11340"/>
        </w:tabs>
        <w:spacing w:line="360" w:lineRule="auto"/>
        <w:ind w:firstLine="480" w:firstLineChars="200"/>
        <w:rPr>
          <w:color w:val="auto"/>
          <w:sz w:val="24"/>
          <w:highlight w:val="none"/>
        </w:rPr>
      </w:pPr>
      <w:r>
        <w:rPr>
          <w:rFonts w:hint="eastAsia"/>
          <w:color w:val="auto"/>
          <w:sz w:val="24"/>
          <w:highlight w:val="none"/>
        </w:rPr>
        <w:t>设备安装、调试开始后，应在4周内完成；如遇不可抗力原因需延长设备安装、调试时间，应由设备供应商和用户协商确定。</w:t>
      </w:r>
    </w:p>
    <w:p w14:paraId="28B09706">
      <w:pPr>
        <w:tabs>
          <w:tab w:val="left" w:pos="420"/>
          <w:tab w:val="bar" w:pos="11340"/>
        </w:tabs>
        <w:spacing w:line="360" w:lineRule="auto"/>
        <w:rPr>
          <w:rFonts w:hint="eastAsia"/>
          <w:color w:val="auto"/>
          <w:sz w:val="24"/>
          <w:highlight w:val="none"/>
        </w:rPr>
      </w:pPr>
      <w:r>
        <w:rPr>
          <w:rFonts w:hint="eastAsia"/>
          <w:color w:val="auto"/>
          <w:sz w:val="24"/>
          <w:highlight w:val="none"/>
        </w:rPr>
        <w:t>2.4双方在设备安装调试后进行验收,时间由设备供应商和用户协商确定；验收标准以供应商提供的投标文件中所列的指标为准（该指标应不低于采购文件所要求的指标）。任何虚假指标响应一经发现即作废标，供应商必须承担由此给采购人带来的一切经济损失和其它相关责任。</w:t>
      </w:r>
    </w:p>
    <w:p w14:paraId="5BD204F9">
      <w:pPr>
        <w:tabs>
          <w:tab w:val="left" w:pos="420"/>
          <w:tab w:val="bar" w:pos="11340"/>
        </w:tabs>
        <w:spacing w:line="360" w:lineRule="auto"/>
        <w:ind w:firstLine="480" w:firstLineChars="200"/>
        <w:rPr>
          <w:color w:val="auto"/>
          <w:sz w:val="24"/>
          <w:highlight w:val="none"/>
        </w:rPr>
      </w:pPr>
      <w:r>
        <w:rPr>
          <w:rFonts w:hint="eastAsia"/>
          <w:color w:val="auto"/>
          <w:sz w:val="24"/>
          <w:highlight w:val="none"/>
        </w:rPr>
        <w:t>供应商应提出验收测试方案给用户确认,供应商有责任对用户的技术人员提出的问题做出解答。仪器设备验收测试应进行详细记录,测试结束后,由供应商技术人员签字后交给用户验收。</w:t>
      </w:r>
    </w:p>
    <w:p w14:paraId="7936D9D4">
      <w:pPr>
        <w:pStyle w:val="5"/>
        <w:spacing w:line="360" w:lineRule="auto"/>
        <w:ind w:left="0" w:leftChars="0" w:firstLine="0" w:firstLineChars="0"/>
        <w:rPr>
          <w:rFonts w:hint="eastAsia"/>
          <w:color w:val="auto"/>
          <w:highlight w:val="none"/>
        </w:rPr>
      </w:pPr>
      <w:r>
        <w:rPr>
          <w:rFonts w:hint="eastAsia" w:ascii="宋体" w:hAnsi="宋体"/>
          <w:color w:val="auto"/>
          <w:highlight w:val="none"/>
        </w:rPr>
        <w:t>2</w:t>
      </w:r>
      <w:r>
        <w:rPr>
          <w:rFonts w:ascii="宋体" w:hAnsi="宋体"/>
          <w:color w:val="auto"/>
          <w:highlight w:val="none"/>
        </w:rPr>
        <w:t>.5</w:t>
      </w:r>
      <w:r>
        <w:rPr>
          <w:rFonts w:hint="eastAsia" w:ascii="宋体" w:hAnsi="宋体"/>
          <w:color w:val="auto"/>
          <w:highlight w:val="none"/>
        </w:rPr>
        <w:t>在用户现场完成验收后，由用户、供应商及相关人员依国家有关标准、合同及有关附件要求签署最终验收合格报告。</w:t>
      </w:r>
    </w:p>
    <w:p w14:paraId="7FF2FFEE">
      <w:pPr>
        <w:tabs>
          <w:tab w:val="left" w:pos="420"/>
          <w:tab w:val="bar" w:pos="11340"/>
        </w:tabs>
        <w:spacing w:line="360" w:lineRule="auto"/>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.6</w:t>
      </w:r>
      <w:r>
        <w:rPr>
          <w:rFonts w:hint="eastAsia" w:ascii="宋体" w:hAnsi="宋体"/>
          <w:color w:val="auto"/>
          <w:sz w:val="24"/>
          <w:highlight w:val="none"/>
        </w:rPr>
        <w:t>由于用户的原因，供应商不能在规定的时间内完成安装和调试，则系统安装及培训顺延，时间由用户通知和确定。</w:t>
      </w:r>
    </w:p>
    <w:p w14:paraId="4FEBE551">
      <w:pPr>
        <w:tabs>
          <w:tab w:val="left" w:pos="420"/>
          <w:tab w:val="bar" w:pos="11340"/>
        </w:tabs>
        <w:spacing w:line="360" w:lineRule="auto"/>
        <w:rPr>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7 在整个验收过程中，如遇到产品本身质量问题或供应商安装操作不当引起的设备损坏，供应商应免费及时解决。</w:t>
      </w:r>
    </w:p>
    <w:p w14:paraId="1F17A29C">
      <w:pPr>
        <w:widowControl/>
        <w:tabs>
          <w:tab w:val="left" w:pos="8010"/>
        </w:tabs>
        <w:spacing w:before="156" w:beforeLines="50" w:line="360" w:lineRule="auto"/>
        <w:rPr>
          <w:b/>
          <w:color w:val="auto"/>
          <w:sz w:val="24"/>
          <w:highlight w:val="none"/>
        </w:rPr>
      </w:pPr>
      <w:r>
        <w:rPr>
          <w:b/>
          <w:color w:val="auto"/>
          <w:sz w:val="24"/>
          <w:highlight w:val="none"/>
        </w:rPr>
        <w:t>3.</w:t>
      </w:r>
      <w:r>
        <w:rPr>
          <w:rFonts w:hint="eastAsia"/>
          <w:b/>
          <w:color w:val="auto"/>
          <w:sz w:val="24"/>
          <w:highlight w:val="none"/>
        </w:rPr>
        <w:t xml:space="preserve"> </w:t>
      </w:r>
      <w:r>
        <w:rPr>
          <w:b/>
          <w:color w:val="auto"/>
          <w:sz w:val="24"/>
          <w:highlight w:val="none"/>
        </w:rPr>
        <w:t>培训要求：</w:t>
      </w:r>
    </w:p>
    <w:p w14:paraId="326BC7E0">
      <w:pPr>
        <w:tabs>
          <w:tab w:val="left" w:pos="420"/>
          <w:tab w:val="bar" w:pos="11340"/>
        </w:tabs>
        <w:spacing w:line="360" w:lineRule="auto"/>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1技术培训：</w:t>
      </w:r>
    </w:p>
    <w:p w14:paraId="06D4EBD5">
      <w:pPr>
        <w:widowControl/>
        <w:tabs>
          <w:tab w:val="left" w:pos="8010"/>
        </w:tabs>
        <w:spacing w:before="156" w:beforeLines="50" w:line="360" w:lineRule="auto"/>
        <w:rPr>
          <w:rFonts w:hint="eastAsia" w:ascii="宋体" w:hAnsi="宋体"/>
          <w:color w:val="auto"/>
          <w:sz w:val="24"/>
          <w:highlight w:val="none"/>
        </w:rPr>
      </w:pPr>
      <w:r>
        <w:rPr>
          <w:rFonts w:hint="eastAsia" w:ascii="宋体" w:hAnsi="宋体"/>
          <w:color w:val="auto"/>
          <w:sz w:val="24"/>
          <w:highlight w:val="none"/>
        </w:rPr>
        <w:t>供应商在到货安装调试完成后，应派出专业工程师免费在采购方现场提供一次系统的使用培训服务，直至采购方相关人员熟练掌握为止。质保期结束前，由供应商的专业工程师免费提供三次上门设备检查服务以及设备操作与维护培训。具体时间由用户决定。</w:t>
      </w:r>
    </w:p>
    <w:p w14:paraId="3DFED29D">
      <w:pPr>
        <w:widowControl/>
        <w:tabs>
          <w:tab w:val="left" w:pos="8010"/>
        </w:tabs>
        <w:spacing w:before="156" w:beforeLines="50" w:line="360" w:lineRule="auto"/>
        <w:rPr>
          <w:b/>
          <w:color w:val="auto"/>
          <w:sz w:val="24"/>
          <w:highlight w:val="none"/>
        </w:rPr>
      </w:pPr>
      <w:r>
        <w:rPr>
          <w:b/>
          <w:color w:val="auto"/>
          <w:sz w:val="24"/>
          <w:highlight w:val="none"/>
        </w:rPr>
        <w:t>4.</w:t>
      </w:r>
      <w:r>
        <w:rPr>
          <w:rFonts w:hint="eastAsia"/>
          <w:b/>
          <w:color w:val="auto"/>
          <w:sz w:val="24"/>
          <w:highlight w:val="none"/>
        </w:rPr>
        <w:t xml:space="preserve"> </w:t>
      </w:r>
      <w:r>
        <w:rPr>
          <w:b/>
          <w:color w:val="auto"/>
          <w:sz w:val="24"/>
          <w:highlight w:val="none"/>
        </w:rPr>
        <w:t>售后及技术服务要求：</w:t>
      </w:r>
    </w:p>
    <w:p w14:paraId="56CBA5B9">
      <w:pPr>
        <w:tabs>
          <w:tab w:val="left" w:pos="420"/>
          <w:tab w:val="bar" w:pos="1134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4.1保修期：质量保证期从签署最终验收报告之日起计算，保修期不少于1年；</w:t>
      </w:r>
    </w:p>
    <w:p w14:paraId="087961D2">
      <w:pPr>
        <w:tabs>
          <w:tab w:val="left" w:pos="420"/>
          <w:tab w:val="bar" w:pos="11340"/>
        </w:tabs>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4.1.1保修期内，一切服务费用（包括零配件的费用及运费）由供应商承担；</w:t>
      </w:r>
    </w:p>
    <w:p w14:paraId="01C64094">
      <w:pPr>
        <w:tabs>
          <w:tab w:val="left" w:pos="420"/>
          <w:tab w:val="bar" w:pos="11340"/>
        </w:tabs>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4.1.2供应商应承诺，在保修期过后，供应商继续向用户以最优惠费率提供及时有效的售后服务和零备件供应。</w:t>
      </w:r>
    </w:p>
    <w:p w14:paraId="2067E494">
      <w:pPr>
        <w:tabs>
          <w:tab w:val="left" w:pos="420"/>
          <w:tab w:val="bar" w:pos="11340"/>
        </w:tabs>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4.1.3保修期内,如果仪器设备发生故障，供应商要调查故障原因并修复直至满足最终验收指标和性能的要求，质保期相应顺延。</w:t>
      </w:r>
    </w:p>
    <w:p w14:paraId="21F85C6F">
      <w:pPr>
        <w:tabs>
          <w:tab w:val="left" w:pos="420"/>
          <w:tab w:val="bar" w:pos="1134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4.2售后服务要求：</w:t>
      </w:r>
    </w:p>
    <w:p w14:paraId="7BF6C38C">
      <w:pPr>
        <w:tabs>
          <w:tab w:val="left" w:pos="420"/>
          <w:tab w:val="bar" w:pos="11340"/>
        </w:tabs>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4.2.1维修响应时间：</w:t>
      </w:r>
    </w:p>
    <w:p w14:paraId="2C00DCFF">
      <w:pPr>
        <w:tabs>
          <w:tab w:val="left" w:pos="420"/>
          <w:tab w:val="bar" w:pos="1134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供应商接到故障报告后 8小时予以电话响应并给出方案，如无法通过电话解决故障，将在48小时内派专业工程师到现场解决问题，并在5个工作日内现场解决，重特大故障在2周内现场解决；</w:t>
      </w:r>
    </w:p>
    <w:p w14:paraId="2299F78C">
      <w:pPr>
        <w:tabs>
          <w:tab w:val="left" w:pos="420"/>
          <w:tab w:val="bar" w:pos="11340"/>
        </w:tabs>
        <w:spacing w:line="360" w:lineRule="auto"/>
        <w:ind w:firstLine="240" w:firstLineChars="100"/>
        <w:rPr>
          <w:rFonts w:hint="eastAsia" w:ascii="宋体" w:hAnsi="宋体" w:cs="宋体"/>
          <w:color w:val="auto"/>
          <w:sz w:val="24"/>
          <w:highlight w:val="none"/>
        </w:rPr>
      </w:pPr>
      <w:r>
        <w:rPr>
          <w:rFonts w:hint="eastAsia" w:ascii="宋体" w:hAnsi="宋体" w:cs="宋体"/>
          <w:color w:val="auto"/>
          <w:sz w:val="24"/>
          <w:highlight w:val="none"/>
        </w:rPr>
        <w:t>4.2.2供应商免费提供7*24小时的技术支持热线电话；</w:t>
      </w:r>
    </w:p>
    <w:p w14:paraId="1D11A82B">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对仪器设备生产厂家要求：</w:t>
      </w:r>
    </w:p>
    <w:p w14:paraId="780BB999">
      <w:pPr>
        <w:tabs>
          <w:tab w:val="left" w:pos="420"/>
          <w:tab w:val="bar" w:pos="1134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4.3 其它要求：</w:t>
      </w:r>
    </w:p>
    <w:p w14:paraId="02D2A472">
      <w:pPr>
        <w:tabs>
          <w:tab w:val="left" w:pos="420"/>
          <w:tab w:val="bar" w:pos="11340"/>
        </w:tabs>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4.3.1厂家应具备一定规模的科研、生产、技术支持及售后服务能力。厂家需提供完整售后人员名单。</w:t>
      </w:r>
    </w:p>
    <w:p w14:paraId="2EAAA938">
      <w:pPr>
        <w:tabs>
          <w:tab w:val="left" w:pos="420"/>
          <w:tab w:val="bar" w:pos="11340"/>
        </w:tabs>
        <w:spacing w:line="360" w:lineRule="auto"/>
        <w:ind w:firstLine="480" w:firstLineChars="200"/>
        <w:rPr>
          <w:color w:val="auto"/>
          <w:highlight w:val="none"/>
        </w:rPr>
      </w:pPr>
      <w:r>
        <w:rPr>
          <w:rFonts w:hint="eastAsia" w:ascii="宋体" w:hAnsi="宋体" w:cs="宋体"/>
          <w:color w:val="auto"/>
          <w:sz w:val="24"/>
          <w:highlight w:val="none"/>
        </w:rPr>
        <w:t>4.3.2在北京地区有售后支持人员，质保期内</w:t>
      </w:r>
      <w:r>
        <w:rPr>
          <w:rFonts w:ascii="宋体" w:hAnsi="宋体" w:cs="宋体"/>
          <w:color w:val="auto"/>
          <w:sz w:val="24"/>
          <w:highlight w:val="none"/>
        </w:rPr>
        <w:t>8</w:t>
      </w:r>
      <w:r>
        <w:rPr>
          <w:rFonts w:hint="eastAsia" w:ascii="宋体" w:hAnsi="宋体" w:cs="宋体"/>
          <w:color w:val="auto"/>
          <w:sz w:val="24"/>
          <w:highlight w:val="none"/>
        </w:rPr>
        <w:t>小时内售后响应，48小时内到现场。</w:t>
      </w:r>
    </w:p>
    <w:p w14:paraId="2A02C254">
      <w:pPr>
        <w:widowControl/>
        <w:tabs>
          <w:tab w:val="left" w:pos="8010"/>
        </w:tabs>
        <w:spacing w:before="156" w:beforeLines="50" w:line="360" w:lineRule="auto"/>
        <w:rPr>
          <w:b/>
          <w:color w:val="auto"/>
          <w:sz w:val="24"/>
          <w:highlight w:val="none"/>
        </w:rPr>
      </w:pPr>
      <w:r>
        <w:rPr>
          <w:b/>
          <w:color w:val="auto"/>
          <w:sz w:val="24"/>
          <w:highlight w:val="none"/>
        </w:rPr>
        <w:t>5.</w:t>
      </w:r>
      <w:r>
        <w:rPr>
          <w:rFonts w:hint="eastAsia"/>
          <w:b/>
          <w:color w:val="auto"/>
          <w:sz w:val="24"/>
          <w:highlight w:val="none"/>
        </w:rPr>
        <w:t xml:space="preserve"> </w:t>
      </w:r>
      <w:r>
        <w:rPr>
          <w:b/>
          <w:color w:val="auto"/>
          <w:sz w:val="24"/>
          <w:highlight w:val="none"/>
        </w:rPr>
        <w:t>包装及运输要求：</w:t>
      </w:r>
    </w:p>
    <w:p w14:paraId="54903B24">
      <w:pPr>
        <w:tabs>
          <w:tab w:val="left" w:pos="420"/>
          <w:tab w:val="bar" w:pos="1134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5.1 供应商负责设备运输到交货地点。</w:t>
      </w:r>
    </w:p>
    <w:p w14:paraId="05149AD2">
      <w:pPr>
        <w:widowControl/>
        <w:spacing w:line="360" w:lineRule="auto"/>
        <w:rPr>
          <w:color w:val="auto"/>
          <w:highlight w:val="none"/>
        </w:rPr>
      </w:pPr>
      <w:r>
        <w:rPr>
          <w:rFonts w:hint="eastAsia" w:ascii="宋体" w:hAnsi="宋体" w:cs="宋体"/>
          <w:color w:val="auto"/>
          <w:sz w:val="24"/>
          <w:highlight w:val="none"/>
        </w:rPr>
        <w:t>5.2 无论在何种运输方式下，供应商应保证货物包装完好无锈蚀，安全运抵目的地。应使用崭新坚固的包装（标准包装），适合于空运、海运或陆运等长途运输方式和标准；包装箱应防潮、防锈、防震、防粗暴装卸、适合气候变化；供应商应对任何由于不当包装或防护措施不利而导致的商品损坏、损失、费用增长等后果负责。</w:t>
      </w:r>
    </w:p>
    <w:p w14:paraId="28146979">
      <w:pPr>
        <w:rPr>
          <w:rFonts w:hint="eastAsia"/>
          <w:color w:val="auto"/>
          <w:highlight w:val="none"/>
        </w:rPr>
      </w:pPr>
    </w:p>
    <w:p w14:paraId="32C0C103">
      <w:pPr>
        <w:widowControl/>
        <w:tabs>
          <w:tab w:val="left" w:pos="900"/>
        </w:tabs>
        <w:spacing w:line="360" w:lineRule="auto"/>
        <w:jc w:val="left"/>
        <w:rPr>
          <w:color w:val="auto"/>
          <w:kern w:val="0"/>
          <w:sz w:val="24"/>
          <w:highlight w:val="none"/>
        </w:rPr>
      </w:pPr>
      <w:r>
        <w:rPr>
          <w:rFonts w:hint="eastAsia"/>
          <w:b/>
          <w:bCs/>
          <w:color w:val="auto"/>
          <w:kern w:val="0"/>
          <w:sz w:val="24"/>
          <w:highlight w:val="none"/>
        </w:rPr>
        <w:t>▲</w:t>
      </w:r>
      <w:r>
        <w:rPr>
          <w:b/>
          <w:bCs/>
          <w:color w:val="auto"/>
          <w:kern w:val="0"/>
          <w:sz w:val="24"/>
          <w:highlight w:val="none"/>
        </w:rPr>
        <w:t>6、交货日期：</w:t>
      </w:r>
      <w:r>
        <w:rPr>
          <w:rFonts w:hint="eastAsia"/>
          <w:color w:val="auto"/>
          <w:kern w:val="0"/>
          <w:sz w:val="24"/>
          <w:highlight w:val="none"/>
        </w:rPr>
        <w:t>合同签订后的8个月交货</w:t>
      </w:r>
      <w:r>
        <w:rPr>
          <w:color w:val="auto"/>
          <w:kern w:val="0"/>
          <w:sz w:val="24"/>
          <w:highlight w:val="none"/>
        </w:rPr>
        <w:t>；</w:t>
      </w:r>
    </w:p>
    <w:p w14:paraId="4755C348">
      <w:pPr>
        <w:pStyle w:val="6"/>
        <w:rPr>
          <w:color w:val="auto"/>
          <w:highlight w:val="none"/>
        </w:rPr>
      </w:pPr>
    </w:p>
    <w:p w14:paraId="5843C3FD">
      <w:pPr>
        <w:widowControl/>
        <w:tabs>
          <w:tab w:val="left" w:pos="900"/>
        </w:tabs>
        <w:spacing w:line="360" w:lineRule="auto"/>
        <w:jc w:val="left"/>
        <w:rPr>
          <w:color w:val="auto"/>
          <w:sz w:val="24"/>
          <w:highlight w:val="none"/>
        </w:rPr>
      </w:pPr>
      <w:bookmarkStart w:id="4" w:name="OLE_LINK3"/>
      <w:r>
        <w:rPr>
          <w:b/>
          <w:bCs/>
          <w:color w:val="auto"/>
          <w:kern w:val="0"/>
          <w:sz w:val="24"/>
          <w:highlight w:val="none"/>
        </w:rPr>
        <w:t>7、交货地点：</w:t>
      </w:r>
      <w:bookmarkEnd w:id="4"/>
      <w:r>
        <w:rPr>
          <w:rFonts w:hint="eastAsia"/>
          <w:color w:val="auto"/>
          <w:sz w:val="24"/>
          <w:highlight w:val="none"/>
        </w:rPr>
        <w:t>中国科学院微电子研究所指定地点</w:t>
      </w:r>
    </w:p>
    <w:p w14:paraId="5C766C7C">
      <w:pPr>
        <w:rPr>
          <w:color w:val="auto"/>
          <w:highlight w:val="none"/>
        </w:rPr>
      </w:pPr>
    </w:p>
    <w:p w14:paraId="1A7D4B00">
      <w:pPr>
        <w:widowControl/>
        <w:tabs>
          <w:tab w:val="left" w:pos="900"/>
        </w:tabs>
        <w:spacing w:line="360" w:lineRule="auto"/>
        <w:jc w:val="left"/>
        <w:rPr>
          <w:rFonts w:hint="eastAsia"/>
          <w:color w:val="auto"/>
          <w:sz w:val="24"/>
          <w:highlight w:val="none"/>
        </w:rPr>
      </w:pPr>
      <w:r>
        <w:rPr>
          <w:b/>
          <w:bCs/>
          <w:color w:val="auto"/>
          <w:kern w:val="0"/>
          <w:sz w:val="24"/>
          <w:highlight w:val="none"/>
        </w:rPr>
        <w:t>8、执行的相关标准</w:t>
      </w:r>
      <w:r>
        <w:rPr>
          <w:rFonts w:hint="eastAsia"/>
          <w:b/>
          <w:bCs/>
          <w:color w:val="auto"/>
          <w:kern w:val="0"/>
          <w:sz w:val="24"/>
          <w:highlight w:val="none"/>
        </w:rPr>
        <w:t>：</w:t>
      </w:r>
      <w:r>
        <w:rPr>
          <w:rFonts w:hint="eastAsia"/>
          <w:color w:val="auto"/>
          <w:kern w:val="0"/>
          <w:sz w:val="24"/>
          <w:highlight w:val="none"/>
        </w:rPr>
        <w:t>ISO9001国际认证标准</w:t>
      </w:r>
    </w:p>
    <w:p w14:paraId="45599FCD">
      <w:pPr>
        <w:rPr>
          <w:color w:val="auto"/>
          <w:highlight w:val="none"/>
        </w:rPr>
      </w:pPr>
    </w:p>
    <w:p w14:paraId="21100B00">
      <w:pPr>
        <w:widowControl/>
        <w:spacing w:line="360" w:lineRule="auto"/>
        <w:rPr>
          <w:rFonts w:hint="eastAsia" w:ascii="宋体" w:hAnsi="宋体" w:cs="宋体"/>
          <w:b/>
          <w:color w:val="auto"/>
          <w:sz w:val="24"/>
          <w:highlight w:val="none"/>
        </w:rPr>
      </w:pPr>
      <w:r>
        <w:rPr>
          <w:rFonts w:hint="eastAsia" w:ascii="宋体" w:hAnsi="宋体" w:cs="宋体"/>
          <w:b/>
          <w:bCs/>
          <w:color w:val="auto"/>
          <w:kern w:val="0"/>
          <w:sz w:val="24"/>
          <w:highlight w:val="none"/>
        </w:rPr>
        <w:t>9</w:t>
      </w:r>
      <w:r>
        <w:rPr>
          <w:rFonts w:hint="eastAsia" w:ascii="宋体" w:hAnsi="宋体" w:cs="宋体"/>
          <w:b/>
          <w:bCs/>
          <w:color w:val="auto"/>
          <w:sz w:val="24"/>
          <w:highlight w:val="none"/>
        </w:rPr>
        <w:t>、</w:t>
      </w:r>
      <w:r>
        <w:rPr>
          <w:rFonts w:hint="eastAsia" w:ascii="宋体" w:hAnsi="宋体" w:cs="宋体"/>
          <w:b/>
          <w:color w:val="auto"/>
          <w:sz w:val="24"/>
          <w:highlight w:val="none"/>
        </w:rPr>
        <w:t>付款方式：</w:t>
      </w:r>
    </w:p>
    <w:p w14:paraId="5DED299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合同签订后，预付总价的30%；发货后经厂家派人进行现场安装调试培训等环节后，买方执行验收环节，验收环节完成3个月内，支付总价的70%。</w:t>
      </w:r>
    </w:p>
    <w:p w14:paraId="4D4D69DB">
      <w:pPr>
        <w:rPr>
          <w:rFonts w:hint="eastAsia"/>
          <w:color w:val="auto"/>
          <w:highlight w:val="none"/>
        </w:rPr>
      </w:pPr>
    </w:p>
    <w:p w14:paraId="259D7F38">
      <w:pPr>
        <w:widowControl/>
        <w:tabs>
          <w:tab w:val="left" w:pos="0"/>
        </w:tabs>
        <w:spacing w:line="360" w:lineRule="auto"/>
        <w:jc w:val="left"/>
        <w:rPr>
          <w:rFonts w:hint="eastAsia" w:ascii="宋体" w:hAnsi="宋体" w:cs="宋体"/>
          <w:b/>
          <w:bCs/>
          <w:color w:val="auto"/>
          <w:sz w:val="24"/>
          <w:highlight w:val="none"/>
        </w:rPr>
      </w:pPr>
      <w:r>
        <w:rPr>
          <w:rFonts w:hint="eastAsia" w:ascii="宋体" w:hAnsi="宋体" w:cs="宋体"/>
          <w:b/>
          <w:bCs/>
          <w:color w:val="auto"/>
          <w:kern w:val="0"/>
          <w:sz w:val="24"/>
          <w:highlight w:val="none"/>
        </w:rPr>
        <w:t>★10</w:t>
      </w:r>
      <w:r>
        <w:rPr>
          <w:rFonts w:hint="eastAsia" w:ascii="宋体" w:hAnsi="宋体" w:cs="宋体"/>
          <w:b/>
          <w:bCs/>
          <w:color w:val="auto"/>
          <w:sz w:val="24"/>
          <w:highlight w:val="none"/>
        </w:rPr>
        <w:t>、投标报价要求：</w:t>
      </w:r>
    </w:p>
    <w:p w14:paraId="62764F1D">
      <w:pPr>
        <w:widowControl/>
        <w:tabs>
          <w:tab w:val="left" w:pos="900"/>
        </w:tabs>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w:t>
      </w:r>
      <w:r>
        <w:rPr>
          <w:rFonts w:ascii="宋体" w:hAnsi="宋体" w:cs="仿宋_GB2312"/>
          <w:color w:val="auto"/>
          <w:kern w:val="0"/>
          <w:sz w:val="24"/>
          <w:highlight w:val="none"/>
        </w:rPr>
        <w:t>1</w:t>
      </w:r>
      <w:r>
        <w:rPr>
          <w:rFonts w:hint="eastAsia" w:ascii="宋体" w:hAnsi="宋体" w:cs="仿宋_GB2312"/>
          <w:color w:val="auto"/>
          <w:kern w:val="0"/>
          <w:sz w:val="24"/>
          <w:highlight w:val="none"/>
        </w:rPr>
        <w:t>）本项目不允许采购进口产品。</w:t>
      </w:r>
    </w:p>
    <w:p w14:paraId="7D068EA5">
      <w:pPr>
        <w:widowControl/>
        <w:tabs>
          <w:tab w:val="left" w:pos="900"/>
        </w:tabs>
        <w:spacing w:line="360" w:lineRule="auto"/>
        <w:jc w:val="left"/>
        <w:rPr>
          <w:rFonts w:ascii="宋体" w:hAnsi="宋体" w:cs="仿宋_GB2312"/>
          <w:color w:val="auto"/>
          <w:kern w:val="0"/>
          <w:sz w:val="24"/>
          <w:highlight w:val="none"/>
        </w:rPr>
      </w:pPr>
      <w:r>
        <w:rPr>
          <w:rFonts w:hint="eastAsia" w:ascii="宋体" w:hAnsi="宋体" w:cs="仿宋_GB2312"/>
          <w:color w:val="auto"/>
          <w:kern w:val="0"/>
          <w:sz w:val="24"/>
          <w:highlight w:val="none"/>
        </w:rPr>
        <w:t>（2）国产产品与服务报项目现场交货人民币含税价。报价中需包括制造、装配和发运货物所使用的材料、部件及货物本身已支付或将支付的产品税、销售税和其它税费。采购人不再另行支付其他任何费用。</w:t>
      </w:r>
    </w:p>
    <w:p w14:paraId="78D46A25">
      <w:pPr>
        <w:pStyle w:val="6"/>
        <w:rPr>
          <w:rFonts w:hint="eastAsia" w:hAnsi="宋体" w:cs="仿宋_GB2312"/>
          <w:color w:val="auto"/>
          <w:kern w:val="0"/>
          <w:sz w:val="24"/>
          <w:highlight w:val="none"/>
        </w:rPr>
      </w:pPr>
      <w:r>
        <w:rPr>
          <w:rFonts w:hint="eastAsia" w:hAnsi="宋体" w:cs="仿宋_GB2312"/>
          <w:color w:val="auto"/>
          <w:kern w:val="0"/>
          <w:sz w:val="24"/>
          <w:highlight w:val="none"/>
        </w:rPr>
        <w:t>（</w:t>
      </w:r>
      <w:r>
        <w:rPr>
          <w:rFonts w:hAnsi="宋体" w:cs="仿宋_GB2312"/>
          <w:color w:val="auto"/>
          <w:kern w:val="0"/>
          <w:sz w:val="24"/>
          <w:highlight w:val="none"/>
        </w:rPr>
        <w:t>3</w:t>
      </w:r>
      <w:r>
        <w:rPr>
          <w:rFonts w:hint="eastAsia" w:hAnsi="宋体" w:cs="仿宋_GB2312"/>
          <w:color w:val="auto"/>
          <w:kern w:val="0"/>
          <w:sz w:val="24"/>
          <w:highlight w:val="none"/>
        </w:rPr>
        <w:t>）上述价格的构成须按在分项报价表中格式要求详细列出。</w:t>
      </w:r>
    </w:p>
    <w:p w14:paraId="26A61E1C">
      <w:pPr>
        <w:pStyle w:val="6"/>
        <w:rPr>
          <w:rFonts w:hint="eastAsia" w:hAnsi="宋体" w:cs="仿宋_GB2312"/>
          <w:color w:val="auto"/>
          <w:kern w:val="0"/>
          <w:sz w:val="24"/>
          <w:highlight w:val="none"/>
        </w:rPr>
      </w:pPr>
    </w:p>
    <w:p w14:paraId="0BB8A8D7">
      <w:pPr>
        <w:widowControl/>
        <w:tabs>
          <w:tab w:val="left" w:pos="900"/>
        </w:tabs>
        <w:spacing w:line="360" w:lineRule="auto"/>
        <w:jc w:val="left"/>
        <w:rPr>
          <w:rFonts w:hint="eastAsia" w:ascii="宋体" w:hAnsi="宋体" w:cs="宋体"/>
          <w:b/>
          <w:bCs/>
          <w:color w:val="auto"/>
          <w:kern w:val="0"/>
          <w:sz w:val="24"/>
          <w:highlight w:val="none"/>
          <w:u w:val="single"/>
        </w:rPr>
      </w:pPr>
      <w:r>
        <w:rPr>
          <w:rFonts w:hint="eastAsia" w:ascii="宋体" w:hAnsi="宋体" w:cs="宋体"/>
          <w:b/>
          <w:bCs/>
          <w:color w:val="auto"/>
          <w:kern w:val="0"/>
          <w:sz w:val="24"/>
          <w:highlight w:val="none"/>
        </w:rPr>
        <w:t>11、是否允许采购进口产品：</w:t>
      </w:r>
      <w:r>
        <w:rPr>
          <w:rFonts w:hint="eastAsia" w:ascii="宋体" w:hAnsi="宋体" w:cs="宋体"/>
          <w:b/>
          <w:bCs/>
          <w:color w:val="auto"/>
          <w:kern w:val="0"/>
          <w:sz w:val="24"/>
          <w:highlight w:val="none"/>
          <w:u w:val="single"/>
        </w:rPr>
        <w:t>否</w:t>
      </w:r>
    </w:p>
    <w:p w14:paraId="371B9D07">
      <w:pPr>
        <w:pStyle w:val="6"/>
        <w:rPr>
          <w:rFonts w:hint="eastAsia"/>
          <w:color w:val="auto"/>
          <w:highlight w:val="none"/>
        </w:rPr>
      </w:pPr>
    </w:p>
    <w:p w14:paraId="598DD0DF">
      <w:pPr>
        <w:widowControl/>
        <w:tabs>
          <w:tab w:val="left" w:pos="900"/>
        </w:tabs>
        <w:spacing w:line="360" w:lineRule="auto"/>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12、预算金额：</w:t>
      </w:r>
      <w:r>
        <w:rPr>
          <w:rFonts w:ascii="宋体" w:hAnsi="宋体" w:cs="宋体"/>
          <w:b/>
          <w:bCs/>
          <w:color w:val="auto"/>
          <w:kern w:val="0"/>
          <w:sz w:val="24"/>
          <w:highlight w:val="none"/>
        </w:rPr>
        <w:t>800</w:t>
      </w:r>
      <w:r>
        <w:rPr>
          <w:rFonts w:hint="eastAsia" w:ascii="宋体" w:hAnsi="宋体" w:cs="宋体"/>
          <w:b/>
          <w:bCs/>
          <w:color w:val="auto"/>
          <w:kern w:val="0"/>
          <w:sz w:val="24"/>
          <w:highlight w:val="none"/>
        </w:rPr>
        <w:t>万元</w:t>
      </w:r>
    </w:p>
    <w:p w14:paraId="493E5B31">
      <w:pPr>
        <w:widowControl/>
        <w:tabs>
          <w:tab w:val="left" w:pos="900"/>
        </w:tabs>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最高限价：</w:t>
      </w:r>
      <w:r>
        <w:rPr>
          <w:rFonts w:ascii="宋体" w:hAnsi="宋体" w:cs="宋体"/>
          <w:b/>
          <w:bCs/>
          <w:color w:val="auto"/>
          <w:kern w:val="0"/>
          <w:sz w:val="24"/>
          <w:highlight w:val="none"/>
        </w:rPr>
        <w:t>800</w:t>
      </w:r>
      <w:r>
        <w:rPr>
          <w:rFonts w:hint="eastAsia" w:ascii="宋体" w:hAnsi="宋体" w:cs="宋体"/>
          <w:b/>
          <w:bCs/>
          <w:color w:val="auto"/>
          <w:kern w:val="0"/>
          <w:sz w:val="24"/>
          <w:highlight w:val="none"/>
        </w:rPr>
        <w:t>万元</w:t>
      </w:r>
    </w:p>
    <w:p w14:paraId="0257FF84">
      <w:pPr>
        <w:pStyle w:val="6"/>
        <w:rPr>
          <w:rFonts w:hint="eastAsia"/>
          <w:color w:val="auto"/>
          <w:highlight w:val="none"/>
        </w:rPr>
      </w:pPr>
    </w:p>
    <w:p w14:paraId="2AF9760F">
      <w:r>
        <w:rPr>
          <w:rFonts w:hint="eastAsia" w:hAnsi="宋体" w:cs="仿宋_GB2312"/>
          <w:color w:val="auto"/>
          <w:kern w:val="0"/>
          <w:sz w:val="24"/>
          <w:highlight w:val="none"/>
        </w:rPr>
        <w:t>★13、供应商同意并保证尊重任何他方的知识产权及其它合法权益，承诺其所提供的产品或服务均不得侵犯第三方知识产权及其它合法权益，否则所引起的全部责任均应当由供应商承担。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2F2489"/>
    <w:rsid w:val="332F2489"/>
    <w:rsid w:val="70FB5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Indent"/>
    <w:basedOn w:val="1"/>
    <w:next w:val="4"/>
    <w:qFormat/>
    <w:uiPriority w:val="0"/>
    <w:pPr>
      <w:spacing w:after="120"/>
      <w:ind w:left="420" w:leftChars="200"/>
    </w:pPr>
  </w:style>
  <w:style w:type="paragraph" w:styleId="4">
    <w:name w:val="envelope return"/>
    <w:basedOn w:val="1"/>
    <w:unhideWhenUsed/>
    <w:qFormat/>
    <w:uiPriority w:val="99"/>
    <w:pPr>
      <w:snapToGrid w:val="0"/>
    </w:pPr>
    <w:rPr>
      <w:rFonts w:ascii="Arial" w:hAnsi="Arial"/>
    </w:rPr>
  </w:style>
  <w:style w:type="paragraph" w:styleId="5">
    <w:name w:val="List 2"/>
    <w:basedOn w:val="1"/>
    <w:qFormat/>
    <w:uiPriority w:val="0"/>
    <w:pPr>
      <w:adjustRightInd w:val="0"/>
      <w:spacing w:line="360" w:lineRule="atLeast"/>
      <w:ind w:left="100" w:leftChars="200" w:hanging="200" w:hangingChars="200"/>
      <w:jc w:val="left"/>
      <w:textAlignment w:val="baseline"/>
    </w:pPr>
    <w:rPr>
      <w:kern w:val="0"/>
      <w:sz w:val="24"/>
      <w:szCs w:val="20"/>
    </w:rPr>
  </w:style>
  <w:style w:type="paragraph" w:styleId="6">
    <w:name w:val="Plain Text"/>
    <w:basedOn w:val="1"/>
    <w:qFormat/>
    <w:uiPriority w:val="99"/>
    <w:rPr>
      <w:rFonts w:ascii="宋体" w:hAnsi="Courier New"/>
      <w:szCs w:val="20"/>
    </w:rPr>
  </w:style>
  <w:style w:type="paragraph" w:styleId="7">
    <w:name w:val="Body Text First Indent 2"/>
    <w:basedOn w:val="3"/>
    <w:unhideWhenUsed/>
    <w:qFormat/>
    <w:uiPriority w:val="99"/>
    <w:pPr>
      <w:ind w:left="420" w:firstLine="420" w:firstLineChars="200"/>
    </w:pPr>
  </w:style>
  <w:style w:type="paragraph" w:customStyle="1" w:styleId="10">
    <w:name w:val="_Style 35"/>
    <w:basedOn w:val="3"/>
    <w:next w:val="7"/>
    <w:unhideWhenUsed/>
    <w:qFormat/>
    <w:uiPriority w:val="99"/>
    <w:pPr>
      <w:ind w:left="420"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4823</Words>
  <Characters>5254</Characters>
  <Lines>0</Lines>
  <Paragraphs>0</Paragraphs>
  <TotalTime>0</TotalTime>
  <ScaleCrop>false</ScaleCrop>
  <LinksUpToDate>false</LinksUpToDate>
  <CharactersWithSpaces>5437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2025-03-28T02:37:00Z</dcterms:created>
  <dc:creator>H</dc:creator>
  <cp:lastModifiedBy>清</cp:lastModifiedBy>
  <dcterms:modified xsi:type="dcterms:W3CDTF">2025-03-29T02:44:50Z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FF30ACDEC71545FD9C2D0ED2E74D31B8_13</vt:lpwstr>
  </property>
  <property fmtid="{D5CDD505-2E9C-101B-9397-08002B2CF9AE}" pid="4" name="KSOTemplateDocerSaveRecord">
    <vt:lpwstr>eyJoZGlkIjoiZGI0MzJlOTY4YmYyMDM4Y2EzYWM5NjNhYjE4MTMyYzIiLCJ1c2VySWQiOiI5OTQ3NTAxMjIifQ==</vt:lpwstr>
  </property>
</Properties>
</file>