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79A07">
      <w:pPr>
        <w:jc w:val="center"/>
        <w:rPr>
          <w:rFonts w:hint="eastAsia"/>
          <w:b/>
          <w:bCs/>
          <w:sz w:val="30"/>
          <w:szCs w:val="30"/>
          <w:lang w:val="en-US" w:eastAsia="zh-CN"/>
        </w:rPr>
      </w:pPr>
      <w:bookmarkStart w:id="6" w:name="_GoBack"/>
      <w:bookmarkEnd w:id="6"/>
      <w:r>
        <w:rPr>
          <w:rFonts w:hint="eastAsia"/>
          <w:b/>
          <w:bCs/>
          <w:sz w:val="30"/>
          <w:szCs w:val="30"/>
          <w:lang w:val="en-US" w:eastAsia="zh-CN"/>
        </w:rPr>
        <w:t>采购需求</w:t>
      </w:r>
    </w:p>
    <w:p w14:paraId="367E55FD">
      <w:pPr>
        <w:tabs>
          <w:tab w:val="left" w:pos="2855"/>
        </w:tabs>
        <w:spacing w:line="360" w:lineRule="auto"/>
        <w:rPr>
          <w:rFonts w:hint="eastAsia" w:ascii="宋体" w:hAnsi="宋体"/>
          <w:color w:val="auto"/>
          <w:highlight w:val="none"/>
        </w:rPr>
      </w:pPr>
      <w:r>
        <w:rPr>
          <w:rFonts w:hint="eastAsia" w:ascii="宋体" w:hAnsi="宋体"/>
          <w:b/>
          <w:color w:val="auto"/>
          <w:sz w:val="24"/>
          <w:szCs w:val="24"/>
          <w:highlight w:val="none"/>
        </w:rPr>
        <w:t>项目说明：</w:t>
      </w:r>
    </w:p>
    <w:p w14:paraId="27B59BD6">
      <w:pPr>
        <w:adjustRightInd w:val="0"/>
        <w:snapToGrid w:val="0"/>
        <w:spacing w:line="360" w:lineRule="auto"/>
        <w:rPr>
          <w:rFonts w:hint="eastAsia" w:ascii="宋体" w:hAnsi="宋体"/>
          <w:color w:val="auto"/>
          <w:highlight w:val="none"/>
        </w:rPr>
      </w:pPr>
      <w:r>
        <w:rPr>
          <w:rFonts w:hint="eastAsia" w:ascii="宋体" w:hAnsi="宋体"/>
          <w:color w:val="auto"/>
          <w:highlight w:val="none"/>
        </w:rPr>
        <w:t>1、投标人应在控制金额允许范围内尽量提供优质、高性能的产品。</w:t>
      </w:r>
    </w:p>
    <w:p w14:paraId="7D281ACF">
      <w:pPr>
        <w:spacing w:line="360" w:lineRule="auto"/>
        <w:rPr>
          <w:rFonts w:hint="eastAsia" w:ascii="宋体" w:hAnsi="宋体"/>
          <w:color w:val="auto"/>
          <w:highlight w:val="none"/>
        </w:rPr>
      </w:pPr>
      <w:r>
        <w:rPr>
          <w:rFonts w:hint="eastAsia" w:ascii="宋体" w:hAnsi="宋体"/>
          <w:color w:val="auto"/>
          <w:highlight w:val="none"/>
        </w:rPr>
        <w:t>2、★号指标（如有）为必须满足指标，否则将视为非实质性响应招标文件要求。</w:t>
      </w:r>
    </w:p>
    <w:p w14:paraId="06996EA4">
      <w:pPr>
        <w:spacing w:line="360" w:lineRule="auto"/>
        <w:rPr>
          <w:rFonts w:hint="eastAsia" w:ascii="宋体" w:hAnsi="宋体"/>
          <w:color w:val="auto"/>
          <w:highlight w:val="none"/>
        </w:rPr>
      </w:pPr>
      <w:r>
        <w:rPr>
          <w:rFonts w:hint="eastAsia" w:ascii="宋体" w:hAnsi="宋体"/>
          <w:color w:val="auto"/>
          <w:highlight w:val="none"/>
        </w:rPr>
        <w:t>3、▲号指标（如有）为重要指标，不满足将视为技术性能存在较大偏离。</w:t>
      </w:r>
    </w:p>
    <w:p w14:paraId="47362B5F">
      <w:pPr>
        <w:spacing w:line="360" w:lineRule="auto"/>
        <w:rPr>
          <w:rFonts w:hint="eastAsia" w:ascii="宋体" w:hAnsi="宋体"/>
          <w:color w:val="auto"/>
          <w:highlight w:val="none"/>
        </w:rPr>
      </w:pPr>
      <w:r>
        <w:rPr>
          <w:rFonts w:hint="eastAsia" w:ascii="宋体" w:hAnsi="宋体"/>
          <w:color w:val="auto"/>
          <w:highlight w:val="none"/>
        </w:rPr>
        <w:t>4、无标记指标（如有）为一般指标，不满足将视为技术性能存在一般偏离。</w:t>
      </w:r>
    </w:p>
    <w:p w14:paraId="042AB248">
      <w:pPr>
        <w:spacing w:line="360" w:lineRule="auto"/>
        <w:rPr>
          <w:rFonts w:hint="eastAsia" w:ascii="宋体" w:hAnsi="宋体"/>
          <w:color w:val="auto"/>
          <w:highlight w:val="none"/>
        </w:rPr>
      </w:pPr>
      <w:r>
        <w:rPr>
          <w:rFonts w:hint="eastAsia" w:ascii="宋体" w:hAnsi="宋体"/>
          <w:color w:val="auto"/>
          <w:highlight w:val="none"/>
        </w:rPr>
        <w:t>5、投标人应按照招标文件要求自行拟定详细的供货方案及售后服务承诺。</w:t>
      </w:r>
    </w:p>
    <w:p w14:paraId="750634AB">
      <w:pPr>
        <w:spacing w:line="360" w:lineRule="auto"/>
        <w:rPr>
          <w:rFonts w:hint="eastAsia" w:ascii="宋体" w:hAnsi="宋体"/>
          <w:color w:val="auto"/>
          <w:highlight w:val="none"/>
        </w:rPr>
      </w:pPr>
      <w:r>
        <w:rPr>
          <w:rFonts w:hint="eastAsia" w:ascii="宋体" w:hAnsi="宋体"/>
          <w:color w:val="auto"/>
          <w:highlight w:val="none"/>
        </w:rPr>
        <w:t>6、投标人数量的认定：</w:t>
      </w:r>
    </w:p>
    <w:p w14:paraId="0A1F6D06">
      <w:pPr>
        <w:spacing w:line="360" w:lineRule="auto"/>
        <w:rPr>
          <w:rFonts w:hint="eastAsia" w:ascii="宋体" w:hAnsi="宋体"/>
          <w:color w:val="auto"/>
          <w:highlight w:val="none"/>
        </w:rPr>
      </w:pPr>
      <w:r>
        <w:rPr>
          <w:rFonts w:hint="eastAsia" w:ascii="宋体" w:hAnsi="宋体"/>
          <w:color w:val="auto"/>
          <w:highlight w:val="none"/>
        </w:rPr>
        <w:t>（1）提供相同品牌产品且通过资格审查、符合性审查的不同投标人参加同一合同项下投标的，按一家投标人计算，评审后得分最高的同品牌投标人获得中标人推荐资格，评审得分相同的，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14:paraId="72A63E0B">
      <w:pPr>
        <w:spacing w:line="360" w:lineRule="auto"/>
        <w:rPr>
          <w:rFonts w:hint="eastAsia" w:ascii="宋体" w:hAnsi="宋体"/>
          <w:color w:val="auto"/>
          <w:highlight w:val="none"/>
        </w:rPr>
      </w:pPr>
      <w:r>
        <w:rPr>
          <w:rFonts w:hint="eastAsia" w:ascii="宋体" w:hAnsi="宋体"/>
          <w:color w:val="auto"/>
          <w:highlight w:val="none"/>
        </w:rPr>
        <w:t>（2）非单一产品采购项目，第五章采购需求采购产品一览表中明确标注核心产品；多家投标人提供的核心产品品牌相同的，按第（1）条规定处理。</w:t>
      </w:r>
    </w:p>
    <w:p w14:paraId="0AFA694D">
      <w:pPr>
        <w:spacing w:line="360" w:lineRule="auto"/>
        <w:rPr>
          <w:rFonts w:hint="eastAsia" w:ascii="宋体" w:hAnsi="宋体"/>
          <w:color w:val="auto"/>
          <w:sz w:val="24"/>
          <w:szCs w:val="24"/>
          <w:highlight w:val="none"/>
        </w:rPr>
        <w:sectPr>
          <w:footerReference r:id="rId3" w:type="default"/>
          <w:pgSz w:w="11906" w:h="16838"/>
          <w:pgMar w:top="1440" w:right="1797" w:bottom="1440" w:left="1797" w:header="851" w:footer="992" w:gutter="0"/>
          <w:cols w:space="720" w:num="1"/>
          <w:docGrid w:type="linesAndChars" w:linePitch="312" w:charSpace="0"/>
        </w:sectPr>
      </w:pPr>
      <w:bookmarkStart w:id="0" w:name="壱、_项目介绍"/>
      <w:bookmarkEnd w:id="0"/>
    </w:p>
    <w:p w14:paraId="27411407">
      <w:pPr>
        <w:rPr>
          <w:color w:val="auto"/>
          <w:sz w:val="32"/>
          <w:szCs w:val="32"/>
          <w:highlight w:val="none"/>
        </w:rPr>
        <w:sectPr>
          <w:type w:val="continuous"/>
          <w:pgSz w:w="11906" w:h="16838"/>
          <w:pgMar w:top="1440" w:right="1797" w:bottom="1440" w:left="1797" w:header="851" w:footer="992" w:gutter="0"/>
          <w:pgNumType w:start="1"/>
          <w:cols w:space="720" w:num="1"/>
          <w:docGrid w:type="linesAndChars" w:linePitch="312" w:charSpace="0"/>
        </w:sectPr>
      </w:pPr>
    </w:p>
    <w:p w14:paraId="361457F7">
      <w:pPr>
        <w:rPr>
          <w:b/>
          <w:color w:val="auto"/>
          <w:sz w:val="32"/>
          <w:szCs w:val="32"/>
          <w:highlight w:val="none"/>
        </w:rPr>
        <w:sectPr>
          <w:footerReference r:id="rId4" w:type="default"/>
          <w:type w:val="continuous"/>
          <w:pgSz w:w="11906" w:h="16838"/>
          <w:pgMar w:top="1440" w:right="1797" w:bottom="1440" w:left="1797" w:header="851" w:footer="992" w:gutter="0"/>
          <w:pgNumType w:start="1"/>
          <w:cols w:space="720" w:num="1"/>
          <w:docGrid w:type="linesAndChars" w:linePitch="312" w:charSpace="0"/>
        </w:sectPr>
      </w:pPr>
    </w:p>
    <w:p w14:paraId="4D74D598">
      <w:pPr>
        <w:tabs>
          <w:tab w:val="left" w:pos="720"/>
        </w:tabs>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一、项目介绍</w:t>
      </w:r>
    </w:p>
    <w:p w14:paraId="1632FE9D">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1、项目背景</w:t>
      </w:r>
    </w:p>
    <w:p w14:paraId="3D5E9C89">
      <w:pPr>
        <w:spacing w:line="360" w:lineRule="auto"/>
        <w:ind w:firstLine="480" w:firstLineChars="200"/>
        <w:rPr>
          <w:color w:val="auto"/>
          <w:sz w:val="24"/>
          <w:highlight w:val="none"/>
        </w:rPr>
      </w:pPr>
      <w:r>
        <w:rPr>
          <w:rFonts w:hint="eastAsia"/>
          <w:color w:val="auto"/>
          <w:sz w:val="24"/>
          <w:highlight w:val="none"/>
        </w:rPr>
        <w:t>拟购置的高重复频率高功率Yb固体飞秒激光器具有高重复频率和功率，同时具有很好的稳定性，能够满足高次谐波的产生和高效率角分辨光电子能谱实验的需要。</w:t>
      </w:r>
    </w:p>
    <w:p w14:paraId="5958F2E0">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二、服务要求</w:t>
      </w:r>
    </w:p>
    <w:p w14:paraId="5583DDD6">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1、项目履约时间、地点：</w:t>
      </w:r>
    </w:p>
    <w:p w14:paraId="3EE2421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1）履约时间：合同签订后</w:t>
      </w:r>
      <w:r>
        <w:rPr>
          <w:rFonts w:ascii="宋体" w:hAnsi="宋体"/>
          <w:color w:val="auto"/>
          <w:sz w:val="24"/>
          <w:szCs w:val="24"/>
          <w:highlight w:val="none"/>
        </w:rPr>
        <w:t>11</w:t>
      </w:r>
      <w:r>
        <w:rPr>
          <w:rFonts w:hint="eastAsia" w:ascii="宋体" w:hAnsi="宋体"/>
          <w:color w:val="auto"/>
          <w:sz w:val="24"/>
          <w:szCs w:val="24"/>
          <w:highlight w:val="none"/>
        </w:rPr>
        <w:t>个月交货。</w:t>
      </w:r>
    </w:p>
    <w:p w14:paraId="42EB9BC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2）履约地点：北京市海淀区清华大学校内</w:t>
      </w:r>
    </w:p>
    <w:p w14:paraId="6E240F01">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2、付款方式：银行转账</w:t>
      </w:r>
    </w:p>
    <w:p w14:paraId="78609DC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分期支付（在招标人支付尾款前，供应商开具与总合同金额对等的增值税专用发票）</w:t>
      </w:r>
    </w:p>
    <w:p w14:paraId="2D911A2F">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（1）合同生效后，招标人在30个工日内，向供应商支付合同价款的50%作为预付款；</w:t>
      </w:r>
    </w:p>
    <w:p w14:paraId="32A6368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（2）供应商按照合同约定交付全部合同货物，完成安装、调试并经招标人验收合格后，招标人在收到供应商提交的下列全部单据并经审核无误后30个工作日内，向供应商支付合同价款的40%。</w:t>
      </w:r>
    </w:p>
    <w:p w14:paraId="2D87588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① 供应商出具的交货清单原件一份；</w:t>
      </w:r>
    </w:p>
    <w:p w14:paraId="3C5CDBD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② 招标人签署的收货清单复印件一份；</w:t>
      </w:r>
    </w:p>
    <w:p w14:paraId="516A6693">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③ 货物验收记录复印件一份；</w:t>
      </w:r>
    </w:p>
    <w:p w14:paraId="79EDFA54">
      <w:pPr>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④</w:t>
      </w:r>
      <w:r>
        <w:rPr>
          <w:rFonts w:hint="eastAsia" w:ascii="宋体" w:hAnsi="宋体"/>
          <w:color w:val="auto"/>
          <w:sz w:val="24"/>
          <w:szCs w:val="24"/>
          <w:highlight w:val="none"/>
        </w:rPr>
        <w:tab/>
      </w:r>
      <w:r>
        <w:rPr>
          <w:rFonts w:hint="eastAsia" w:ascii="宋体" w:hAnsi="宋体"/>
          <w:color w:val="auto"/>
          <w:sz w:val="24"/>
          <w:szCs w:val="24"/>
          <w:highlight w:val="none"/>
        </w:rPr>
        <w:t>制造商出具的出厂质量合格证原件一份；</w:t>
      </w:r>
    </w:p>
    <w:p w14:paraId="39A95C0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⑤ 增值税专用发票原件一份。</w:t>
      </w:r>
    </w:p>
    <w:p w14:paraId="313D628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（3）在货物验收合格并稳定运行3个月后，在收到供应商增值税专用发票原件一份并经审核无误后30日内，招标人向供应商支付合同价格的10%。</w:t>
      </w:r>
    </w:p>
    <w:p w14:paraId="6F1FE8B5">
      <w:pPr>
        <w:spacing w:line="360" w:lineRule="auto"/>
        <w:rPr>
          <w:rFonts w:hint="eastAsia" w:ascii="宋体" w:hAnsi="宋体"/>
          <w:b/>
          <w:bCs/>
          <w:color w:val="auto"/>
          <w:sz w:val="24"/>
          <w:szCs w:val="24"/>
          <w:highlight w:val="none"/>
        </w:rPr>
      </w:pPr>
      <w:bookmarkStart w:id="1" w:name="OLE_LINK1"/>
      <w:r>
        <w:rPr>
          <w:rFonts w:hint="eastAsia" w:ascii="宋体" w:hAnsi="宋体"/>
          <w:b/>
          <w:bCs/>
          <w:color w:val="auto"/>
          <w:sz w:val="24"/>
          <w:szCs w:val="24"/>
          <w:highlight w:val="none"/>
        </w:rPr>
        <w:t>3、履约验收：</w:t>
      </w:r>
    </w:p>
    <w:bookmarkEnd w:id="1"/>
    <w:p w14:paraId="362F47F6">
      <w:pPr>
        <w:spacing w:line="360" w:lineRule="auto"/>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）验收主体：清华大学。</w:t>
      </w:r>
    </w:p>
    <w:p w14:paraId="4EE88AE6">
      <w:pPr>
        <w:spacing w:line="360" w:lineRule="auto"/>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）验收方式：由用户方组织验收。</w:t>
      </w:r>
    </w:p>
    <w:p w14:paraId="4A256DE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3）验收程序、内容及标准:</w:t>
      </w:r>
    </w:p>
    <w:p w14:paraId="18F6E4CF">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①设备签收:对进场设备进行产品签收，对全部设备、型号、数量、外型、外观进行签收，签收单附在验收文件中。</w:t>
      </w:r>
    </w:p>
    <w:p w14:paraId="52B4862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②项目整体验收:</w:t>
      </w:r>
    </w:p>
    <w:p w14:paraId="728B85C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验收时须提供详细的项目实施文档；</w:t>
      </w:r>
    </w:p>
    <w:p w14:paraId="6D97BD37">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须提供合同设备的用户手册；</w:t>
      </w:r>
    </w:p>
    <w:p w14:paraId="7142E17C">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项目整体验收：项目涉及所有软硬件设备安装调试完成后，试运行9</w:t>
      </w:r>
      <w:r>
        <w:rPr>
          <w:rFonts w:ascii="宋体" w:hAnsi="宋体"/>
          <w:color w:val="auto"/>
          <w:sz w:val="24"/>
          <w:szCs w:val="24"/>
          <w:highlight w:val="none"/>
        </w:rPr>
        <w:t>0</w:t>
      </w:r>
      <w:r>
        <w:rPr>
          <w:rFonts w:hint="eastAsia" w:ascii="宋体" w:hAnsi="宋体"/>
          <w:color w:val="auto"/>
          <w:sz w:val="24"/>
          <w:szCs w:val="24"/>
          <w:highlight w:val="none"/>
        </w:rPr>
        <w:t>天无故障，进行项目验收。</w:t>
      </w:r>
    </w:p>
    <w:p w14:paraId="2DD151A7">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4）验收标准：</w:t>
      </w:r>
    </w:p>
    <w:p w14:paraId="52363408">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确保货物如期全部到位；</w:t>
      </w:r>
    </w:p>
    <w:p w14:paraId="0476F1E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确保软硬件安装调试如期完成；</w:t>
      </w:r>
    </w:p>
    <w:p w14:paraId="6229BF1E">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确保软硬件设施正常运行；</w:t>
      </w:r>
    </w:p>
    <w:p w14:paraId="5415009B">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确保各系统平台稳定运行工作。</w:t>
      </w:r>
    </w:p>
    <w:p w14:paraId="6B7ADA5F">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4、售后服务：</w:t>
      </w:r>
    </w:p>
    <w:p w14:paraId="6318523D">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提供完善的售后服务。项目实施终验完成后</w:t>
      </w:r>
      <w:r>
        <w:rPr>
          <w:rFonts w:ascii="宋体" w:hAnsi="宋体"/>
          <w:color w:val="auto"/>
          <w:sz w:val="24"/>
          <w:szCs w:val="24"/>
          <w:highlight w:val="none"/>
        </w:rPr>
        <w:t>1</w:t>
      </w:r>
      <w:r>
        <w:rPr>
          <w:rFonts w:hint="eastAsia" w:ascii="宋体" w:hAnsi="宋体"/>
          <w:color w:val="auto"/>
          <w:sz w:val="24"/>
          <w:szCs w:val="24"/>
          <w:highlight w:val="none"/>
        </w:rPr>
        <w:t>年内，提供所有产品免费质保及售后服务；并提供 7×24小时的售后服务热线，以便用户在遇到使用问题或技术疑惑时能随时获得专业的解答和指导。</w:t>
      </w:r>
    </w:p>
    <w:p w14:paraId="3717E55F">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接到维修通知后应在24小时内派人到现场排除故障；在检修24小时后仍无法解决问题的设备，应尽快提供不低于故障设备规格型号档次的替代设备。</w:t>
      </w:r>
    </w:p>
    <w:p w14:paraId="2AC746FA">
      <w:pPr>
        <w:numPr>
          <w:ilvl w:val="0"/>
          <w:numId w:val="1"/>
        </w:num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备品备件：</w:t>
      </w:r>
    </w:p>
    <w:p w14:paraId="39FABA04">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供应商应具备备品备件库，备品备件应能全面覆盖所供应设备或项目在运行过程中可能出现故障需要更换的各类零部件。在发生紧急故障时，调配所需备件并送达现场，确保维修工作能尽快继续进行。</w:t>
      </w:r>
    </w:p>
    <w:p w14:paraId="62BEF315">
      <w:pPr>
        <w:numPr>
          <w:ilvl w:val="0"/>
          <w:numId w:val="1"/>
        </w:num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服务团队：</w:t>
      </w:r>
    </w:p>
    <w:p w14:paraId="52805F58">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为保障项目的顺利实施和运行，投标人需配备完善的项目服务团队，团队组织架构合理，分工明确，团队人员均具有相关的项目实施及服务经验。</w:t>
      </w:r>
    </w:p>
    <w:p w14:paraId="21D69055">
      <w:pPr>
        <w:numPr>
          <w:ilvl w:val="0"/>
          <w:numId w:val="1"/>
        </w:num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培训方案</w:t>
      </w:r>
      <w:r>
        <w:rPr>
          <w:rFonts w:hint="eastAsia" w:ascii="宋体" w:hAnsi="宋体"/>
          <w:color w:val="auto"/>
          <w:sz w:val="24"/>
          <w:szCs w:val="24"/>
          <w:highlight w:val="none"/>
        </w:rPr>
        <w:t>：提供产品使用指导培训。至少一次产品使用培训/技术培训，含培训过程+答疑。</w:t>
      </w:r>
    </w:p>
    <w:p w14:paraId="4165CB83">
      <w:pPr>
        <w:pStyle w:val="2"/>
        <w:widowControl/>
        <w:tabs>
          <w:tab w:val="left" w:pos="420"/>
          <w:tab w:val="left" w:pos="720"/>
        </w:tabs>
        <w:spacing w:after="120"/>
        <w:rPr>
          <w:rFonts w:hint="eastAsia" w:ascii="宋体" w:hAnsi="宋体"/>
          <w:color w:val="auto"/>
          <w:sz w:val="24"/>
          <w:szCs w:val="24"/>
          <w:highlight w:val="none"/>
        </w:rPr>
      </w:pPr>
      <w:r>
        <w:rPr>
          <w:rFonts w:hint="eastAsia" w:ascii="宋体" w:hAnsi="宋体"/>
          <w:color w:val="auto"/>
          <w:sz w:val="24"/>
          <w:szCs w:val="24"/>
          <w:highlight w:val="none"/>
        </w:rPr>
        <w:t>三、采购产品</w:t>
      </w:r>
      <w:bookmarkStart w:id="2" w:name="_Hlk181104614"/>
      <w:r>
        <w:rPr>
          <w:rFonts w:hint="eastAsia" w:ascii="宋体" w:hAnsi="宋体"/>
          <w:color w:val="auto"/>
          <w:sz w:val="24"/>
          <w:szCs w:val="24"/>
          <w:highlight w:val="none"/>
        </w:rPr>
        <w:t>要求</w:t>
      </w:r>
    </w:p>
    <w:bookmarkEnd w:id="2"/>
    <w:p w14:paraId="56CD55F8">
      <w:pPr>
        <w:pStyle w:val="3"/>
        <w:tabs>
          <w:tab w:val="left" w:pos="720"/>
        </w:tabs>
        <w:spacing w:line="360" w:lineRule="auto"/>
        <w:ind w:firstLine="482" w:firstLineChars="200"/>
        <w:rPr>
          <w:rFonts w:hint="eastAsia" w:ascii="宋体" w:hAnsi="宋体"/>
          <w:color w:val="auto"/>
          <w:sz w:val="24"/>
          <w:szCs w:val="24"/>
          <w:highlight w:val="none"/>
        </w:rPr>
      </w:pPr>
      <w:bookmarkStart w:id="3" w:name="_Toc88839301"/>
      <w:r>
        <w:rPr>
          <w:rFonts w:hint="eastAsia" w:ascii="宋体" w:hAnsi="宋体"/>
          <w:color w:val="auto"/>
          <w:sz w:val="24"/>
          <w:szCs w:val="24"/>
          <w:highlight w:val="none"/>
        </w:rPr>
        <w:t>（</w:t>
      </w:r>
      <w:r>
        <w:rPr>
          <w:rFonts w:ascii="宋体" w:hAnsi="宋体"/>
          <w:color w:val="auto"/>
          <w:sz w:val="24"/>
          <w:szCs w:val="24"/>
          <w:highlight w:val="none"/>
        </w:rPr>
        <w:t>一</w:t>
      </w:r>
      <w:r>
        <w:rPr>
          <w:rFonts w:hint="eastAsia" w:ascii="宋体" w:hAnsi="宋体"/>
          <w:color w:val="auto"/>
          <w:sz w:val="24"/>
          <w:szCs w:val="24"/>
          <w:highlight w:val="none"/>
        </w:rPr>
        <w:t>）</w:t>
      </w:r>
      <w:r>
        <w:rPr>
          <w:rFonts w:ascii="宋体" w:hAnsi="宋体"/>
          <w:color w:val="auto"/>
          <w:sz w:val="24"/>
          <w:szCs w:val="24"/>
          <w:highlight w:val="none"/>
        </w:rPr>
        <w:t>需求一览表</w:t>
      </w:r>
      <w:bookmarkEnd w:id="3"/>
    </w:p>
    <w:tbl>
      <w:tblPr>
        <w:tblStyle w:val="6"/>
        <w:tblW w:w="8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3853"/>
        <w:gridCol w:w="2055"/>
      </w:tblGrid>
      <w:tr w14:paraId="3025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235" w:type="dxa"/>
          </w:tcPr>
          <w:p w14:paraId="1E67E8FB">
            <w:pPr>
              <w:spacing w:line="360" w:lineRule="auto"/>
              <w:ind w:left="420" w:firstLine="241" w:firstLineChars="100"/>
              <w:rPr>
                <w:rFonts w:hint="eastAsia" w:ascii="宋体" w:hAnsi="宋体"/>
                <w:b/>
                <w:color w:val="auto"/>
                <w:sz w:val="24"/>
                <w:szCs w:val="24"/>
                <w:highlight w:val="none"/>
              </w:rPr>
            </w:pPr>
            <w:r>
              <w:rPr>
                <w:rFonts w:ascii="宋体" w:hAnsi="宋体"/>
                <w:b/>
                <w:color w:val="auto"/>
                <w:sz w:val="24"/>
                <w:szCs w:val="24"/>
                <w:highlight w:val="none"/>
              </w:rPr>
              <w:t>包号</w:t>
            </w:r>
          </w:p>
        </w:tc>
        <w:tc>
          <w:tcPr>
            <w:tcW w:w="3853" w:type="dxa"/>
            <w:vAlign w:val="center"/>
          </w:tcPr>
          <w:p w14:paraId="1361AF84">
            <w:pPr>
              <w:spacing w:line="360" w:lineRule="auto"/>
              <w:ind w:left="420"/>
              <w:jc w:val="center"/>
              <w:rPr>
                <w:rFonts w:hint="eastAsia" w:ascii="宋体" w:hAnsi="宋体"/>
                <w:b/>
                <w:color w:val="auto"/>
                <w:sz w:val="24"/>
                <w:szCs w:val="24"/>
                <w:highlight w:val="none"/>
              </w:rPr>
            </w:pPr>
            <w:r>
              <w:rPr>
                <w:rFonts w:ascii="宋体" w:hAnsi="宋体"/>
                <w:b/>
                <w:color w:val="auto"/>
                <w:sz w:val="24"/>
                <w:szCs w:val="24"/>
                <w:highlight w:val="none"/>
              </w:rPr>
              <w:t>名称</w:t>
            </w:r>
          </w:p>
        </w:tc>
        <w:tc>
          <w:tcPr>
            <w:tcW w:w="2055" w:type="dxa"/>
            <w:vAlign w:val="center"/>
          </w:tcPr>
          <w:p w14:paraId="259715A0">
            <w:pPr>
              <w:spacing w:line="360" w:lineRule="auto"/>
              <w:ind w:left="420"/>
              <w:rPr>
                <w:rFonts w:hint="eastAsia" w:ascii="宋体" w:hAnsi="宋体"/>
                <w:b/>
                <w:color w:val="auto"/>
                <w:sz w:val="24"/>
                <w:szCs w:val="24"/>
                <w:highlight w:val="none"/>
              </w:rPr>
            </w:pPr>
            <w:r>
              <w:rPr>
                <w:rFonts w:ascii="宋体" w:hAnsi="宋体"/>
                <w:b/>
                <w:color w:val="auto"/>
                <w:sz w:val="24"/>
                <w:szCs w:val="24"/>
                <w:highlight w:val="none"/>
              </w:rPr>
              <w:t>数量</w:t>
            </w:r>
          </w:p>
        </w:tc>
      </w:tr>
      <w:tr w14:paraId="7BEA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235" w:type="dxa"/>
            <w:vAlign w:val="center"/>
          </w:tcPr>
          <w:p w14:paraId="238FCCBF">
            <w:pPr>
              <w:spacing w:line="360" w:lineRule="auto"/>
              <w:jc w:val="center"/>
              <w:rPr>
                <w:rFonts w:hint="eastAsia" w:ascii="宋体" w:hAnsi="宋体"/>
                <w:color w:val="auto"/>
                <w:sz w:val="24"/>
                <w:szCs w:val="24"/>
                <w:highlight w:val="none"/>
                <w:lang w:val="zh-TW"/>
              </w:rPr>
            </w:pPr>
            <w:r>
              <w:rPr>
                <w:rFonts w:ascii="宋体" w:hAnsi="宋体"/>
                <w:color w:val="auto"/>
                <w:sz w:val="24"/>
                <w:szCs w:val="24"/>
                <w:highlight w:val="none"/>
                <w:lang w:val="zh-TW"/>
              </w:rPr>
              <w:t>01</w:t>
            </w:r>
          </w:p>
        </w:tc>
        <w:tc>
          <w:tcPr>
            <w:tcW w:w="3853" w:type="dxa"/>
            <w:vAlign w:val="center"/>
          </w:tcPr>
          <w:p w14:paraId="5EAE8736">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激光器</w:t>
            </w:r>
          </w:p>
        </w:tc>
        <w:tc>
          <w:tcPr>
            <w:tcW w:w="2055" w:type="dxa"/>
            <w:vAlign w:val="center"/>
          </w:tcPr>
          <w:p w14:paraId="68861BED">
            <w:pPr>
              <w:spacing w:line="360" w:lineRule="auto"/>
              <w:ind w:left="420"/>
              <w:jc w:val="center"/>
              <w:rPr>
                <w:rFonts w:hint="eastAsia" w:ascii="宋体" w:hAnsi="宋体"/>
                <w:color w:val="auto"/>
                <w:sz w:val="24"/>
                <w:szCs w:val="24"/>
                <w:highlight w:val="none"/>
              </w:rPr>
            </w:pPr>
            <w:r>
              <w:rPr>
                <w:rFonts w:ascii="宋体" w:hAnsi="宋体"/>
                <w:color w:val="auto"/>
                <w:sz w:val="24"/>
                <w:szCs w:val="24"/>
                <w:highlight w:val="none"/>
              </w:rPr>
              <w:t>1套</w:t>
            </w:r>
          </w:p>
        </w:tc>
      </w:tr>
    </w:tbl>
    <w:p w14:paraId="7198B12E">
      <w:pPr>
        <w:pStyle w:val="3"/>
        <w:tabs>
          <w:tab w:val="left" w:pos="720"/>
        </w:tabs>
        <w:ind w:firstLine="482" w:firstLineChars="200"/>
        <w:rPr>
          <w:rFonts w:hint="eastAsia" w:asciiTheme="minorEastAsia" w:hAnsiTheme="minorEastAsia" w:eastAsiaTheme="minorEastAsia"/>
          <w:color w:val="auto"/>
          <w:sz w:val="24"/>
          <w:szCs w:val="24"/>
          <w:highlight w:val="none"/>
        </w:rPr>
      </w:pPr>
      <w:bookmarkStart w:id="4" w:name="_Toc88839302"/>
      <w:r>
        <w:rPr>
          <w:rFonts w:asciiTheme="minorEastAsia" w:hAnsiTheme="minorEastAsia" w:eastAsiaTheme="minorEastAsia"/>
          <w:color w:val="auto"/>
          <w:sz w:val="24"/>
          <w:szCs w:val="24"/>
          <w:highlight w:val="none"/>
        </w:rPr>
        <w:t>用途</w:t>
      </w:r>
      <w:r>
        <w:rPr>
          <w:rFonts w:hint="eastAsia" w:asciiTheme="minorEastAsia" w:hAnsiTheme="minorEastAsia" w:eastAsiaTheme="minorEastAsia"/>
          <w:color w:val="auto"/>
          <w:sz w:val="24"/>
          <w:szCs w:val="24"/>
          <w:highlight w:val="none"/>
        </w:rPr>
        <w:t>：用于研制飞秒高次谐波探测光源，和泵浦的中红外差频光源。进一步该激光器将被用于探测例如石墨烯和过渡金属硫族化合物等量子材料的新奇电子结构。</w:t>
      </w:r>
    </w:p>
    <w:p w14:paraId="623ADFD0">
      <w:pPr>
        <w:pStyle w:val="3"/>
        <w:tabs>
          <w:tab w:val="left" w:pos="720"/>
        </w:tabs>
        <w:spacing w:line="360" w:lineRule="auto"/>
        <w:ind w:firstLine="482" w:firstLineChars="20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二</w:t>
      </w:r>
      <w:r>
        <w:rPr>
          <w:rFonts w:hint="eastAsia" w:ascii="宋体" w:hAnsi="宋体"/>
          <w:color w:val="auto"/>
          <w:sz w:val="24"/>
          <w:szCs w:val="24"/>
          <w:highlight w:val="none"/>
        </w:rPr>
        <w:t>）</w:t>
      </w:r>
      <w:r>
        <w:rPr>
          <w:rFonts w:ascii="宋体" w:hAnsi="宋体"/>
          <w:color w:val="auto"/>
          <w:sz w:val="24"/>
          <w:szCs w:val="24"/>
          <w:highlight w:val="none"/>
        </w:rPr>
        <w:t>技术规格</w:t>
      </w:r>
      <w:bookmarkEnd w:id="4"/>
    </w:p>
    <w:p w14:paraId="6E3008D0">
      <w:pPr>
        <w:pStyle w:val="3"/>
        <w:tabs>
          <w:tab w:val="left" w:pos="720"/>
        </w:tabs>
        <w:ind w:firstLine="482" w:firstLineChars="200"/>
        <w:rPr>
          <w:rFonts w:hint="eastAsia" w:asciiTheme="minorEastAsia" w:hAnsiTheme="minorEastAsia" w:eastAsiaTheme="minorEastAsia"/>
          <w:color w:val="auto"/>
          <w:sz w:val="24"/>
          <w:szCs w:val="24"/>
          <w:highlight w:val="none"/>
        </w:rPr>
      </w:pPr>
      <w:bookmarkStart w:id="5" w:name="_Toc88839303"/>
      <w:r>
        <w:rPr>
          <w:rFonts w:hint="eastAsia" w:asciiTheme="minorEastAsia" w:hAnsiTheme="minorEastAsia" w:eastAsiaTheme="minorEastAsia"/>
          <w:color w:val="auto"/>
          <w:sz w:val="24"/>
          <w:szCs w:val="24"/>
          <w:highlight w:val="none"/>
        </w:rPr>
        <w:t>1．工作条件</w:t>
      </w:r>
    </w:p>
    <w:p w14:paraId="43CF0B5F">
      <w:pPr>
        <w:spacing w:line="360" w:lineRule="auto"/>
        <w:ind w:left="567" w:leftChars="270"/>
        <w:jc w:val="left"/>
        <w:rPr>
          <w:rFonts w:hint="eastAsia" w:asciiTheme="minorEastAsia" w:hAnsiTheme="minorEastAsia" w:eastAsiaTheme="minorEastAsia"/>
          <w:color w:val="auto"/>
          <w:position w:val="-20"/>
          <w:sz w:val="24"/>
          <w:szCs w:val="24"/>
          <w:highlight w:val="none"/>
        </w:rPr>
      </w:pPr>
      <w:r>
        <w:rPr>
          <w:rFonts w:hint="eastAsia" w:asciiTheme="minorEastAsia" w:hAnsiTheme="minorEastAsia" w:eastAsiaTheme="minorEastAsia"/>
          <w:color w:val="auto"/>
          <w:position w:val="-20"/>
          <w:sz w:val="24"/>
          <w:szCs w:val="24"/>
          <w:highlight w:val="none"/>
        </w:rPr>
        <w:t>1</w:t>
      </w:r>
      <w:r>
        <w:rPr>
          <w:rFonts w:asciiTheme="minorEastAsia" w:hAnsiTheme="minorEastAsia" w:eastAsiaTheme="minorEastAsia"/>
          <w:color w:val="auto"/>
          <w:position w:val="-20"/>
          <w:sz w:val="24"/>
          <w:szCs w:val="24"/>
          <w:highlight w:val="none"/>
        </w:rPr>
        <w:t>.1</w:t>
      </w:r>
      <w:r>
        <w:rPr>
          <w:rFonts w:hint="eastAsia" w:asciiTheme="minorEastAsia" w:hAnsiTheme="minorEastAsia" w:eastAsiaTheme="minorEastAsia"/>
          <w:color w:val="auto"/>
          <w:position w:val="-20"/>
          <w:sz w:val="24"/>
          <w:szCs w:val="24"/>
          <w:highlight w:val="none"/>
        </w:rPr>
        <w:t>工作温度和湿度：温度</w:t>
      </w:r>
      <w:r>
        <w:rPr>
          <w:rFonts w:asciiTheme="minorEastAsia" w:hAnsiTheme="minorEastAsia" w:eastAsiaTheme="minorEastAsia"/>
          <w:color w:val="auto"/>
          <w:position w:val="-20"/>
          <w:sz w:val="24"/>
          <w:szCs w:val="24"/>
          <w:highlight w:val="none"/>
        </w:rPr>
        <w:t xml:space="preserve">19 </w:t>
      </w:r>
      <w:r>
        <w:rPr>
          <w:rFonts w:hint="eastAsia" w:asciiTheme="minorEastAsia" w:hAnsiTheme="minorEastAsia" w:eastAsiaTheme="minorEastAsia"/>
          <w:color w:val="auto"/>
          <w:position w:val="-20"/>
          <w:sz w:val="24"/>
          <w:szCs w:val="24"/>
          <w:highlight w:val="none"/>
        </w:rPr>
        <w:t>–</w:t>
      </w:r>
      <w:r>
        <w:rPr>
          <w:rFonts w:asciiTheme="minorEastAsia" w:hAnsiTheme="minorEastAsia" w:eastAsiaTheme="minorEastAsia"/>
          <w:color w:val="auto"/>
          <w:position w:val="-20"/>
          <w:sz w:val="24"/>
          <w:szCs w:val="24"/>
          <w:highlight w:val="none"/>
        </w:rPr>
        <w:t xml:space="preserve"> 25 </w:t>
      </w:r>
      <w:r>
        <w:rPr>
          <w:rFonts w:hint="eastAsia" w:asciiTheme="minorEastAsia" w:hAnsiTheme="minorEastAsia" w:eastAsiaTheme="minorEastAsia"/>
          <w:color w:val="auto"/>
          <w:position w:val="-20"/>
          <w:sz w:val="24"/>
          <w:szCs w:val="24"/>
          <w:highlight w:val="none"/>
        </w:rPr>
        <w:t>º</w:t>
      </w:r>
      <w:r>
        <w:rPr>
          <w:rFonts w:asciiTheme="minorEastAsia" w:hAnsiTheme="minorEastAsia" w:eastAsiaTheme="minorEastAsia"/>
          <w:color w:val="auto"/>
          <w:position w:val="-20"/>
          <w:sz w:val="24"/>
          <w:szCs w:val="24"/>
          <w:highlight w:val="none"/>
        </w:rPr>
        <w:t>C</w:t>
      </w:r>
      <w:r>
        <w:rPr>
          <w:rFonts w:hint="eastAsia" w:asciiTheme="minorEastAsia" w:hAnsiTheme="minorEastAsia" w:eastAsiaTheme="minorEastAsia"/>
          <w:color w:val="auto"/>
          <w:position w:val="-20"/>
          <w:sz w:val="24"/>
          <w:szCs w:val="24"/>
          <w:highlight w:val="none"/>
        </w:rPr>
        <w:t>；湿度</w:t>
      </w:r>
      <w:r>
        <w:rPr>
          <w:rFonts w:asciiTheme="minorEastAsia" w:hAnsiTheme="minorEastAsia" w:eastAsiaTheme="minorEastAsia"/>
          <w:color w:val="auto"/>
          <w:position w:val="-20"/>
          <w:sz w:val="24"/>
          <w:szCs w:val="24"/>
          <w:highlight w:val="none"/>
        </w:rPr>
        <w:t xml:space="preserve"> 20 – 70%</w:t>
      </w:r>
    </w:p>
    <w:p w14:paraId="78F4266E">
      <w:pPr>
        <w:spacing w:line="360" w:lineRule="auto"/>
        <w:ind w:left="567" w:leftChars="270"/>
        <w:jc w:val="left"/>
        <w:rPr>
          <w:rFonts w:hint="eastAsia" w:asciiTheme="minorEastAsia" w:hAnsiTheme="minorEastAsia" w:eastAsiaTheme="minorEastAsia"/>
          <w:color w:val="auto"/>
          <w:position w:val="-14"/>
          <w:sz w:val="24"/>
          <w:szCs w:val="24"/>
          <w:highlight w:val="none"/>
        </w:rPr>
      </w:pPr>
      <w:r>
        <w:rPr>
          <w:rFonts w:hint="eastAsia" w:asciiTheme="minorEastAsia" w:hAnsiTheme="minorEastAsia" w:eastAsiaTheme="minorEastAsia"/>
          <w:color w:val="auto"/>
          <w:position w:val="-14"/>
          <w:sz w:val="24"/>
          <w:szCs w:val="24"/>
          <w:highlight w:val="none"/>
        </w:rPr>
        <w:t>1</w:t>
      </w:r>
      <w:r>
        <w:rPr>
          <w:rFonts w:asciiTheme="minorEastAsia" w:hAnsiTheme="minorEastAsia" w:eastAsiaTheme="minorEastAsia"/>
          <w:color w:val="auto"/>
          <w:position w:val="-14"/>
          <w:sz w:val="24"/>
          <w:szCs w:val="24"/>
          <w:highlight w:val="none"/>
        </w:rPr>
        <w:t xml:space="preserve">.2 </w:t>
      </w:r>
      <w:r>
        <w:rPr>
          <w:rFonts w:hint="eastAsia" w:asciiTheme="minorEastAsia" w:hAnsiTheme="minorEastAsia" w:eastAsiaTheme="minorEastAsia"/>
          <w:color w:val="auto"/>
          <w:position w:val="-14"/>
          <w:sz w:val="24"/>
          <w:szCs w:val="24"/>
          <w:highlight w:val="none"/>
        </w:rPr>
        <w:t>电力要求：</w:t>
      </w:r>
      <w:r>
        <w:rPr>
          <w:rFonts w:asciiTheme="minorEastAsia" w:hAnsiTheme="minorEastAsia" w:eastAsiaTheme="minorEastAsia"/>
          <w:color w:val="auto"/>
          <w:position w:val="-14"/>
          <w:sz w:val="24"/>
          <w:szCs w:val="24"/>
          <w:highlight w:val="none"/>
        </w:rPr>
        <w:t xml:space="preserve"> 100 – 240 V AC, 1.4 A; 50 – 60 Hz</w:t>
      </w:r>
    </w:p>
    <w:p w14:paraId="497351E1">
      <w:pPr>
        <w:spacing w:line="360" w:lineRule="auto"/>
        <w:ind w:left="567" w:leftChars="270"/>
        <w:jc w:val="left"/>
        <w:rPr>
          <w:rFonts w:hint="eastAsia" w:asciiTheme="minorEastAsia" w:hAnsiTheme="minorEastAsia" w:eastAsiaTheme="minorEastAsia"/>
          <w:color w:val="auto"/>
          <w:position w:val="-16"/>
          <w:sz w:val="24"/>
          <w:szCs w:val="24"/>
          <w:highlight w:val="none"/>
        </w:rPr>
      </w:pPr>
      <w:r>
        <w:rPr>
          <w:rFonts w:hint="eastAsia" w:asciiTheme="minorEastAsia" w:hAnsiTheme="minorEastAsia" w:eastAsiaTheme="minorEastAsia"/>
          <w:color w:val="auto"/>
          <w:position w:val="-16"/>
          <w:sz w:val="24"/>
          <w:szCs w:val="24"/>
          <w:highlight w:val="none"/>
        </w:rPr>
        <w:t>1</w:t>
      </w:r>
      <w:r>
        <w:rPr>
          <w:rFonts w:asciiTheme="minorEastAsia" w:hAnsiTheme="minorEastAsia" w:eastAsiaTheme="minorEastAsia"/>
          <w:color w:val="auto"/>
          <w:position w:val="-16"/>
          <w:sz w:val="24"/>
          <w:szCs w:val="24"/>
          <w:highlight w:val="none"/>
        </w:rPr>
        <w:t xml:space="preserve">.3 </w:t>
      </w:r>
      <w:r>
        <w:rPr>
          <w:rFonts w:hint="eastAsia" w:asciiTheme="minorEastAsia" w:hAnsiTheme="minorEastAsia" w:eastAsiaTheme="minorEastAsia"/>
          <w:color w:val="auto"/>
          <w:position w:val="-16"/>
          <w:sz w:val="24"/>
          <w:szCs w:val="24"/>
          <w:highlight w:val="none"/>
        </w:rPr>
        <w:t>场地要求：置于光学平台上，空间大于</w:t>
      </w:r>
      <w:r>
        <w:rPr>
          <w:rFonts w:asciiTheme="minorEastAsia" w:hAnsiTheme="minorEastAsia" w:eastAsiaTheme="minorEastAsia"/>
          <w:color w:val="auto"/>
          <w:position w:val="-16"/>
          <w:sz w:val="24"/>
          <w:szCs w:val="24"/>
          <w:highlight w:val="none"/>
        </w:rPr>
        <w:t>4</w:t>
      </w:r>
      <w:r>
        <w:rPr>
          <w:rFonts w:hint="eastAsia" w:asciiTheme="minorEastAsia" w:hAnsiTheme="minorEastAsia" w:eastAsiaTheme="minorEastAsia"/>
          <w:color w:val="auto"/>
          <w:position w:val="-16"/>
          <w:sz w:val="24"/>
          <w:szCs w:val="24"/>
          <w:highlight w:val="none"/>
        </w:rPr>
        <w:t>平方米</w:t>
      </w:r>
    </w:p>
    <w:p w14:paraId="681911C2">
      <w:pPr>
        <w:pStyle w:val="3"/>
        <w:tabs>
          <w:tab w:val="left" w:pos="720"/>
        </w:tabs>
        <w:ind w:firstLine="482" w:firstLineChars="20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2．配置要求</w:t>
      </w:r>
    </w:p>
    <w:p w14:paraId="24CB2455">
      <w:pPr>
        <w:spacing w:line="360" w:lineRule="auto"/>
        <w:ind w:left="567" w:leftChars="270"/>
        <w:rPr>
          <w:rFonts w:hint="eastAsia" w:asciiTheme="minorEastAsia" w:hAnsiTheme="minorEastAsia" w:eastAsiaTheme="minorEastAsia"/>
          <w:color w:val="auto"/>
          <w:position w:val="-20"/>
          <w:sz w:val="24"/>
          <w:szCs w:val="24"/>
          <w:highlight w:val="none"/>
        </w:rPr>
      </w:pPr>
      <w:r>
        <w:rPr>
          <w:rFonts w:hint="eastAsia" w:asciiTheme="minorEastAsia" w:hAnsiTheme="minorEastAsia" w:eastAsiaTheme="minorEastAsia"/>
          <w:color w:val="auto"/>
          <w:sz w:val="24"/>
          <w:szCs w:val="24"/>
          <w:highlight w:val="none"/>
        </w:rPr>
        <w:t>2.1高功率高重频</w:t>
      </w:r>
      <w:r>
        <w:rPr>
          <w:rFonts w:asciiTheme="minorEastAsia" w:hAnsiTheme="minorEastAsia" w:eastAsiaTheme="minorEastAsia"/>
          <w:color w:val="auto"/>
          <w:sz w:val="24"/>
          <w:szCs w:val="24"/>
          <w:highlight w:val="none"/>
        </w:rPr>
        <w:t>Yb</w:t>
      </w:r>
      <w:r>
        <w:rPr>
          <w:rFonts w:hint="eastAsia" w:asciiTheme="minorEastAsia" w:hAnsiTheme="minorEastAsia" w:eastAsiaTheme="minorEastAsia"/>
          <w:color w:val="auto"/>
          <w:sz w:val="24"/>
          <w:szCs w:val="24"/>
          <w:highlight w:val="none"/>
        </w:rPr>
        <w:t>双路同步飞秒激光器组合一套。其中双路激光共用同一个种子源及相关控制，需使用一体化全固态设计。</w:t>
      </w:r>
    </w:p>
    <w:p w14:paraId="203D9717">
      <w:pPr>
        <w:pStyle w:val="3"/>
        <w:tabs>
          <w:tab w:val="left" w:pos="720"/>
        </w:tabs>
        <w:ind w:firstLine="482" w:firstLineChars="20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3．技术要求</w:t>
      </w:r>
    </w:p>
    <w:p w14:paraId="75DA0865">
      <w:pPr>
        <w:pStyle w:val="4"/>
        <w:spacing w:line="360" w:lineRule="auto"/>
        <w:ind w:left="1" w:firstLine="804" w:firstLineChars="3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3.1 激光中心波长：1030±10 nm</w:t>
      </w:r>
    </w:p>
    <w:p w14:paraId="48810FFD">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▲3.2 激光器类型：全固体晶体，一体化设计</w:t>
      </w:r>
    </w:p>
    <w:p w14:paraId="1A4F3C26">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★3.3 单路输出功率：≥28 W</w:t>
      </w:r>
    </w:p>
    <w:p w14:paraId="6CC32C1C">
      <w:pPr>
        <w:pStyle w:val="4"/>
        <w:spacing w:line="360" w:lineRule="auto"/>
        <w:ind w:left="1" w:firstLine="804" w:firstLineChars="3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3.4 重复频率可调，单脉冲-1 MHz可调</w:t>
      </w:r>
    </w:p>
    <w:p w14:paraId="168011C1">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▲3.5 双路激光放大器共用同一个种子源及相关控制，双独立光参量放大器集成一体化设计</w:t>
      </w:r>
    </w:p>
    <w:p w14:paraId="4A35DC06">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★3.6 最短脉冲宽度小于250 fs，脉冲宽度可调节至10 ps</w:t>
      </w:r>
    </w:p>
    <w:p w14:paraId="0F46B3E4">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★3.7 最大单脉冲能量≥400 μJ</w:t>
      </w:r>
    </w:p>
    <w:p w14:paraId="266FDFE9">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▲3.8 脉冲间能量稳定性：＜0.5% rms（24小时）</w:t>
      </w:r>
      <w:r>
        <w:rPr>
          <w:rFonts w:hint="eastAsia" w:asciiTheme="minorEastAsia" w:hAnsiTheme="minorEastAsia" w:eastAsiaTheme="minorEastAsia"/>
          <w:b/>
          <w:color w:val="auto"/>
          <w:sz w:val="24"/>
          <w:szCs w:val="24"/>
          <w:highlight w:val="none"/>
        </w:rPr>
        <w:t xml:space="preserve"> </w:t>
      </w:r>
    </w:p>
    <w:p w14:paraId="2CEDBC52">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▲3.9 光斑质量 M</w:t>
      </w:r>
      <w:r>
        <w:rPr>
          <w:rFonts w:hint="eastAsia" w:asciiTheme="minorEastAsia" w:hAnsiTheme="minorEastAsia" w:eastAsiaTheme="minorEastAsia"/>
          <w:color w:val="auto"/>
          <w:sz w:val="24"/>
          <w:szCs w:val="24"/>
          <w:highlight w:val="none"/>
          <w:vertAlign w:val="superscript"/>
        </w:rPr>
        <w:t>2</w:t>
      </w:r>
      <w:r>
        <w:rPr>
          <w:rFonts w:hint="eastAsia" w:asciiTheme="minorEastAsia" w:hAnsiTheme="minorEastAsia" w:eastAsiaTheme="minorEastAsia"/>
          <w:color w:val="auto"/>
          <w:sz w:val="24"/>
          <w:szCs w:val="24"/>
          <w:highlight w:val="none"/>
        </w:rPr>
        <w:t>&lt;1.2</w:t>
      </w:r>
    </w:p>
    <w:p w14:paraId="375E64FD">
      <w:pPr>
        <w:pStyle w:val="4"/>
        <w:spacing w:line="360" w:lineRule="auto"/>
        <w:ind w:left="1" w:firstLine="564" w:firstLineChars="235"/>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★3.10.DFG调谐输出波长4.5-15 μm，且具有被动CEP稳定</w:t>
      </w:r>
    </w:p>
    <w:bookmarkEnd w:id="5"/>
    <w:p w14:paraId="6FA3CCE3">
      <w:pPr>
        <w:jc w:val="both"/>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6A207">
    <w:pPr>
      <w:pStyle w:val="5"/>
      <w:jc w:val="center"/>
    </w:pPr>
    <w:r>
      <w:fldChar w:fldCharType="begin"/>
    </w:r>
    <w:r>
      <w:instrText xml:space="preserve">PAGE   \* MERGEFORMAT</w:instrText>
    </w:r>
    <w:r>
      <w:fldChar w:fldCharType="separate"/>
    </w:r>
    <w:r>
      <w:rPr>
        <w:lang w:val="zh-CN"/>
      </w:rPr>
      <w:t>11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51D4">
    <w:pPr>
      <w:pStyle w:val="5"/>
      <w:jc w:val="center"/>
    </w:pPr>
    <w:r>
      <w:fldChar w:fldCharType="begin"/>
    </w:r>
    <w:r>
      <w:instrText xml:space="preserve">PAGE   \* MERGEFORMAT</w:instrText>
    </w:r>
    <w:r>
      <w:fldChar w:fldCharType="separate"/>
    </w:r>
    <w:r>
      <w:rPr>
        <w:lang w:val="zh-CN"/>
      </w:rPr>
      <w:t>39</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A"/>
    <w:multiLevelType w:val="singleLevel"/>
    <w:tmpl w:val="0000001A"/>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790A18"/>
    <w:rsid w:val="57790A18"/>
    <w:rsid w:val="66812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qFormat/>
    <w:uiPriority w:val="0"/>
    <w:pPr>
      <w:keepNext/>
      <w:keepLines/>
      <w:spacing w:before="120" w:after="120"/>
      <w:outlineLvl w:val="2"/>
    </w:pPr>
    <w:rPr>
      <w:b/>
      <w:bCs/>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等线" w:hAnsi="等线" w:eastAsia="等线" w:cs="宋体"/>
      <w:szCs w:val="22"/>
    </w:rPr>
  </w:style>
  <w:style w:type="paragraph" w:styleId="5">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1909</Words>
  <Characters>2013</Characters>
  <Lines>0</Lines>
  <Paragraphs>0</Paragraphs>
  <TotalTime>0</TotalTime>
  <ScaleCrop>false</ScaleCrop>
  <LinksUpToDate>false</LinksUpToDate>
  <CharactersWithSpaces>2057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2025-02-20T08:18:00Z</dcterms:created>
  <dc:creator>禾</dc:creator>
  <cp:lastModifiedBy>清</cp:lastModifiedBy>
  <dcterms:modified xsi:type="dcterms:W3CDTF">2025-02-21T03:21:04Z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6713125AAA764D8B84B863D4B12775B5_13</vt:lpwstr>
  </property>
  <property fmtid="{D5CDD505-2E9C-101B-9397-08002B2CF9AE}" pid="4" name="KSOTemplateDocerSaveRecord">
    <vt:lpwstr>eyJoZGlkIjoiMGU3ZjBiYTczNTZmZGYzM2UwNWEzNzZmMmQ3YjM4NTUiLCJ1c2VySWQiOiI0ODA4NjEzNDAifQ==</vt:lpwstr>
  </property>
</Properties>
</file>