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A52BA">
      <w:pPr>
        <w:jc w:val="left"/>
        <w:rPr>
          <w:rFonts w:ascii="黑体" w:eastAsia="黑体" w:hAnsi="黑体" w:cs="黑体" w:hint="eastAsia"/>
          <w:sz w:val="32"/>
          <w:szCs w:val="32"/>
        </w:rPr>
      </w:pPr>
      <w:r>
        <w:rPr>
          <w:rFonts w:ascii="黑体" w:eastAsia="黑体" w:hAnsi="黑体" w:cs="黑体" w:hint="eastAsia"/>
          <w:sz w:val="32"/>
          <w:szCs w:val="32"/>
        </w:rPr>
        <w:t>附件</w:t>
      </w:r>
      <w:r>
        <w:rPr>
          <w:rFonts w:ascii="黑体" w:eastAsia="黑体" w:hAnsi="黑体" w:cs="黑体" w:hint="eastAsia"/>
          <w:sz w:val="32"/>
          <w:szCs w:val="32"/>
        </w:rPr>
        <w:t>1</w:t>
      </w:r>
    </w:p>
    <w:p w:rsidR="00000000" w:rsidRDefault="000A52BA">
      <w:pPr>
        <w:spacing w:beforeLines="50" w:afterLines="50" w:line="480" w:lineRule="auto"/>
        <w:jc w:val="center"/>
        <w:rPr>
          <w:rFonts w:ascii="黑体" w:eastAsia="黑体" w:hAnsi="宋体" w:hint="eastAsia"/>
          <w:sz w:val="36"/>
          <w:szCs w:val="21"/>
        </w:rPr>
      </w:pPr>
      <w:r>
        <w:rPr>
          <w:rFonts w:ascii="黑体" w:eastAsia="黑体" w:hAnsi="宋体" w:hint="eastAsia"/>
          <w:sz w:val="36"/>
          <w:szCs w:val="21"/>
        </w:rPr>
        <w:t>14</w:t>
      </w:r>
      <w:r>
        <w:rPr>
          <w:rFonts w:ascii="黑体" w:eastAsia="黑体" w:hAnsi="宋体" w:hint="eastAsia"/>
          <w:sz w:val="36"/>
          <w:szCs w:val="21"/>
        </w:rPr>
        <w:t>项电子行业标准名称及主要内容</w:t>
      </w:r>
    </w:p>
    <w:tbl>
      <w:tblPr>
        <w:tblW w:w="0" w:type="auto"/>
        <w:jc w:val="center"/>
        <w:tblInd w:w="0" w:type="dxa"/>
        <w:tblLayout w:type="fixed"/>
        <w:tblCellMar>
          <w:top w:w="17" w:type="dxa"/>
          <w:bottom w:w="17" w:type="dxa"/>
        </w:tblCellMar>
        <w:tblLook w:val="0000"/>
      </w:tblPr>
      <w:tblGrid>
        <w:gridCol w:w="617"/>
        <w:gridCol w:w="1890"/>
        <w:gridCol w:w="2932"/>
        <w:gridCol w:w="6069"/>
        <w:gridCol w:w="1568"/>
        <w:gridCol w:w="1634"/>
      </w:tblGrid>
      <w:tr w:rsidR="00000000">
        <w:trPr>
          <w:trHeight w:val="533"/>
          <w:tblHeader/>
          <w:jc w:val="center"/>
        </w:trPr>
        <w:tc>
          <w:tcPr>
            <w:tcW w:w="617" w:type="dxa"/>
            <w:tcBorders>
              <w:top w:val="single" w:sz="4" w:space="0" w:color="000000"/>
              <w:left w:val="single" w:sz="4" w:space="0" w:color="000000"/>
              <w:bottom w:val="single" w:sz="4" w:space="0" w:color="000000"/>
              <w:right w:val="single" w:sz="4" w:space="0" w:color="000000"/>
            </w:tcBorders>
            <w:vAlign w:val="center"/>
          </w:tcPr>
          <w:p w:rsidR="00000000" w:rsidRDefault="000A52BA">
            <w:pPr>
              <w:spacing w:line="360" w:lineRule="exact"/>
              <w:jc w:val="center"/>
              <w:rPr>
                <w:rFonts w:ascii="仿宋_GB2312" w:eastAsia="仿宋_GB2312" w:hAnsi="仿宋_GB2312" w:cs="仿宋_GB2312" w:hint="eastAsia"/>
                <w:color w:val="000000"/>
                <w:szCs w:val="21"/>
              </w:rPr>
            </w:pPr>
            <w:r>
              <w:rPr>
                <w:rFonts w:ascii="仿宋_GB2312" w:eastAsia="仿宋_GB2312" w:hAnsi="仿宋_GB2312" w:cs="仿宋_GB2312" w:hint="eastAsia"/>
                <w:b/>
                <w:szCs w:val="21"/>
              </w:rPr>
              <w:t>序号</w:t>
            </w:r>
          </w:p>
        </w:tc>
        <w:tc>
          <w:tcPr>
            <w:tcW w:w="1890" w:type="dxa"/>
            <w:tcBorders>
              <w:top w:val="single" w:sz="4" w:space="0" w:color="000000"/>
              <w:left w:val="single" w:sz="4" w:space="0" w:color="000000"/>
              <w:bottom w:val="single" w:sz="4" w:space="0" w:color="000000"/>
              <w:right w:val="single" w:sz="4" w:space="0" w:color="000000"/>
            </w:tcBorders>
            <w:vAlign w:val="center"/>
          </w:tcPr>
          <w:p w:rsidR="00000000" w:rsidRDefault="000A52BA">
            <w:pPr>
              <w:spacing w:line="360" w:lineRule="exact"/>
              <w:jc w:val="center"/>
              <w:rPr>
                <w:rFonts w:ascii="仿宋_GB2312" w:eastAsia="仿宋_GB2312" w:hAnsi="仿宋_GB2312" w:cs="仿宋_GB2312" w:hint="eastAsia"/>
                <w:color w:val="000000"/>
                <w:szCs w:val="21"/>
              </w:rPr>
            </w:pPr>
            <w:r>
              <w:rPr>
                <w:rFonts w:ascii="仿宋_GB2312" w:eastAsia="仿宋_GB2312" w:hAnsi="仿宋_GB2312" w:cs="仿宋_GB2312" w:hint="eastAsia"/>
                <w:b/>
                <w:szCs w:val="21"/>
              </w:rPr>
              <w:t>标准编号</w:t>
            </w:r>
          </w:p>
        </w:tc>
        <w:tc>
          <w:tcPr>
            <w:tcW w:w="2932" w:type="dxa"/>
            <w:tcBorders>
              <w:top w:val="single" w:sz="4" w:space="0" w:color="000000"/>
              <w:left w:val="single" w:sz="4" w:space="0" w:color="000000"/>
              <w:bottom w:val="single" w:sz="4" w:space="0" w:color="000000"/>
              <w:right w:val="single" w:sz="4" w:space="0" w:color="000000"/>
            </w:tcBorders>
            <w:vAlign w:val="center"/>
          </w:tcPr>
          <w:p w:rsidR="00000000" w:rsidRDefault="000A52BA">
            <w:pPr>
              <w:spacing w:line="360" w:lineRule="exact"/>
              <w:jc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b/>
                <w:szCs w:val="21"/>
              </w:rPr>
              <w:t>标准名称</w:t>
            </w:r>
          </w:p>
        </w:tc>
        <w:tc>
          <w:tcPr>
            <w:tcW w:w="6069" w:type="dxa"/>
            <w:tcBorders>
              <w:top w:val="single" w:sz="4" w:space="0" w:color="000000"/>
              <w:left w:val="single" w:sz="4" w:space="0" w:color="000000"/>
              <w:bottom w:val="single" w:sz="4" w:space="0" w:color="000000"/>
              <w:right w:val="single" w:sz="4" w:space="0" w:color="000000"/>
            </w:tcBorders>
            <w:vAlign w:val="center"/>
          </w:tcPr>
          <w:p w:rsidR="00000000" w:rsidRDefault="000A52BA">
            <w:pPr>
              <w:spacing w:line="360" w:lineRule="exact"/>
              <w:jc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b/>
                <w:szCs w:val="21"/>
              </w:rPr>
              <w:t>标准主要内容</w:t>
            </w:r>
          </w:p>
        </w:tc>
        <w:tc>
          <w:tcPr>
            <w:tcW w:w="1568" w:type="dxa"/>
            <w:tcBorders>
              <w:top w:val="single" w:sz="4" w:space="0" w:color="000000"/>
              <w:left w:val="single" w:sz="4" w:space="0" w:color="000000"/>
              <w:bottom w:val="single" w:sz="4" w:space="0" w:color="000000"/>
              <w:right w:val="single" w:sz="4" w:space="0" w:color="000000"/>
            </w:tcBorders>
            <w:vAlign w:val="center"/>
          </w:tcPr>
          <w:p w:rsidR="00000000" w:rsidRDefault="000A52BA">
            <w:pPr>
              <w:spacing w:line="360" w:lineRule="exact"/>
              <w:jc w:val="center"/>
              <w:rPr>
                <w:rFonts w:ascii="仿宋_GB2312" w:eastAsia="仿宋_GB2312" w:hAnsi="仿宋_GB2312" w:cs="仿宋_GB2312" w:hint="eastAsia"/>
                <w:color w:val="000000"/>
                <w:szCs w:val="21"/>
              </w:rPr>
            </w:pPr>
            <w:r>
              <w:rPr>
                <w:rFonts w:ascii="仿宋_GB2312" w:eastAsia="仿宋_GB2312" w:hAnsi="仿宋_GB2312" w:cs="仿宋_GB2312" w:hint="eastAsia"/>
                <w:b/>
                <w:szCs w:val="21"/>
              </w:rPr>
              <w:t>代替标准</w:t>
            </w:r>
          </w:p>
        </w:tc>
        <w:tc>
          <w:tcPr>
            <w:tcW w:w="1634" w:type="dxa"/>
            <w:tcBorders>
              <w:top w:val="single" w:sz="4" w:space="0" w:color="000000"/>
              <w:left w:val="single" w:sz="4" w:space="0" w:color="000000"/>
              <w:bottom w:val="single" w:sz="4" w:space="0" w:color="000000"/>
              <w:right w:val="single" w:sz="4" w:space="0" w:color="000000"/>
            </w:tcBorders>
            <w:vAlign w:val="center"/>
          </w:tcPr>
          <w:p w:rsidR="00000000" w:rsidRDefault="000A52BA">
            <w:pPr>
              <w:spacing w:line="360" w:lineRule="exact"/>
              <w:jc w:val="center"/>
              <w:rPr>
                <w:rFonts w:ascii="仿宋_GB2312" w:eastAsia="仿宋_GB2312" w:hAnsi="仿宋_GB2312" w:cs="仿宋_GB2312" w:hint="eastAsia"/>
                <w:color w:val="000000"/>
                <w:szCs w:val="21"/>
              </w:rPr>
            </w:pPr>
            <w:r>
              <w:rPr>
                <w:rFonts w:ascii="仿宋_GB2312" w:eastAsia="仿宋_GB2312" w:hAnsi="仿宋_GB2312" w:cs="仿宋_GB2312" w:hint="eastAsia"/>
                <w:b/>
                <w:szCs w:val="21"/>
              </w:rPr>
              <w:t>采标情况</w:t>
            </w: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11773-2020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半导体集成电路冲压型引线框架</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本标准规定了半导体集成电路冲压型引线框架术语和定义、技术要求、检测及验收规定、标志、储存等。本标准适用于半导体集成电路冲压型引线框架。</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11774-2020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集成电路引线框架电镀银层技术规范</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本标准规定了集成电路引线框架银电镀银层的技术要求。本标准规定了集成电路引线框架银电镀银层的技术要求。</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11775-2</w:t>
            </w:r>
            <w:r>
              <w:rPr>
                <w:rFonts w:ascii="仿宋_GB2312" w:eastAsia="仿宋_GB2312" w:hAnsi="仿宋_GB2312" w:cs="仿宋_GB2312" w:hint="eastAsia"/>
                <w:color w:val="000000"/>
                <w:kern w:val="0"/>
                <w:szCs w:val="21"/>
                <w:lang/>
              </w:rPr>
              <w:t>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半导体材料多线切割机</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半导体材料多线切割机的术语和定义、产品分类和规格、要求、检验方法、检验规则、标志、包装、运输及贮存。本标准适用于切割单晶硅、多晶硅、锗以及蓝宝石等各种硬脆性半导体材料的多线切割机。</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11776-2020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谐波保护器</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本标准规定了谐波保护器的术语和定义、技术要求、试验方法、检验规则、标志、包装、贮存等要求，适用于交流</w:t>
            </w:r>
            <w:r>
              <w:rPr>
                <w:rFonts w:ascii="仿宋_GB2312" w:eastAsia="仿宋_GB2312" w:hAnsi="仿宋_GB2312" w:cs="仿宋_GB2312" w:hint="eastAsia"/>
                <w:color w:val="000000"/>
                <w:kern w:val="0"/>
                <w:szCs w:val="21"/>
                <w:lang/>
              </w:rPr>
              <w:t>50Hz</w:t>
            </w:r>
            <w:r>
              <w:rPr>
                <w:rFonts w:ascii="仿宋_GB2312" w:eastAsia="仿宋_GB2312" w:hAnsi="仿宋_GB2312" w:cs="仿宋_GB2312" w:hint="eastAsia"/>
                <w:color w:val="000000"/>
                <w:kern w:val="0"/>
                <w:szCs w:val="21"/>
                <w:lang/>
              </w:rPr>
              <w:t>，额定工作电压不超过</w:t>
            </w:r>
            <w:r>
              <w:rPr>
                <w:rFonts w:ascii="仿宋_GB2312" w:eastAsia="仿宋_GB2312" w:hAnsi="仿宋_GB2312" w:cs="仿宋_GB2312" w:hint="eastAsia"/>
                <w:color w:val="000000"/>
                <w:kern w:val="0"/>
                <w:szCs w:val="21"/>
                <w:lang/>
              </w:rPr>
              <w:t>1000V</w:t>
            </w:r>
            <w:r>
              <w:rPr>
                <w:rFonts w:ascii="仿宋_GB2312" w:eastAsia="仿宋_GB2312" w:hAnsi="仿宋_GB2312" w:cs="仿宋_GB2312" w:hint="eastAsia"/>
                <w:color w:val="000000"/>
                <w:kern w:val="0"/>
                <w:szCs w:val="21"/>
                <w:lang/>
              </w:rPr>
              <w:t>低压配电系统的谐波保护器。</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11457.1.3-2020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波导型介电谐振器</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1</w:t>
            </w:r>
            <w:r>
              <w:rPr>
                <w:rFonts w:ascii="仿宋_GB2312" w:eastAsia="仿宋_GB2312" w:hAnsi="仿宋_GB2312" w:cs="仿宋_GB2312" w:hint="eastAsia"/>
                <w:color w:val="000000"/>
                <w:kern w:val="0"/>
                <w:szCs w:val="21"/>
                <w:lang/>
              </w:rPr>
              <w:t>-3</w:t>
            </w:r>
            <w:r>
              <w:rPr>
                <w:rFonts w:ascii="仿宋_GB2312" w:eastAsia="仿宋_GB2312" w:hAnsi="仿宋_GB2312" w:cs="仿宋_GB2312" w:hint="eastAsia"/>
                <w:color w:val="000000"/>
                <w:kern w:val="0"/>
                <w:szCs w:val="21"/>
                <w:lang/>
              </w:rPr>
              <w:t>部分：综合性信息和试验条件</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微波频段介电谐振器材料复相对介电常数的测量方法</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本标准规定了实际应用中介电圆柱谐振器在微波频率范围内介电性能的测量方法。</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IEC 61338-1-3:1999,IDT</w:t>
            </w: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11457.1.4-2020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波导型介电谐振器</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1-4</w:t>
            </w:r>
            <w:r>
              <w:rPr>
                <w:rFonts w:ascii="仿宋_GB2312" w:eastAsia="仿宋_GB2312" w:hAnsi="仿宋_GB2312" w:cs="仿宋_GB2312" w:hint="eastAsia"/>
                <w:color w:val="000000"/>
                <w:kern w:val="0"/>
                <w:szCs w:val="21"/>
                <w:lang/>
              </w:rPr>
              <w:t>部分：综合性信息和试验条件</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毫米波频段介电谐振器材料复相对介电常数的测量方法</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本标准规定了毫米波频段介电谐振器材料介电特性的测量方法。本标准包含两种测量方法：无辐射介电波导（</w:t>
            </w:r>
            <w:r>
              <w:rPr>
                <w:rFonts w:ascii="仿宋_GB2312" w:eastAsia="仿宋_GB2312" w:hAnsi="仿宋_GB2312" w:cs="仿宋_GB2312" w:hint="eastAsia"/>
                <w:color w:val="000000"/>
                <w:kern w:val="0"/>
                <w:szCs w:val="21"/>
                <w:lang/>
              </w:rPr>
              <w:t>NRD</w:t>
            </w:r>
            <w:r>
              <w:rPr>
                <w:rFonts w:ascii="仿宋_GB2312" w:eastAsia="仿宋_GB2312" w:hAnsi="仿宋_GB2312" w:cs="仿宋_GB2312" w:hint="eastAsia"/>
                <w:color w:val="000000"/>
                <w:kern w:val="0"/>
                <w:szCs w:val="21"/>
                <w:lang/>
              </w:rPr>
              <w:t>波导）激励的介电圆柱谐振器法和带有小圆环同轴电缆激励的截止波</w:t>
            </w:r>
            <w:r>
              <w:rPr>
                <w:rFonts w:ascii="仿宋_GB2312" w:eastAsia="仿宋_GB2312" w:hAnsi="仿宋_GB2312" w:cs="仿宋_GB2312" w:hint="eastAsia"/>
                <w:color w:val="000000"/>
                <w:kern w:val="0"/>
                <w:szCs w:val="21"/>
                <w:lang/>
              </w:rPr>
              <w:t>导法。</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IEC 61338-1-4:2005,IDT</w:t>
            </w: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11460.3.3.1-2020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液晶显示用背光组件</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3-3-1</w:t>
            </w:r>
            <w:r>
              <w:rPr>
                <w:rFonts w:ascii="仿宋_GB2312" w:eastAsia="仿宋_GB2312" w:hAnsi="仿宋_GB2312" w:cs="仿宋_GB2312" w:hint="eastAsia"/>
                <w:color w:val="000000"/>
                <w:kern w:val="0"/>
                <w:szCs w:val="21"/>
                <w:lang/>
              </w:rPr>
              <w:t>部分：电视接收机用直下式</w:t>
            </w:r>
            <w:r>
              <w:rPr>
                <w:rFonts w:ascii="仿宋_GB2312" w:eastAsia="仿宋_GB2312" w:hAnsi="仿宋_GB2312" w:cs="仿宋_GB2312" w:hint="eastAsia"/>
                <w:color w:val="000000"/>
                <w:kern w:val="0"/>
                <w:szCs w:val="21"/>
                <w:lang/>
              </w:rPr>
              <w:t>LED</w:t>
            </w:r>
            <w:r>
              <w:rPr>
                <w:rFonts w:ascii="仿宋_GB2312" w:eastAsia="仿宋_GB2312" w:hAnsi="仿宋_GB2312" w:cs="仿宋_GB2312" w:hint="eastAsia"/>
                <w:color w:val="000000"/>
                <w:kern w:val="0"/>
                <w:szCs w:val="21"/>
                <w:lang/>
              </w:rPr>
              <w:t>背光组件详细规范</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本标准规定了电视接收机用直下式</w:t>
            </w:r>
            <w:r>
              <w:rPr>
                <w:rFonts w:ascii="仿宋_GB2312" w:eastAsia="仿宋_GB2312" w:hAnsi="仿宋_GB2312" w:cs="仿宋_GB2312" w:hint="eastAsia"/>
                <w:color w:val="000000"/>
                <w:kern w:val="0"/>
                <w:szCs w:val="21"/>
                <w:lang/>
              </w:rPr>
              <w:t>LED</w:t>
            </w:r>
            <w:r>
              <w:rPr>
                <w:rFonts w:ascii="仿宋_GB2312" w:eastAsia="仿宋_GB2312" w:hAnsi="仿宋_GB2312" w:cs="仿宋_GB2312" w:hint="eastAsia"/>
                <w:color w:val="000000"/>
                <w:kern w:val="0"/>
                <w:szCs w:val="21"/>
                <w:lang/>
              </w:rPr>
              <w:t>背光组件的定义、技术要求、检验方法、检验规则以及标志、包装、运输、贮存的要求。适用于以</w:t>
            </w:r>
            <w:r>
              <w:rPr>
                <w:rFonts w:ascii="仿宋_GB2312" w:eastAsia="仿宋_GB2312" w:hAnsi="仿宋_GB2312" w:cs="仿宋_GB2312" w:hint="eastAsia"/>
                <w:color w:val="000000"/>
                <w:kern w:val="0"/>
                <w:szCs w:val="21"/>
                <w:lang/>
              </w:rPr>
              <w:t>LED</w:t>
            </w:r>
            <w:r>
              <w:rPr>
                <w:rFonts w:ascii="仿宋_GB2312" w:eastAsia="仿宋_GB2312" w:hAnsi="仿宋_GB2312" w:cs="仿宋_GB2312" w:hint="eastAsia"/>
                <w:color w:val="000000"/>
                <w:kern w:val="0"/>
                <w:szCs w:val="21"/>
                <w:lang/>
              </w:rPr>
              <w:t>作为发光光源、且用于电视接收机的直下式背光组件。</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11777-2020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半导体管特性图示仪校准仪技术要求和测量方法</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本标准规定了半导体管特性图示仪校准仪的术语和定义、技术要求、测量方</w:t>
            </w:r>
            <w:r>
              <w:rPr>
                <w:rFonts w:ascii="仿宋_GB2312" w:eastAsia="仿宋_GB2312" w:hAnsi="仿宋_GB2312" w:cs="仿宋_GB2312" w:hint="eastAsia"/>
                <w:color w:val="000000"/>
                <w:kern w:val="0"/>
                <w:szCs w:val="21"/>
                <w:lang/>
              </w:rPr>
              <w:t>法。适用于直流电压源输出范围不超过</w:t>
            </w:r>
            <w:r>
              <w:rPr>
                <w:rFonts w:ascii="仿宋_GB2312" w:eastAsia="仿宋_GB2312" w:hAnsi="仿宋_GB2312" w:cs="仿宋_GB2312" w:hint="eastAsia"/>
                <w:color w:val="000000"/>
                <w:kern w:val="0"/>
                <w:szCs w:val="21"/>
                <w:lang/>
              </w:rPr>
              <w:t>0.01V</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5000V</w:t>
            </w:r>
            <w:r>
              <w:rPr>
                <w:rFonts w:ascii="仿宋_GB2312" w:eastAsia="仿宋_GB2312" w:hAnsi="仿宋_GB2312" w:cs="仿宋_GB2312" w:hint="eastAsia"/>
                <w:color w:val="000000"/>
                <w:kern w:val="0"/>
                <w:szCs w:val="21"/>
                <w:lang/>
              </w:rPr>
              <w:t>，直流电流源输出范围不超过</w:t>
            </w:r>
            <w:r>
              <w:rPr>
                <w:rFonts w:ascii="仿宋_GB2312" w:eastAsia="仿宋_GB2312" w:hAnsi="仿宋_GB2312" w:cs="仿宋_GB2312" w:hint="eastAsia"/>
                <w:color w:val="000000"/>
                <w:kern w:val="0"/>
                <w:szCs w:val="21"/>
                <w:lang/>
              </w:rPr>
              <w:t>10nA</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10A</w:t>
            </w:r>
            <w:r>
              <w:rPr>
                <w:rFonts w:ascii="仿宋_GB2312" w:eastAsia="仿宋_GB2312" w:hAnsi="仿宋_GB2312" w:cs="仿宋_GB2312" w:hint="eastAsia"/>
                <w:color w:val="000000"/>
                <w:kern w:val="0"/>
                <w:szCs w:val="21"/>
                <w:lang/>
              </w:rPr>
              <w:t>，取样电阻标称范围不超过</w:t>
            </w:r>
            <w:r>
              <w:rPr>
                <w:rFonts w:ascii="仿宋_GB2312" w:eastAsia="仿宋_GB2312" w:hAnsi="仿宋_GB2312" w:cs="仿宋_GB2312" w:hint="eastAsia"/>
                <w:color w:val="000000"/>
                <w:kern w:val="0"/>
                <w:szCs w:val="21"/>
                <w:lang/>
              </w:rPr>
              <w:t>0.005</w:t>
            </w:r>
            <w:r>
              <w:rPr>
                <w:rFonts w:ascii="仿宋_GB2312" w:eastAsia="仿宋_GB2312" w:hAnsi="仿宋_GB2312" w:cs="仿宋_GB2312" w:hint="eastAsia"/>
                <w:color w:val="000000"/>
                <w:kern w:val="0"/>
                <w:szCs w:val="21"/>
                <w:lang/>
              </w:rPr>
              <w:t>Ω～</w:t>
            </w:r>
            <w:r>
              <w:rPr>
                <w:rFonts w:ascii="仿宋_GB2312" w:eastAsia="仿宋_GB2312" w:hAnsi="仿宋_GB2312" w:cs="仿宋_GB2312" w:hint="eastAsia"/>
                <w:color w:val="000000"/>
                <w:kern w:val="0"/>
                <w:szCs w:val="21"/>
                <w:lang/>
              </w:rPr>
              <w:t>10M</w:t>
            </w:r>
            <w:r>
              <w:rPr>
                <w:rFonts w:ascii="仿宋_GB2312" w:eastAsia="仿宋_GB2312" w:hAnsi="仿宋_GB2312" w:cs="仿宋_GB2312" w:hint="eastAsia"/>
                <w:color w:val="000000"/>
                <w:kern w:val="0"/>
                <w:szCs w:val="21"/>
                <w:lang/>
              </w:rPr>
              <w:t>Ω，阶梯电压归一化变换范围不超过</w:t>
            </w:r>
            <w:r>
              <w:rPr>
                <w:rFonts w:ascii="仿宋_GB2312" w:eastAsia="仿宋_GB2312" w:hAnsi="仿宋_GB2312" w:cs="仿宋_GB2312" w:hint="eastAsia"/>
                <w:color w:val="000000"/>
                <w:kern w:val="0"/>
                <w:szCs w:val="21"/>
                <w:lang/>
              </w:rPr>
              <w:t>0.1V</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20V</w:t>
            </w:r>
            <w:r>
              <w:rPr>
                <w:rFonts w:ascii="仿宋_GB2312" w:eastAsia="仿宋_GB2312" w:hAnsi="仿宋_GB2312" w:cs="仿宋_GB2312" w:hint="eastAsia"/>
                <w:color w:val="000000"/>
                <w:kern w:val="0"/>
                <w:szCs w:val="21"/>
                <w:lang/>
              </w:rPr>
              <w:t>，阶梯电流归一化变换范围不超过</w:t>
            </w:r>
            <w:r>
              <w:rPr>
                <w:rFonts w:ascii="仿宋_GB2312" w:eastAsia="仿宋_GB2312" w:hAnsi="仿宋_GB2312" w:cs="仿宋_GB2312" w:hint="eastAsia"/>
                <w:color w:val="000000"/>
                <w:kern w:val="0"/>
                <w:szCs w:val="21"/>
                <w:lang/>
              </w:rPr>
              <w:t>10</w:t>
            </w:r>
            <w:r>
              <w:rPr>
                <w:rFonts w:ascii="仿宋_GB2312" w:eastAsia="仿宋_GB2312" w:hAnsi="仿宋_GB2312" w:cs="仿宋_GB2312" w:hint="eastAsia"/>
                <w:color w:val="000000"/>
                <w:kern w:val="0"/>
                <w:szCs w:val="21"/>
                <w:lang/>
              </w:rPr>
              <w:t>μ</w:t>
            </w:r>
            <w:r>
              <w:rPr>
                <w:rFonts w:ascii="仿宋_GB2312" w:eastAsia="仿宋_GB2312" w:hAnsi="仿宋_GB2312" w:cs="仿宋_GB2312" w:hint="eastAsia"/>
                <w:color w:val="000000"/>
                <w:kern w:val="0"/>
                <w:szCs w:val="21"/>
                <w:lang/>
              </w:rPr>
              <w:t>A</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20A</w:t>
            </w:r>
            <w:r>
              <w:rPr>
                <w:rFonts w:ascii="仿宋_GB2312" w:eastAsia="仿宋_GB2312" w:hAnsi="仿宋_GB2312" w:cs="仿宋_GB2312" w:hint="eastAsia"/>
                <w:color w:val="000000"/>
                <w:kern w:val="0"/>
                <w:szCs w:val="21"/>
                <w:lang/>
              </w:rPr>
              <w:t>，阶梯电压表测量范围不超过</w:t>
            </w:r>
            <w:r>
              <w:rPr>
                <w:rFonts w:ascii="仿宋_GB2312" w:eastAsia="仿宋_GB2312" w:hAnsi="仿宋_GB2312" w:cs="仿宋_GB2312" w:hint="eastAsia"/>
                <w:color w:val="000000"/>
                <w:kern w:val="0"/>
                <w:szCs w:val="21"/>
                <w:lang/>
              </w:rPr>
              <w:t>0.01V/</w:t>
            </w:r>
            <w:r>
              <w:rPr>
                <w:rFonts w:ascii="仿宋_GB2312" w:eastAsia="仿宋_GB2312" w:hAnsi="仿宋_GB2312" w:cs="仿宋_GB2312" w:hint="eastAsia"/>
                <w:color w:val="000000"/>
                <w:kern w:val="0"/>
                <w:szCs w:val="21"/>
                <w:lang/>
              </w:rPr>
              <w:t>阶～</w:t>
            </w:r>
            <w:r>
              <w:rPr>
                <w:rFonts w:ascii="仿宋_GB2312" w:eastAsia="仿宋_GB2312" w:hAnsi="仿宋_GB2312" w:cs="仿宋_GB2312" w:hint="eastAsia"/>
                <w:color w:val="000000"/>
                <w:kern w:val="0"/>
                <w:szCs w:val="21"/>
                <w:lang/>
              </w:rPr>
              <w:t>10V/</w:t>
            </w:r>
            <w:r>
              <w:rPr>
                <w:rFonts w:ascii="仿宋_GB2312" w:eastAsia="仿宋_GB2312" w:hAnsi="仿宋_GB2312" w:cs="仿宋_GB2312" w:hint="eastAsia"/>
                <w:color w:val="000000"/>
                <w:kern w:val="0"/>
                <w:szCs w:val="21"/>
                <w:lang/>
              </w:rPr>
              <w:t>阶，阶梯电流表测量范围不超过</w:t>
            </w:r>
            <w:r>
              <w:rPr>
                <w:rFonts w:ascii="仿宋_GB2312" w:eastAsia="仿宋_GB2312" w:hAnsi="仿宋_GB2312" w:cs="仿宋_GB2312" w:hint="eastAsia"/>
                <w:color w:val="000000"/>
                <w:kern w:val="0"/>
                <w:szCs w:val="21"/>
                <w:lang/>
              </w:rPr>
              <w:t>0.1</w:t>
            </w:r>
            <w:r>
              <w:rPr>
                <w:rFonts w:ascii="仿宋_GB2312" w:eastAsia="仿宋_GB2312" w:hAnsi="仿宋_GB2312" w:cs="仿宋_GB2312" w:hint="eastAsia"/>
                <w:color w:val="000000"/>
                <w:kern w:val="0"/>
                <w:szCs w:val="21"/>
                <w:lang/>
              </w:rPr>
              <w:t>μ</w:t>
            </w:r>
            <w:r>
              <w:rPr>
                <w:rFonts w:ascii="仿宋_GB2312" w:eastAsia="仿宋_GB2312" w:hAnsi="仿宋_GB2312" w:cs="仿宋_GB2312" w:hint="eastAsia"/>
                <w:color w:val="000000"/>
                <w:kern w:val="0"/>
                <w:szCs w:val="21"/>
                <w:lang/>
              </w:rPr>
              <w:t>A/</w:t>
            </w:r>
            <w:r>
              <w:rPr>
                <w:rFonts w:ascii="仿宋_GB2312" w:eastAsia="仿宋_GB2312" w:hAnsi="仿宋_GB2312" w:cs="仿宋_GB2312" w:hint="eastAsia"/>
                <w:color w:val="000000"/>
                <w:kern w:val="0"/>
                <w:szCs w:val="21"/>
                <w:lang/>
              </w:rPr>
              <w:t>阶～</w:t>
            </w:r>
            <w:r>
              <w:rPr>
                <w:rFonts w:ascii="仿宋_GB2312" w:eastAsia="仿宋_GB2312" w:hAnsi="仿宋_GB2312" w:cs="仿宋_GB2312" w:hint="eastAsia"/>
                <w:color w:val="000000"/>
                <w:kern w:val="0"/>
                <w:szCs w:val="21"/>
                <w:lang/>
              </w:rPr>
              <w:t>10A/</w:t>
            </w:r>
            <w:r>
              <w:rPr>
                <w:rFonts w:ascii="仿宋_GB2312" w:eastAsia="仿宋_GB2312" w:hAnsi="仿宋_GB2312" w:cs="仿宋_GB2312" w:hint="eastAsia"/>
                <w:color w:val="000000"/>
                <w:kern w:val="0"/>
                <w:szCs w:val="21"/>
                <w:lang/>
              </w:rPr>
              <w:t>阶，脉冲电流表测量范围不超过</w:t>
            </w:r>
            <w:r>
              <w:rPr>
                <w:rFonts w:ascii="仿宋_GB2312" w:eastAsia="仿宋_GB2312" w:hAnsi="仿宋_GB2312" w:cs="仿宋_GB2312" w:hint="eastAsia"/>
                <w:color w:val="000000"/>
                <w:kern w:val="0"/>
                <w:szCs w:val="21"/>
                <w:lang/>
              </w:rPr>
              <w:t>10A</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1000A</w:t>
            </w:r>
            <w:r>
              <w:rPr>
                <w:rFonts w:ascii="仿宋_GB2312" w:eastAsia="仿宋_GB2312" w:hAnsi="仿宋_GB2312" w:cs="仿宋_GB2312" w:hint="eastAsia"/>
                <w:color w:val="000000"/>
                <w:kern w:val="0"/>
                <w:szCs w:val="21"/>
                <w:lang/>
              </w:rPr>
              <w:t>的校准仪。</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11778-2020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便携式家用电器用锂离子电池和电池组</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安全要求</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本标准规定了便携式家用电器用锂</w:t>
            </w:r>
            <w:r>
              <w:rPr>
                <w:rFonts w:ascii="仿宋_GB2312" w:eastAsia="仿宋_GB2312" w:hAnsi="仿宋_GB2312" w:cs="仿宋_GB2312" w:hint="eastAsia"/>
                <w:color w:val="000000"/>
                <w:kern w:val="0"/>
                <w:szCs w:val="21"/>
                <w:lang/>
              </w:rPr>
              <w:t>离子电池和电池组的安全要求。</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11779-2020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印制电路用导热型涂树脂铜箔</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本标准规定了印制电路用导热型涂树脂铜箔的术语定义、产品分类、材料、要求、质量保证、试验方法、合格证明及材料安全资料表、包装、标识、运输和贮存等。</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2660-2022</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锡焊用助焊剂试验方法</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本标准主要规定了电子、电气设备和仪表等电路焊接所用的锡焊用助焊剂的试验方法。</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SJ 2660-1986</w:t>
            </w: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10551-2020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电子陶瓷用三氧化二铝中杂质的发射光谱分析方法</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本标准规定了电子陶瓷</w:t>
            </w:r>
            <w:r>
              <w:rPr>
                <w:rFonts w:ascii="仿宋_GB2312" w:eastAsia="仿宋_GB2312" w:hAnsi="仿宋_GB2312" w:cs="仿宋_GB2312" w:hint="eastAsia"/>
                <w:color w:val="000000"/>
                <w:kern w:val="0"/>
                <w:szCs w:val="21"/>
                <w:lang/>
              </w:rPr>
              <w:t>用三氧化二铝中杂质的发射光谱分析方法。本标准适用于电子陶瓷用三氧化二铝中二氧化硅、三氧化二铁、氧化镁、氧化钙杂质的测定。</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SJ/T 10551-1994</w:t>
            </w: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b/>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10553-2020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电子陶瓷用二氧化锆中杂质的发射光谱分析方法</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本标准规定了电子陶瓷用二氧化锆中杂质的发射光谱分析方法。本标准适用于电子陶瓷用二氧化锆中铁、硅、磷、钙、镁和钛的氧化物杂质测定的中型摄谱仪方法。</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SJ/T 10553-1994</w:t>
            </w: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r w:rsidR="00000000">
        <w:trPr>
          <w:trHeight w:val="533"/>
          <w:jc w:val="center"/>
        </w:trPr>
        <w:tc>
          <w:tcPr>
            <w:tcW w:w="617" w:type="dxa"/>
            <w:tcBorders>
              <w:top w:val="single" w:sz="4" w:space="0" w:color="000000"/>
              <w:left w:val="single" w:sz="4" w:space="0" w:color="000000"/>
              <w:bottom w:val="single" w:sz="4" w:space="0" w:color="000000"/>
              <w:right w:val="single" w:sz="4" w:space="0" w:color="000000"/>
            </w:tcBorders>
          </w:tcPr>
          <w:p w:rsidR="00000000" w:rsidRDefault="000A52BA">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890"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SJ/T 10552-2020</w:t>
            </w:r>
          </w:p>
        </w:tc>
        <w:tc>
          <w:tcPr>
            <w:tcW w:w="2932"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电子陶瓷用二氧化钛中杂质的发射光谱分析方法</w:t>
            </w:r>
          </w:p>
        </w:tc>
        <w:tc>
          <w:tcPr>
            <w:tcW w:w="6069"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本标准规定了电子</w:t>
            </w:r>
            <w:r>
              <w:rPr>
                <w:rFonts w:ascii="仿宋_GB2312" w:eastAsia="仿宋_GB2312" w:hAnsi="仿宋_GB2312" w:cs="仿宋_GB2312" w:hint="eastAsia"/>
                <w:color w:val="000000"/>
                <w:kern w:val="0"/>
                <w:szCs w:val="21"/>
                <w:lang/>
              </w:rPr>
              <w:t>陶瓷用二氧化钛中杂质的发射光谱分析方法。本标准适用于电子陶瓷用二氧化钛中铁、硅、磷、钙、镁、铝和锑的氧化物杂质的测定。</w:t>
            </w:r>
          </w:p>
        </w:tc>
        <w:tc>
          <w:tcPr>
            <w:tcW w:w="1568" w:type="dxa"/>
            <w:tcBorders>
              <w:top w:val="single" w:sz="4" w:space="0" w:color="000000"/>
              <w:left w:val="single" w:sz="4" w:space="0" w:color="000000"/>
              <w:bottom w:val="single" w:sz="4" w:space="0" w:color="000000"/>
              <w:right w:val="single" w:sz="4" w:space="0" w:color="000000"/>
            </w:tcBorders>
          </w:tcPr>
          <w:p w:rsidR="00000000" w:rsidRDefault="000A52BA">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SJ/T 10552-1994</w:t>
            </w:r>
          </w:p>
        </w:tc>
        <w:tc>
          <w:tcPr>
            <w:tcW w:w="1634" w:type="dxa"/>
            <w:tcBorders>
              <w:top w:val="single" w:sz="4" w:space="0" w:color="000000"/>
              <w:left w:val="single" w:sz="4" w:space="0" w:color="000000"/>
              <w:bottom w:val="single" w:sz="4" w:space="0" w:color="000000"/>
              <w:right w:val="single" w:sz="4" w:space="0" w:color="000000"/>
            </w:tcBorders>
          </w:tcPr>
          <w:p w:rsidR="00000000" w:rsidRDefault="000A52BA">
            <w:pPr>
              <w:jc w:val="left"/>
              <w:rPr>
                <w:rFonts w:ascii="仿宋_GB2312" w:eastAsia="仿宋_GB2312" w:hAnsi="仿宋_GB2312" w:cs="仿宋_GB2312" w:hint="eastAsia"/>
                <w:color w:val="000000"/>
                <w:szCs w:val="21"/>
              </w:rPr>
            </w:pPr>
          </w:p>
        </w:tc>
      </w:tr>
    </w:tbl>
    <w:p w:rsidR="000A52BA" w:rsidRDefault="000A52BA">
      <w:pPr>
        <w:rPr>
          <w:b/>
        </w:rPr>
      </w:pPr>
    </w:p>
    <w:sectPr w:rsidR="000A52BA">
      <w:headerReference w:type="default" r:id="rId7"/>
      <w:footerReference w:type="even" r:id="rId8"/>
      <w:footerReference w:type="default" r:id="rId9"/>
      <w:pgSz w:w="16840" w:h="11907" w:orient="landscape"/>
      <w:pgMar w:top="1440" w:right="1080" w:bottom="1440" w:left="1080" w:header="720" w:footer="720"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2BA" w:rsidRDefault="000A52BA" w:rsidP="00E760EF">
      <w:r>
        <w:separator/>
      </w:r>
    </w:p>
  </w:endnote>
  <w:endnote w:type="continuationSeparator" w:id="0">
    <w:p w:rsidR="000A52BA" w:rsidRDefault="000A52BA" w:rsidP="00E760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ˎ̥">
    <w:altName w:val="Times New Roman"/>
    <w:charset w:val="00"/>
    <w:family w:val="roman"/>
    <w:pitch w:val="default"/>
    <w:sig w:usb0="00000000" w:usb1="00000000" w:usb2="00000000" w:usb3="00000000" w:csb0="00040001" w:csb1="00000000"/>
  </w:font>
  <w:font w:name="CenturionOld">
    <w:altName w:val="Courier New"/>
    <w:charset w:val="00"/>
    <w:family w:val="auto"/>
    <w:pitch w:val="default"/>
    <w:sig w:usb0="00000003" w:usb1="00000000" w:usb2="00000000" w:usb3="00000000" w:csb0="00000001"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A52BA">
    <w:pPr>
      <w:pStyle w:val="aff9"/>
      <w:framePr w:wrap="around" w:vAnchor="text" w:hAnchor="margin" w:xAlign="center" w:y="1"/>
      <w:rPr>
        <w:rStyle w:val="a7"/>
      </w:rPr>
    </w:pPr>
    <w:r>
      <w:fldChar w:fldCharType="begin"/>
    </w:r>
    <w:r>
      <w:rPr>
        <w:rStyle w:val="a7"/>
      </w:rPr>
      <w:instrText xml:space="preserve">PAGE  </w:instrText>
    </w:r>
    <w:r>
      <w:fldChar w:fldCharType="end"/>
    </w:r>
  </w:p>
  <w:p w:rsidR="00000000" w:rsidRDefault="000A52BA">
    <w:pPr>
      <w:pStyle w:val="aff9"/>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A52BA">
    <w:pPr>
      <w:pStyle w:val="aff9"/>
      <w:framePr w:wrap="around" w:vAnchor="text" w:hAnchor="margin" w:xAlign="center" w:y="1"/>
      <w:rPr>
        <w:rStyle w:val="a7"/>
      </w:rPr>
    </w:pPr>
    <w:r>
      <w:fldChar w:fldCharType="begin"/>
    </w:r>
    <w:r>
      <w:rPr>
        <w:rStyle w:val="a7"/>
      </w:rPr>
      <w:instrText xml:space="preserve">PAGE  </w:instrText>
    </w:r>
    <w:r>
      <w:fldChar w:fldCharType="separate"/>
    </w:r>
    <w:r w:rsidR="003E6CB0">
      <w:rPr>
        <w:rStyle w:val="a7"/>
        <w:noProof/>
      </w:rPr>
      <w:t>2</w:t>
    </w:r>
    <w:r>
      <w:fldChar w:fldCharType="end"/>
    </w:r>
  </w:p>
  <w:p w:rsidR="00000000" w:rsidRDefault="000A52BA">
    <w:pPr>
      <w:pStyle w:val="aff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2BA" w:rsidRDefault="000A52BA" w:rsidP="00E760EF">
      <w:r>
        <w:separator/>
      </w:r>
    </w:p>
  </w:footnote>
  <w:footnote w:type="continuationSeparator" w:id="0">
    <w:p w:rsidR="000A52BA" w:rsidRDefault="000A52BA" w:rsidP="00E760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A52BA">
    <w:pPr>
      <w:pStyle w:val="aff3"/>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9"/>
    <w:multiLevelType w:val="multilevel"/>
    <w:tmpl w:val="00000009"/>
    <w:lvl w:ilvl="0">
      <w:start w:val="1"/>
      <w:numFmt w:val="decimal"/>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
    <w:nsid w:val="0000000E"/>
    <w:multiLevelType w:val="multilevel"/>
    <w:tmpl w:val="0000000E"/>
    <w:lvl w:ilvl="0">
      <w:start w:val="1"/>
      <w:numFmt w:val="none"/>
      <w:lvlText w:val="%1注："/>
      <w:lvlJc w:val="left"/>
      <w:pPr>
        <w:tabs>
          <w:tab w:val="num" w:pos="1140"/>
        </w:tabs>
        <w:ind w:left="840" w:hanging="420"/>
      </w:pPr>
      <w:rPr>
        <w:rFonts w:ascii="宋体" w:eastAsia="宋体" w:hAnsi="Times New Roman" w:hint="eastAsia"/>
        <w:b w:val="0"/>
        <w:i w:val="0"/>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11"/>
    <w:multiLevelType w:val="multilevel"/>
    <w:tmpl w:val="00000011"/>
    <w:lvl w:ilvl="0">
      <w:start w:val="1"/>
      <w:numFmt w:val="decimal"/>
      <w:lvlText w:val="%1"/>
      <w:lvlJc w:val="center"/>
      <w:pPr>
        <w:tabs>
          <w:tab w:val="num" w:pos="227"/>
        </w:tabs>
        <w:ind w:left="114" w:firstLine="113"/>
      </w:pPr>
      <w:rPr>
        <w:rFonts w:eastAsia="宋体" w:hint="eastAsia"/>
        <w:b w:val="0"/>
        <w:i w:val="0"/>
        <w:color w:val="auto"/>
        <w:sz w:val="21"/>
        <w:szCs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8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4">
    <w:nsid w:val="00000013"/>
    <w:multiLevelType w:val="multilevel"/>
    <w:tmpl w:val="00000013"/>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5">
    <w:nsid w:val="00000017"/>
    <w:multiLevelType w:val="multilevel"/>
    <w:tmpl w:val="00000017"/>
    <w:lvl w:ilvl="0">
      <w:start w:val="1"/>
      <w:numFmt w:val="none"/>
      <w:lvlText w:val="%1注"/>
      <w:lvlJc w:val="left"/>
      <w:pPr>
        <w:tabs>
          <w:tab w:val="num" w:pos="900"/>
        </w:tabs>
        <w:ind w:left="900" w:hanging="500"/>
      </w:pPr>
      <w:rPr>
        <w:rFonts w:ascii="宋体" w:eastAsia="宋体" w:hAnsi="Times New Roman" w:hint="eastAsia"/>
        <w:b w:val="0"/>
        <w:i w:val="0"/>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24"/>
    <w:multiLevelType w:val="multilevel"/>
    <w:tmpl w:val="00000024"/>
    <w:lvl w:ilvl="0">
      <w:start w:val="1"/>
      <w:numFmt w:val="none"/>
      <w:lvlText w:val="%1·　"/>
      <w:lvlJc w:val="left"/>
      <w:pPr>
        <w:tabs>
          <w:tab w:val="num" w:pos="1140"/>
        </w:tabs>
        <w:ind w:left="737" w:hanging="317"/>
      </w:pPr>
      <w:rPr>
        <w:rFonts w:ascii="宋体" w:eastAsia="宋体" w:hAnsi="Times New Roman" w:hint="eastAsia"/>
        <w:b w:val="0"/>
        <w:i w:val="0"/>
        <w:sz w:val="21"/>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
    <w:nsid w:val="00000027"/>
    <w:multiLevelType w:val="multilevel"/>
    <w:tmpl w:val="00000027"/>
    <w:lvl w:ilvl="0">
      <w:start w:val="1"/>
      <w:numFmt w:val="none"/>
      <w:lvlText w:val="表"/>
      <w:lvlJc w:val="left"/>
      <w:pPr>
        <w:tabs>
          <w:tab w:val="num" w:pos="360"/>
        </w:tabs>
        <w:ind w:left="0" w:firstLine="0"/>
      </w:pPr>
      <w:rPr>
        <w:rFonts w:ascii="黑体" w:eastAsia="黑体" w:hint="eastAsia"/>
        <w:b w:val="0"/>
        <w:i w:val="0"/>
        <w:sz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2B"/>
    <w:multiLevelType w:val="multilevel"/>
    <w:tmpl w:val="0000002B"/>
    <w:lvl w:ilvl="0">
      <w:numFmt w:val="none"/>
      <w:lvlText w:val=""/>
      <w:lvlJc w:val="left"/>
      <w:pPr>
        <w:tabs>
          <w:tab w:val="num" w:pos="360"/>
        </w:tabs>
      </w:pPr>
    </w:lvl>
    <w:lvl w:ilvl="1">
      <w:start w:val="1"/>
      <w:numFmt w:val="decimal"/>
      <w:lvlText w:val="%2)"/>
      <w:lvlJc w:val="left"/>
      <w:pPr>
        <w:tabs>
          <w:tab w:val="num" w:pos="1259"/>
        </w:tabs>
        <w:ind w:left="1259" w:hanging="420"/>
      </w:pPr>
      <w:rPr>
        <w:rFonts w:ascii="宋体" w:eastAsia="宋体" w:hAnsi="宋体" w:hint="eastAsia"/>
        <w:b w:val="0"/>
        <w:i w:val="0"/>
        <w:sz w:val="20"/>
      </w:rPr>
    </w:lvl>
    <w:lvl w:ilvl="2">
      <w:start w:val="1"/>
      <w:numFmt w:val="decimal"/>
      <w:lvlText w:val="(%3)"/>
      <w:lvlJc w:val="left"/>
      <w:pPr>
        <w:tabs>
          <w:tab w:val="num" w:pos="0"/>
        </w:tabs>
        <w:ind w:left="1678" w:hanging="419"/>
      </w:pPr>
      <w:rPr>
        <w:rFonts w:ascii="宋体" w:eastAsia="宋体" w:hAnsi="宋体" w:hint="eastAsia"/>
        <w:b w:val="0"/>
        <w:i w:val="0"/>
        <w:sz w:val="20"/>
        <w:szCs w:val="21"/>
      </w:rPr>
    </w:lvl>
    <w:lvl w:ilvl="3">
      <w:start w:val="1"/>
      <w:numFmt w:val="decimal"/>
      <w:lvlText w:val="%4."/>
      <w:lvlJc w:val="left"/>
      <w:pPr>
        <w:tabs>
          <w:tab w:val="num" w:pos="2098"/>
        </w:tabs>
        <w:ind w:left="2098" w:hanging="420"/>
      </w:pPr>
      <w:rPr>
        <w:rFonts w:hint="eastAsia"/>
      </w:rPr>
    </w:lvl>
    <w:lvl w:ilvl="4">
      <w:start w:val="1"/>
      <w:numFmt w:val="lowerLetter"/>
      <w:lvlText w:val="%5)"/>
      <w:lvlJc w:val="left"/>
      <w:pPr>
        <w:tabs>
          <w:tab w:val="num" w:pos="2517"/>
        </w:tabs>
        <w:ind w:left="2517" w:hanging="419"/>
      </w:pPr>
      <w:rPr>
        <w:rFonts w:hint="eastAsia"/>
      </w:rPr>
    </w:lvl>
    <w:lvl w:ilvl="5">
      <w:start w:val="1"/>
      <w:numFmt w:val="lowerRoman"/>
      <w:lvlText w:val="%6."/>
      <w:lvlJc w:val="right"/>
      <w:pPr>
        <w:tabs>
          <w:tab w:val="num" w:pos="2942"/>
        </w:tabs>
        <w:ind w:left="2937" w:hanging="420"/>
      </w:pPr>
      <w:rPr>
        <w:rFonts w:hint="eastAsia"/>
      </w:rPr>
    </w:lvl>
    <w:lvl w:ilvl="6">
      <w:start w:val="1"/>
      <w:numFmt w:val="decimal"/>
      <w:lvlText w:val="%7."/>
      <w:lvlJc w:val="left"/>
      <w:pPr>
        <w:tabs>
          <w:tab w:val="num" w:pos="3362"/>
        </w:tabs>
        <w:ind w:left="3356" w:hanging="414"/>
      </w:pPr>
      <w:rPr>
        <w:rFonts w:hint="eastAsia"/>
      </w:rPr>
    </w:lvl>
    <w:lvl w:ilvl="7">
      <w:start w:val="1"/>
      <w:numFmt w:val="lowerLetter"/>
      <w:lvlText w:val="%8)"/>
      <w:lvlJc w:val="left"/>
      <w:pPr>
        <w:tabs>
          <w:tab w:val="num" w:pos="3781"/>
        </w:tabs>
        <w:ind w:left="3776" w:hanging="414"/>
      </w:pPr>
      <w:rPr>
        <w:rFonts w:hint="eastAsia"/>
      </w:rPr>
    </w:lvl>
    <w:lvl w:ilvl="8">
      <w:start w:val="1"/>
      <w:numFmt w:val="lowerRoman"/>
      <w:lvlText w:val="%9."/>
      <w:lvlJc w:val="right"/>
      <w:pPr>
        <w:tabs>
          <w:tab w:val="num" w:pos="4201"/>
        </w:tabs>
        <w:ind w:left="4201" w:hanging="420"/>
      </w:pPr>
      <w:rPr>
        <w:rFonts w:hint="eastAsia"/>
      </w:rPr>
    </w:lvl>
  </w:abstractNum>
  <w:abstractNum w:abstractNumId="9">
    <w:nsid w:val="0000002D"/>
    <w:multiLevelType w:val="multilevel"/>
    <w:tmpl w:val="0000002D"/>
    <w:lvl w:ilvl="0">
      <w:start w:val="220"/>
      <w:numFmt w:val="decimal"/>
      <w:lvlText w:val="%1"/>
      <w:lvlJc w:val="center"/>
      <w:pPr>
        <w:tabs>
          <w:tab w:val="num" w:pos="278"/>
        </w:tabs>
        <w:ind w:left="278" w:hanging="165"/>
      </w:pPr>
      <w:rPr>
        <w:rFonts w:hint="eastAsia"/>
        <w:b w:val="0"/>
        <w:i w:val="0"/>
        <w:sz w:val="21"/>
        <w:szCs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0">
    <w:nsid w:val="00000031"/>
    <w:multiLevelType w:val="multilevel"/>
    <w:tmpl w:val="00000031"/>
    <w:lvl w:ilvl="0">
      <w:start w:val="1"/>
      <w:numFmt w:val="none"/>
      <w:lvlText w:val="图"/>
      <w:lvlJc w:val="left"/>
      <w:pPr>
        <w:tabs>
          <w:tab w:val="num" w:pos="360"/>
        </w:tabs>
        <w:ind w:left="0" w:firstLine="0"/>
      </w:pPr>
      <w:rPr>
        <w:rFonts w:ascii="黑体" w:eastAsia="黑体" w:hint="eastAsia"/>
        <w:b w:val="0"/>
        <w:i w:val="0"/>
        <w:sz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33"/>
    <w:multiLevelType w:val="multilevel"/>
    <w:tmpl w:val="00000033"/>
    <w:lvl w:ilvl="0">
      <w:start w:val="1"/>
      <w:numFmt w:val="none"/>
      <w:lvlText w:val="%1示例"/>
      <w:lvlJc w:val="left"/>
      <w:pPr>
        <w:tabs>
          <w:tab w:val="num" w:pos="1120"/>
        </w:tabs>
        <w:ind w:left="0" w:firstLine="400"/>
      </w:pPr>
      <w:rPr>
        <w:rFonts w:ascii="宋体" w:eastAsia="宋体" w:hint="eastAsia"/>
        <w:b w:val="0"/>
        <w:i w:val="0"/>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595B41A4"/>
    <w:multiLevelType w:val="singleLevel"/>
    <w:tmpl w:val="595B41A4"/>
    <w:lvl w:ilvl="0">
      <w:start w:val="1"/>
      <w:numFmt w:val="decimal"/>
      <w:lvlText w:val="%1."/>
      <w:lvlJc w:val="left"/>
      <w:pPr>
        <w:tabs>
          <w:tab w:val="num" w:pos="425"/>
        </w:tabs>
        <w:ind w:left="425" w:hanging="425"/>
      </w:pPr>
      <w:rPr>
        <w:rFonts w:hint="default"/>
      </w:rPr>
    </w:lvl>
  </w:abstractNum>
  <w:num w:numId="1">
    <w:abstractNumId w:val="0"/>
  </w:num>
  <w:num w:numId="2">
    <w:abstractNumId w:val="2"/>
  </w:num>
  <w:num w:numId="3">
    <w:abstractNumId w:val="9"/>
  </w:num>
  <w:num w:numId="4">
    <w:abstractNumId w:val="6"/>
  </w:num>
  <w:num w:numId="5">
    <w:abstractNumId w:val="7"/>
  </w:num>
  <w:num w:numId="6">
    <w:abstractNumId w:val="8"/>
  </w:num>
  <w:num w:numId="7">
    <w:abstractNumId w:val="11"/>
  </w:num>
  <w:num w:numId="8">
    <w:abstractNumId w:val="4"/>
  </w:num>
  <w:num w:numId="9">
    <w:abstractNumId w:val="1"/>
  </w:num>
  <w:num w:numId="10">
    <w:abstractNumId w:val="3"/>
  </w:num>
  <w:num w:numId="11">
    <w:abstractNumId w:val="5"/>
  </w:num>
  <w:num w:numId="12">
    <w:abstractNumId w:val="10"/>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420"/>
  <w:drawingGridVerticalSpacing w:val="156"/>
  <w:noPunctuationKerning/>
  <w:characterSpacingControl w:val="compressPunctuation"/>
  <w:doNotValidateAgainstSchema/>
  <w:doNotDemarcateInvalidXml/>
  <w:hdrShapeDefaults>
    <o:shapedefaults v:ext="edit" spidmax="5122"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00172A27"/>
    <w:rsid w:val="00041778"/>
    <w:rsid w:val="000A52BA"/>
    <w:rsid w:val="000E234E"/>
    <w:rsid w:val="0015787B"/>
    <w:rsid w:val="0016101C"/>
    <w:rsid w:val="00172A27"/>
    <w:rsid w:val="00190A78"/>
    <w:rsid w:val="001D5F67"/>
    <w:rsid w:val="00201926"/>
    <w:rsid w:val="0020585F"/>
    <w:rsid w:val="00393CAA"/>
    <w:rsid w:val="00397E57"/>
    <w:rsid w:val="003E0E99"/>
    <w:rsid w:val="003E6CB0"/>
    <w:rsid w:val="00427C3B"/>
    <w:rsid w:val="0043472E"/>
    <w:rsid w:val="004419C3"/>
    <w:rsid w:val="00452C70"/>
    <w:rsid w:val="004535BD"/>
    <w:rsid w:val="00476991"/>
    <w:rsid w:val="00580AB6"/>
    <w:rsid w:val="00582520"/>
    <w:rsid w:val="0059088A"/>
    <w:rsid w:val="005E1EF6"/>
    <w:rsid w:val="00611295"/>
    <w:rsid w:val="00613DE7"/>
    <w:rsid w:val="006D1FD8"/>
    <w:rsid w:val="007248AE"/>
    <w:rsid w:val="00736D5C"/>
    <w:rsid w:val="00745F94"/>
    <w:rsid w:val="007C084D"/>
    <w:rsid w:val="007E712F"/>
    <w:rsid w:val="008840B9"/>
    <w:rsid w:val="008C2726"/>
    <w:rsid w:val="008F26D4"/>
    <w:rsid w:val="009370F1"/>
    <w:rsid w:val="00941519"/>
    <w:rsid w:val="00986750"/>
    <w:rsid w:val="009A1E68"/>
    <w:rsid w:val="009E48E1"/>
    <w:rsid w:val="00A63E3D"/>
    <w:rsid w:val="00AF3B8E"/>
    <w:rsid w:val="00AF45D8"/>
    <w:rsid w:val="00B05251"/>
    <w:rsid w:val="00B33D9D"/>
    <w:rsid w:val="00B56B92"/>
    <w:rsid w:val="00B67DD6"/>
    <w:rsid w:val="00B77AFA"/>
    <w:rsid w:val="00B90DC6"/>
    <w:rsid w:val="00B96E2F"/>
    <w:rsid w:val="00BF72E8"/>
    <w:rsid w:val="00C25189"/>
    <w:rsid w:val="00C44C57"/>
    <w:rsid w:val="00CB134B"/>
    <w:rsid w:val="00CE64BC"/>
    <w:rsid w:val="00D06B46"/>
    <w:rsid w:val="00D60805"/>
    <w:rsid w:val="00DA09C7"/>
    <w:rsid w:val="00DC3E55"/>
    <w:rsid w:val="00E07D71"/>
    <w:rsid w:val="00E24B78"/>
    <w:rsid w:val="00E40A91"/>
    <w:rsid w:val="00E92126"/>
    <w:rsid w:val="00E93445"/>
    <w:rsid w:val="00EC06EA"/>
    <w:rsid w:val="00EF43F1"/>
    <w:rsid w:val="00F0747C"/>
    <w:rsid w:val="00F73530"/>
    <w:rsid w:val="00FA2DDF"/>
    <w:rsid w:val="00FA7AB8"/>
    <w:rsid w:val="00FD1192"/>
    <w:rsid w:val="00FD2292"/>
    <w:rsid w:val="068A6CC7"/>
    <w:rsid w:val="072239C3"/>
    <w:rsid w:val="073F54F1"/>
    <w:rsid w:val="098F424D"/>
    <w:rsid w:val="0A3D4B5A"/>
    <w:rsid w:val="0AD927DA"/>
    <w:rsid w:val="0D23109A"/>
    <w:rsid w:val="0F1A363D"/>
    <w:rsid w:val="11B159D9"/>
    <w:rsid w:val="1203741E"/>
    <w:rsid w:val="13B43E61"/>
    <w:rsid w:val="13E93037"/>
    <w:rsid w:val="15011905"/>
    <w:rsid w:val="16240763"/>
    <w:rsid w:val="170942A1"/>
    <w:rsid w:val="171731EE"/>
    <w:rsid w:val="19664333"/>
    <w:rsid w:val="199D1F0D"/>
    <w:rsid w:val="1A4B0B32"/>
    <w:rsid w:val="1A561714"/>
    <w:rsid w:val="1A6516DC"/>
    <w:rsid w:val="1BA210E4"/>
    <w:rsid w:val="1C4B476E"/>
    <w:rsid w:val="1CCA43C9"/>
    <w:rsid w:val="1D027DA6"/>
    <w:rsid w:val="1DE76177"/>
    <w:rsid w:val="1F753FA8"/>
    <w:rsid w:val="1FD665CB"/>
    <w:rsid w:val="20215745"/>
    <w:rsid w:val="215025B4"/>
    <w:rsid w:val="21871065"/>
    <w:rsid w:val="2286492D"/>
    <w:rsid w:val="22C24A14"/>
    <w:rsid w:val="23DC5A9A"/>
    <w:rsid w:val="24672B46"/>
    <w:rsid w:val="2472253C"/>
    <w:rsid w:val="2507018E"/>
    <w:rsid w:val="265F2C81"/>
    <w:rsid w:val="270F5023"/>
    <w:rsid w:val="27201054"/>
    <w:rsid w:val="28C74374"/>
    <w:rsid w:val="28FC1FE1"/>
    <w:rsid w:val="2A2179B9"/>
    <w:rsid w:val="2B3D4D7E"/>
    <w:rsid w:val="2B655D21"/>
    <w:rsid w:val="2BB01839"/>
    <w:rsid w:val="2C0554C5"/>
    <w:rsid w:val="2D5415C1"/>
    <w:rsid w:val="2DAC3BFD"/>
    <w:rsid w:val="2DCB2E2D"/>
    <w:rsid w:val="2DD14D37"/>
    <w:rsid w:val="2EB257D6"/>
    <w:rsid w:val="2F257BE7"/>
    <w:rsid w:val="2FBD105F"/>
    <w:rsid w:val="3099554A"/>
    <w:rsid w:val="318B0355"/>
    <w:rsid w:val="32013817"/>
    <w:rsid w:val="32985010"/>
    <w:rsid w:val="329A5F94"/>
    <w:rsid w:val="32C11740"/>
    <w:rsid w:val="370734EC"/>
    <w:rsid w:val="371D4EE9"/>
    <w:rsid w:val="378930E0"/>
    <w:rsid w:val="38A245CF"/>
    <w:rsid w:val="38F76303"/>
    <w:rsid w:val="39FB232E"/>
    <w:rsid w:val="39FD5831"/>
    <w:rsid w:val="39FD6374"/>
    <w:rsid w:val="3B2001F2"/>
    <w:rsid w:val="3BC06797"/>
    <w:rsid w:val="3C5D4096"/>
    <w:rsid w:val="3E054B41"/>
    <w:rsid w:val="3E274987"/>
    <w:rsid w:val="4065645B"/>
    <w:rsid w:val="411B2778"/>
    <w:rsid w:val="41905C1D"/>
    <w:rsid w:val="41A67083"/>
    <w:rsid w:val="4285528A"/>
    <w:rsid w:val="42F732D4"/>
    <w:rsid w:val="43135D99"/>
    <w:rsid w:val="45225AF9"/>
    <w:rsid w:val="452A5E2D"/>
    <w:rsid w:val="45F275AB"/>
    <w:rsid w:val="463613D2"/>
    <w:rsid w:val="46E10058"/>
    <w:rsid w:val="47F77871"/>
    <w:rsid w:val="4843441C"/>
    <w:rsid w:val="4971160B"/>
    <w:rsid w:val="4A2F129B"/>
    <w:rsid w:val="4B55290B"/>
    <w:rsid w:val="4B7764DD"/>
    <w:rsid w:val="4C7549E5"/>
    <w:rsid w:val="4D322037"/>
    <w:rsid w:val="4D611881"/>
    <w:rsid w:val="4F714AE4"/>
    <w:rsid w:val="4FD87D0C"/>
    <w:rsid w:val="4FE9285B"/>
    <w:rsid w:val="51613132"/>
    <w:rsid w:val="51F27101"/>
    <w:rsid w:val="52DA1D65"/>
    <w:rsid w:val="535C2E43"/>
    <w:rsid w:val="548C0FC4"/>
    <w:rsid w:val="5510379B"/>
    <w:rsid w:val="55E67F7B"/>
    <w:rsid w:val="5611144C"/>
    <w:rsid w:val="56F30B22"/>
    <w:rsid w:val="57C85F13"/>
    <w:rsid w:val="57E035B9"/>
    <w:rsid w:val="580270F6"/>
    <w:rsid w:val="5815278F"/>
    <w:rsid w:val="587E6A77"/>
    <w:rsid w:val="589F26F3"/>
    <w:rsid w:val="59F73FA9"/>
    <w:rsid w:val="59FE5B32"/>
    <w:rsid w:val="5C8B3F62"/>
    <w:rsid w:val="5DE16A92"/>
    <w:rsid w:val="5E751504"/>
    <w:rsid w:val="60B0627D"/>
    <w:rsid w:val="62007857"/>
    <w:rsid w:val="62074C63"/>
    <w:rsid w:val="62FA54F0"/>
    <w:rsid w:val="63072608"/>
    <w:rsid w:val="63195DA5"/>
    <w:rsid w:val="642A5BE2"/>
    <w:rsid w:val="64482C14"/>
    <w:rsid w:val="646E2E54"/>
    <w:rsid w:val="64C828DB"/>
    <w:rsid w:val="65931F41"/>
    <w:rsid w:val="662D1B30"/>
    <w:rsid w:val="66426252"/>
    <w:rsid w:val="686D58E2"/>
    <w:rsid w:val="69580D63"/>
    <w:rsid w:val="6A48066B"/>
    <w:rsid w:val="6B9143EA"/>
    <w:rsid w:val="6C6B706C"/>
    <w:rsid w:val="6D3C1997"/>
    <w:rsid w:val="6EB816AC"/>
    <w:rsid w:val="70483B44"/>
    <w:rsid w:val="70BE4676"/>
    <w:rsid w:val="71B96EE4"/>
    <w:rsid w:val="72450106"/>
    <w:rsid w:val="72997B90"/>
    <w:rsid w:val="73331E19"/>
    <w:rsid w:val="75286F45"/>
    <w:rsid w:val="7571030F"/>
    <w:rsid w:val="75E34D57"/>
    <w:rsid w:val="76866E81"/>
    <w:rsid w:val="7844395F"/>
    <w:rsid w:val="784A50D7"/>
    <w:rsid w:val="7D42410A"/>
    <w:rsid w:val="7D5A1439"/>
    <w:rsid w:val="7E1D6530"/>
    <w:rsid w:val="7F155E8B"/>
    <w:rsid w:val="7F4B1E54"/>
    <w:rsid w:val="7F5D40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0" w:unhideWhenUsed="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lsdException w:name="footnote text" w:semiHidden="1"/>
    <w:lsdException w:name="annotation text" w:semiHidden="1"/>
    <w:lsdException w:name="header" w:uiPriority="0" w:unhideWhenUsed="0"/>
    <w:lsdException w:name="footer" w:uiPriority="0" w:unhideWhenUsed="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uiPriority="0" w:unhideWhenUsed="0"/>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uiPriority="0" w:unhideWhenUsed="0"/>
    <w:lsdException w:name="Body Text Indent" w:uiPriority="0" w:unhideWhenUsed="0"/>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unhideWhenUsed="0"/>
    <w:lsdException w:name="Body Text First Indent" w:uiPriority="0" w:unhideWhenUsed="0"/>
    <w:lsdException w:name="Body Text First Indent 2" w:semiHidden="1"/>
    <w:lsdException w:name="Note Heading" w:semiHidden="1"/>
    <w:lsdException w:name="Body Text 2" w:uiPriority="0" w:unhideWhenUsed="0"/>
    <w:lsdException w:name="Body Text 3" w:semiHidden="1"/>
    <w:lsdException w:name="Body Text Indent 2" w:uiPriority="0" w:unhideWhenUsed="0"/>
    <w:lsdException w:name="Body Text Indent 3" w:uiPriority="0" w:unhideWhenUsed="0"/>
    <w:lsdException w:name="Block Text" w:semiHidden="1"/>
    <w:lsdException w:name="Hyperlink" w:uiPriority="0" w:unhideWhenUsed="0"/>
    <w:lsdException w:name="FollowedHyperlink" w:uiPriority="0" w:unhideWhenUsed="0"/>
    <w:lsdException w:name="Strong" w:uiPriority="0" w:unhideWhenUsed="0" w:qFormat="1"/>
    <w:lsdException w:name="Emphasis" w:uiPriority="20" w:unhideWhenUsed="0" w:qFormat="1"/>
    <w:lsdException w:name="Document Map" w:semiHidden="1"/>
    <w:lsdException w:name="Plain Text" w:uiPriority="0" w:unhideWhenUsed="0"/>
    <w:lsdException w:name="E-mail Signature" w:semiHidden="1"/>
    <w:lsdException w:name="HTML Top of Form" w:semiHidden="1"/>
    <w:lsdException w:name="HTML Bottom of Form" w:semiHidden="1"/>
    <w:lsdException w:name="Normal (Web)" w:uiPriority="0" w:unhideWhenUsed="0"/>
    <w:lsdException w:name="HTML Acronym" w:semiHidden="1"/>
    <w:lsdException w:name="HTML Address" w:semiHidden="1"/>
    <w:lsdException w:name="HTML Cite" w:semiHidden="1"/>
    <w:lsdException w:name="HTML Code" w:uiPriority="0" w:unhideWhenUsed="0"/>
    <w:lsdException w:name="HTML Definition" w:semiHidden="1"/>
    <w:lsdException w:name="HTML Keyboard" w:semiHidden="1"/>
    <w:lsdException w:name="HTML Preformatted" w:uiPriority="0" w:unhideWhenUsed="0"/>
    <w:lsdException w:name="HTML Sample" w:semiHidden="1"/>
    <w:lsdException w:name="HTML Typewriter" w:semiHidden="1"/>
    <w:lsdException w:name="HTML Variable" w:semiHidden="1"/>
    <w:lsdException w:name="Normal Table"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lsdException w:name="Table Grid" w:semiHidden="1"/>
    <w:lsdException w:name="Table Theme" w:semiHidden="1"/>
    <w:lsdException w:name="Placeholder Text" w:semiHidden="1"/>
    <w:lsdException w:name="No Spacing"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kern w:val="2"/>
      <w:sz w:val="21"/>
      <w:szCs w:val="24"/>
    </w:rPr>
  </w:style>
  <w:style w:type="paragraph" w:styleId="2">
    <w:name w:val="heading 2"/>
    <w:basedOn w:val="a"/>
    <w:next w:val="a"/>
    <w:qFormat/>
    <w:pPr>
      <w:keepNext/>
      <w:keepLines/>
      <w:spacing w:before="260" w:after="260" w:line="413" w:lineRule="auto"/>
      <w:outlineLvl w:val="1"/>
    </w:pPr>
    <w:rPr>
      <w:rFonts w:ascii="Arial" w:eastAsia="黑体" w:hAnsi="Arial"/>
      <w:b/>
      <w:sz w:val="32"/>
      <w:szCs w:val="20"/>
    </w:rPr>
  </w:style>
  <w:style w:type="character" w:default="1" w:styleId="a0">
    <w:name w:val="Default Paragraph Font"/>
    <w:uiPriority w:val="1"/>
    <w:unhideWhenUsed/>
  </w:style>
  <w:style w:type="table" w:default="1" w:styleId="a1">
    <w:name w:val="Normal Table"/>
    <w:uiPriority w:val="99"/>
    <w:unhideWhenUsed/>
    <w:qFormat/>
    <w:rPr>
      <w:rFonts w:ascii="Calibri" w:hAnsi="Calibri"/>
      <w:kern w:val="2"/>
      <w:sz w:val="21"/>
      <w:szCs w:val="22"/>
    </w:rPr>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11">
    <w:name w:val="font11"/>
    <w:rPr>
      <w:rFonts w:ascii="宋体" w:eastAsia="宋体" w:hAnsi="宋体" w:hint="eastAsia"/>
      <w:b w:val="0"/>
      <w:bCs w:val="0"/>
      <w:i w:val="0"/>
      <w:iCs w:val="0"/>
      <w:strike w:val="0"/>
      <w:dstrike w:val="0"/>
      <w:color w:val="000000"/>
      <w:sz w:val="20"/>
      <w:szCs w:val="20"/>
      <w:u w:val="none"/>
    </w:rPr>
  </w:style>
  <w:style w:type="character" w:styleId="a3">
    <w:name w:val="Hyperlink"/>
    <w:rPr>
      <w:color w:val="0000FF"/>
      <w:u w:val="single"/>
    </w:rPr>
  </w:style>
  <w:style w:type="character" w:styleId="a4">
    <w:name w:val="FollowedHyperlink"/>
    <w:rPr>
      <w:color w:val="800080"/>
      <w:u w:val="single"/>
    </w:rPr>
  </w:style>
  <w:style w:type="character" w:customStyle="1" w:styleId="Char">
    <w:name w:val="段 Char"/>
    <w:link w:val="a5"/>
    <w:locked/>
    <w:rPr>
      <w:rFonts w:ascii="宋体"/>
      <w:sz w:val="21"/>
      <w:lang w:val="en-US" w:eastAsia="zh-CN" w:bidi="ar-SA"/>
    </w:rPr>
  </w:style>
  <w:style w:type="character" w:styleId="a6">
    <w:name w:val="Strong"/>
    <w:qFormat/>
    <w:rPr>
      <w:b/>
      <w:bCs/>
    </w:rPr>
  </w:style>
  <w:style w:type="character" w:customStyle="1" w:styleId="font31">
    <w:name w:val="font31"/>
    <w:rPr>
      <w:rFonts w:ascii="宋体" w:eastAsia="宋体" w:hAnsi="宋体" w:cs="宋体" w:hint="eastAsia"/>
      <w:i w:val="0"/>
      <w:color w:val="000000"/>
      <w:sz w:val="18"/>
      <w:szCs w:val="18"/>
      <w:u w:val="none"/>
    </w:rPr>
  </w:style>
  <w:style w:type="character" w:customStyle="1" w:styleId="CharChar">
    <w:name w:val="段 Char Char"/>
    <w:rPr>
      <w:rFonts w:ascii="宋体"/>
      <w:sz w:val="21"/>
      <w:lang w:val="en-US" w:eastAsia="zh-CN" w:bidi="ar-SA"/>
    </w:rPr>
  </w:style>
  <w:style w:type="character" w:styleId="a7">
    <w:name w:val="page number"/>
    <w:basedOn w:val="a0"/>
  </w:style>
  <w:style w:type="character" w:customStyle="1" w:styleId="Char0">
    <w:name w:val="正文首行缩进 Char"/>
    <w:link w:val="a8"/>
    <w:rPr>
      <w:rFonts w:eastAsia="宋体"/>
      <w:kern w:val="2"/>
      <w:sz w:val="21"/>
      <w:szCs w:val="24"/>
      <w:lang w:val="en-US" w:eastAsia="zh-CN" w:bidi="ar-SA"/>
    </w:rPr>
  </w:style>
  <w:style w:type="character" w:customStyle="1" w:styleId="font41">
    <w:name w:val="font41"/>
    <w:rPr>
      <w:rFonts w:ascii="宋体" w:eastAsia="宋体" w:hAnsi="宋体" w:cs="宋体" w:hint="eastAsia"/>
      <w:i w:val="0"/>
      <w:color w:val="000000"/>
      <w:sz w:val="18"/>
      <w:szCs w:val="18"/>
      <w:u w:val="none"/>
    </w:rPr>
  </w:style>
  <w:style w:type="character" w:customStyle="1" w:styleId="bttitle31">
    <w:name w:val="bt_title31"/>
    <w:rPr>
      <w:b/>
      <w:bCs/>
      <w:color w:val="94272C"/>
      <w:sz w:val="27"/>
      <w:szCs w:val="27"/>
    </w:rPr>
  </w:style>
  <w:style w:type="character" w:styleId="HTML">
    <w:name w:val="HTML Code"/>
    <w:rPr>
      <w:rFonts w:ascii="Courier New" w:hAnsi="Courier New"/>
      <w:sz w:val="20"/>
      <w:szCs w:val="20"/>
    </w:rPr>
  </w:style>
  <w:style w:type="character" w:customStyle="1" w:styleId="CharChar0">
    <w:name w:val="封面标准名称 Char Char"/>
    <w:rPr>
      <w:rFonts w:ascii="黑体" w:eastAsia="黑体"/>
      <w:sz w:val="52"/>
      <w:lang w:val="en-US" w:eastAsia="zh-CN" w:bidi="ar-SA"/>
    </w:rPr>
  </w:style>
  <w:style w:type="character" w:customStyle="1" w:styleId="font01">
    <w:name w:val="font01"/>
    <w:rPr>
      <w:rFonts w:ascii="Times New Roman" w:hAnsi="Times New Roman" w:cs="Times New Roman" w:hint="default"/>
      <w:b w:val="0"/>
      <w:bCs w:val="0"/>
      <w:i w:val="0"/>
      <w:iCs w:val="0"/>
      <w:strike w:val="0"/>
      <w:dstrike w:val="0"/>
      <w:color w:val="000000"/>
      <w:sz w:val="20"/>
      <w:szCs w:val="20"/>
      <w:u w:val="none"/>
    </w:rPr>
  </w:style>
  <w:style w:type="character" w:customStyle="1" w:styleId="Char1">
    <w:name w:val="批注框文本 Char"/>
    <w:link w:val="a9"/>
    <w:rPr>
      <w:rFonts w:eastAsia="宋体"/>
      <w:kern w:val="2"/>
      <w:sz w:val="18"/>
      <w:szCs w:val="18"/>
      <w:lang w:val="en-US" w:eastAsia="zh-CN" w:bidi="ar-SA"/>
    </w:rPr>
  </w:style>
  <w:style w:type="character" w:customStyle="1" w:styleId="CharChar1">
    <w:name w:val="正文样式 Char Char"/>
    <w:link w:val="aa"/>
    <w:rPr>
      <w:rFonts w:eastAsia="宋体"/>
      <w:kern w:val="2"/>
      <w:sz w:val="24"/>
      <w:lang w:val="en-US" w:eastAsia="zh-CN" w:bidi="ar-SA"/>
    </w:rPr>
  </w:style>
  <w:style w:type="character" w:customStyle="1" w:styleId="Char2">
    <w:name w:val="正文文本缩进 Char"/>
    <w:link w:val="ab"/>
    <w:rPr>
      <w:rFonts w:eastAsia="宋体"/>
      <w:kern w:val="2"/>
      <w:sz w:val="21"/>
      <w:szCs w:val="24"/>
      <w:lang w:val="en-US" w:eastAsia="zh-CN" w:bidi="ar-SA"/>
    </w:rPr>
  </w:style>
  <w:style w:type="character" w:customStyle="1" w:styleId="CharChar2">
    <w:name w:val="正文首行缩进 Char Char"/>
    <w:link w:val="1"/>
    <w:rPr>
      <w:rFonts w:eastAsia="宋体"/>
      <w:lang w:bidi="ar-SA"/>
    </w:rPr>
  </w:style>
  <w:style w:type="character" w:customStyle="1" w:styleId="ac">
    <w:name w:val="个人答复风格"/>
    <w:rPr>
      <w:rFonts w:ascii="Arial" w:eastAsia="宋体" w:hAnsi="Arial" w:cs="Arial"/>
      <w:color w:val="auto"/>
      <w:sz w:val="20"/>
    </w:rPr>
  </w:style>
  <w:style w:type="character" w:customStyle="1" w:styleId="Char3">
    <w:name w:val="纯文本 Char"/>
    <w:link w:val="ad"/>
    <w:rPr>
      <w:rFonts w:ascii="宋体" w:eastAsia="宋体" w:hAnsi="Courier New"/>
      <w:kern w:val="2"/>
      <w:sz w:val="21"/>
      <w:lang w:val="en-US" w:eastAsia="zh-CN" w:bidi="ar-SA"/>
    </w:rPr>
  </w:style>
  <w:style w:type="character" w:customStyle="1" w:styleId="ae">
    <w:name w:val="发布"/>
    <w:rPr>
      <w:rFonts w:ascii="黑体" w:eastAsia="黑体"/>
      <w:spacing w:val="22"/>
      <w:w w:val="100"/>
      <w:position w:val="3"/>
      <w:sz w:val="28"/>
    </w:rPr>
  </w:style>
  <w:style w:type="character" w:customStyle="1" w:styleId="font21">
    <w:name w:val="font21"/>
    <w:basedOn w:val="a0"/>
    <w:rPr>
      <w:rFonts w:ascii="宋体" w:eastAsia="宋体" w:hAnsi="宋体" w:cs="宋体" w:hint="eastAsia"/>
      <w:i w:val="0"/>
      <w:color w:val="000000"/>
      <w:sz w:val="18"/>
      <w:szCs w:val="18"/>
      <w:u w:val="none"/>
    </w:rPr>
  </w:style>
  <w:style w:type="character" w:customStyle="1" w:styleId="ymy-zw1">
    <w:name w:val="ymy-zw1"/>
    <w:rPr>
      <w:rFonts w:ascii="ˎ̥" w:hAnsi="ˎ̥" w:hint="default"/>
      <w:b w:val="0"/>
      <w:bCs w:val="0"/>
      <w:i w:val="0"/>
      <w:iCs w:val="0"/>
      <w:color w:val="000000"/>
      <w:spacing w:val="15"/>
      <w:sz w:val="18"/>
      <w:szCs w:val="18"/>
    </w:rPr>
  </w:style>
  <w:style w:type="paragraph" w:customStyle="1" w:styleId="af">
    <w:name w:val="列项——（一级）"/>
    <w:pPr>
      <w:widowControl w:val="0"/>
      <w:numPr>
        <w:numId w:val="1"/>
      </w:numPr>
      <w:tabs>
        <w:tab w:val="clear" w:pos="1140"/>
        <w:tab w:val="left" w:pos="854"/>
      </w:tabs>
      <w:ind w:leftChars="200" w:left="200" w:hangingChars="200" w:hanging="200"/>
      <w:jc w:val="both"/>
    </w:pPr>
    <w:rPr>
      <w:rFonts w:ascii="宋体"/>
      <w:sz w:val="21"/>
    </w:rPr>
  </w:style>
  <w:style w:type="paragraph" w:styleId="a9">
    <w:name w:val="Balloon Text"/>
    <w:basedOn w:val="a"/>
    <w:link w:val="Char1"/>
    <w:rPr>
      <w:sz w:val="18"/>
      <w:szCs w:val="18"/>
    </w:rPr>
  </w:style>
  <w:style w:type="paragraph" w:customStyle="1" w:styleId="CharCharChar1">
    <w:name w:val="Char Char Char1"/>
    <w:basedOn w:val="a"/>
  </w:style>
  <w:style w:type="paragraph" w:styleId="3">
    <w:name w:val="Body Text Indent 3"/>
    <w:basedOn w:val="a"/>
    <w:pPr>
      <w:spacing w:after="120"/>
      <w:ind w:leftChars="200" w:left="420"/>
    </w:pPr>
    <w:rPr>
      <w:sz w:val="16"/>
      <w:szCs w:val="16"/>
    </w:rPr>
  </w:style>
  <w:style w:type="paragraph" w:customStyle="1" w:styleId="af0">
    <w:name w:val="五级条标题"/>
    <w:basedOn w:val="af1"/>
    <w:next w:val="a"/>
    <w:pPr>
      <w:outlineLvl w:val="6"/>
    </w:pPr>
  </w:style>
  <w:style w:type="paragraph" w:customStyle="1" w:styleId="af2">
    <w:name w:val="其他发布部门"/>
    <w:basedOn w:val="a"/>
    <w:pPr>
      <w:widowControl/>
      <w:spacing w:line="0" w:lineRule="atLeast"/>
      <w:jc w:val="center"/>
    </w:pPr>
    <w:rPr>
      <w:rFonts w:ascii="黑体" w:eastAsia="黑体"/>
      <w:spacing w:val="20"/>
      <w:w w:val="135"/>
      <w:kern w:val="0"/>
      <w:sz w:val="36"/>
      <w:szCs w:val="20"/>
    </w:rPr>
  </w:style>
  <w:style w:type="paragraph" w:styleId="20">
    <w:name w:val="Body Text Indent 2"/>
    <w:basedOn w:val="a"/>
    <w:pPr>
      <w:spacing w:after="120" w:line="480" w:lineRule="auto"/>
      <w:ind w:leftChars="200" w:left="420"/>
    </w:pPr>
    <w:rPr>
      <w:szCs w:val="20"/>
    </w:rPr>
  </w:style>
  <w:style w:type="paragraph" w:customStyle="1" w:styleId="p16">
    <w:name w:val="p16"/>
    <w:basedOn w:val="a"/>
    <w:pPr>
      <w:widowControl/>
      <w:ind w:firstLine="420"/>
    </w:pPr>
    <w:rPr>
      <w:rFonts w:ascii="宋体" w:hAnsi="宋体" w:cs="宋体"/>
      <w:kern w:val="0"/>
      <w:szCs w:val="21"/>
    </w:rPr>
  </w:style>
  <w:style w:type="paragraph" w:styleId="ad">
    <w:name w:val="Plain Text"/>
    <w:basedOn w:val="a"/>
    <w:link w:val="Char3"/>
    <w:rPr>
      <w:rFonts w:ascii="宋体" w:hAnsi="Courier New"/>
      <w:szCs w:val="20"/>
    </w:rPr>
  </w:style>
  <w:style w:type="paragraph" w:customStyle="1" w:styleId="af3">
    <w:name w:val="一级条标题"/>
    <w:next w:val="a"/>
    <w:pPr>
      <w:tabs>
        <w:tab w:val="left" w:pos="360"/>
      </w:tabs>
      <w:outlineLvl w:val="2"/>
    </w:pPr>
    <w:rPr>
      <w:rFonts w:eastAsia="黑体"/>
      <w:sz w:val="21"/>
    </w:rPr>
  </w:style>
  <w:style w:type="paragraph" w:customStyle="1" w:styleId="Char11">
    <w:name w:val="Char11"/>
    <w:basedOn w:val="a"/>
  </w:style>
  <w:style w:type="paragraph" w:customStyle="1" w:styleId="af4">
    <w:name w:val="封面标准文稿编辑信息"/>
    <w:pPr>
      <w:spacing w:before="180" w:line="180" w:lineRule="exact"/>
      <w:jc w:val="center"/>
    </w:pPr>
    <w:rPr>
      <w:rFonts w:ascii="宋体"/>
      <w:sz w:val="21"/>
    </w:rPr>
  </w:style>
  <w:style w:type="paragraph" w:customStyle="1" w:styleId="af5">
    <w:name w:val="附录章标题"/>
    <w:next w:val="a5"/>
    <w:p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6">
    <w:name w:val="注×："/>
    <w:pPr>
      <w:widowControl w:val="0"/>
      <w:tabs>
        <w:tab w:val="left" w:pos="630"/>
      </w:tabs>
      <w:autoSpaceDE w:val="0"/>
      <w:autoSpaceDN w:val="0"/>
      <w:ind w:left="900" w:hanging="500"/>
      <w:jc w:val="both"/>
    </w:pPr>
    <w:rPr>
      <w:rFonts w:ascii="宋体"/>
      <w:sz w:val="18"/>
    </w:rPr>
  </w:style>
  <w:style w:type="paragraph" w:customStyle="1" w:styleId="CharCharCharChar">
    <w:name w:val="Char Char Char Char"/>
    <w:basedOn w:val="a"/>
  </w:style>
  <w:style w:type="paragraph" w:customStyle="1" w:styleId="af7">
    <w:name w:val="三级条标题"/>
    <w:basedOn w:val="af8"/>
    <w:next w:val="a"/>
    <w:pPr>
      <w:tabs>
        <w:tab w:val="clear" w:pos="360"/>
      </w:tabs>
      <w:outlineLvl w:val="4"/>
    </w:pPr>
  </w:style>
  <w:style w:type="paragraph" w:customStyle="1" w:styleId="af9">
    <w:name w:val="注："/>
    <w:next w:val="a5"/>
    <w:pPr>
      <w:widowControl w:val="0"/>
      <w:numPr>
        <w:numId w:val="2"/>
      </w:numPr>
      <w:tabs>
        <w:tab w:val="clear" w:pos="1140"/>
      </w:tabs>
      <w:autoSpaceDE w:val="0"/>
      <w:autoSpaceDN w:val="0"/>
      <w:jc w:val="both"/>
    </w:pPr>
    <w:rPr>
      <w:rFonts w:ascii="宋体"/>
      <w:sz w:val="18"/>
    </w:rPr>
  </w:style>
  <w:style w:type="paragraph" w:customStyle="1" w:styleId="afa">
    <w:name w:val="目次、标准名称标题"/>
    <w:basedOn w:val="a"/>
    <w:next w:val="a"/>
    <w:pPr>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fb">
    <w:name w:val="三级无标题条"/>
    <w:basedOn w:val="a"/>
    <w:pPr>
      <w:numPr>
        <w:ilvl w:val="4"/>
        <w:numId w:val="3"/>
      </w:numPr>
    </w:pPr>
  </w:style>
  <w:style w:type="paragraph" w:customStyle="1" w:styleId="aa0">
    <w:name w:val="aa"/>
    <w:basedOn w:val="a"/>
    <w:pPr>
      <w:adjustRightInd w:val="0"/>
      <w:spacing w:line="312" w:lineRule="atLeast"/>
      <w:ind w:firstLine="425"/>
      <w:textAlignment w:val="baseline"/>
    </w:pPr>
    <w:rPr>
      <w:kern w:val="0"/>
      <w:szCs w:val="20"/>
    </w:rPr>
  </w:style>
  <w:style w:type="paragraph" w:styleId="afc">
    <w:name w:val="Normal (Web)"/>
    <w:basedOn w:val="a"/>
    <w:pPr>
      <w:widowControl/>
      <w:spacing w:before="100" w:beforeAutospacing="1" w:after="100" w:afterAutospacing="1"/>
      <w:jc w:val="left"/>
    </w:pPr>
    <w:rPr>
      <w:rFonts w:ascii="宋体" w:hAnsi="宋体"/>
      <w:kern w:val="0"/>
      <w:sz w:val="24"/>
    </w:rPr>
  </w:style>
  <w:style w:type="paragraph" w:styleId="afd">
    <w:name w:val="Date"/>
    <w:basedOn w:val="a"/>
    <w:next w:val="a"/>
    <w:pPr>
      <w:autoSpaceDE w:val="0"/>
      <w:autoSpaceDN w:val="0"/>
      <w:adjustRightInd w:val="0"/>
      <w:ind w:leftChars="2500" w:left="100"/>
      <w:jc w:val="left"/>
    </w:pPr>
    <w:rPr>
      <w:rFonts w:ascii="CenturionOld" w:hAnsi="CenturionOld"/>
      <w:spacing w:val="10"/>
      <w:kern w:val="0"/>
      <w:sz w:val="28"/>
      <w:szCs w:val="31"/>
    </w:rPr>
  </w:style>
  <w:style w:type="paragraph" w:customStyle="1" w:styleId="CharCharChar1Char">
    <w:name w:val="Char Char Char1 Char"/>
    <w:basedOn w:val="a"/>
  </w:style>
  <w:style w:type="paragraph" w:customStyle="1" w:styleId="afe">
    <w:name w:val="列项·"/>
    <w:pPr>
      <w:numPr>
        <w:numId w:val="4"/>
      </w:numPr>
      <w:tabs>
        <w:tab w:val="clear" w:pos="1140"/>
        <w:tab w:val="left" w:pos="840"/>
      </w:tabs>
      <w:jc w:val="both"/>
    </w:pPr>
    <w:rPr>
      <w:rFonts w:ascii="宋体"/>
      <w:sz w:val="21"/>
    </w:rPr>
  </w:style>
  <w:style w:type="paragraph" w:customStyle="1" w:styleId="aff">
    <w:name w:val="封面标准名称"/>
    <w:pPr>
      <w:widowControl w:val="0"/>
      <w:spacing w:line="680" w:lineRule="exact"/>
      <w:jc w:val="center"/>
    </w:pPr>
    <w:rPr>
      <w:rFonts w:ascii="黑体" w:eastAsia="黑体"/>
      <w:sz w:val="52"/>
    </w:rPr>
  </w:style>
  <w:style w:type="paragraph" w:customStyle="1" w:styleId="aff0">
    <w:name w:val="附录四级条标题"/>
    <w:basedOn w:val="aff1"/>
    <w:next w:val="a5"/>
    <w:pPr>
      <w:outlineLvl w:val="5"/>
    </w:pPr>
  </w:style>
  <w:style w:type="paragraph" w:styleId="aff2">
    <w:name w:val="Normal Indent"/>
    <w:basedOn w:val="a"/>
    <w:pPr>
      <w:spacing w:line="298" w:lineRule="exact"/>
      <w:ind w:firstLine="420"/>
    </w:pPr>
    <w:rPr>
      <w:rFonts w:ascii="宋体"/>
      <w:spacing w:val="10"/>
      <w:szCs w:val="20"/>
    </w:rPr>
  </w:style>
  <w:style w:type="paragraph" w:styleId="aff3">
    <w:name w:val="header"/>
    <w:basedOn w:val="a"/>
    <w:pPr>
      <w:pBdr>
        <w:bottom w:val="single" w:sz="6" w:space="1" w:color="auto"/>
      </w:pBdr>
      <w:tabs>
        <w:tab w:val="center" w:pos="4153"/>
        <w:tab w:val="right" w:pos="8306"/>
      </w:tabs>
      <w:snapToGrid w:val="0"/>
      <w:jc w:val="center"/>
    </w:pPr>
    <w:rPr>
      <w:sz w:val="18"/>
      <w:szCs w:val="18"/>
    </w:rPr>
  </w:style>
  <w:style w:type="paragraph" w:customStyle="1" w:styleId="aff4">
    <w:name w:val="附录表标题"/>
    <w:next w:val="a5"/>
    <w:pPr>
      <w:numPr>
        <w:numId w:val="5"/>
      </w:numPr>
      <w:tabs>
        <w:tab w:val="left" w:pos="360"/>
      </w:tabs>
      <w:jc w:val="center"/>
      <w:textAlignment w:val="baseline"/>
    </w:pPr>
    <w:rPr>
      <w:rFonts w:ascii="黑体" w:eastAsia="黑体"/>
      <w:kern w:val="21"/>
      <w:sz w:val="21"/>
    </w:rPr>
  </w:style>
  <w:style w:type="paragraph" w:customStyle="1" w:styleId="Char4">
    <w:name w:val="Char"/>
    <w:basedOn w:val="a"/>
  </w:style>
  <w:style w:type="paragraph" w:customStyle="1" w:styleId="a5">
    <w:name w:val="段"/>
    <w:link w:val="Char"/>
    <w:qFormat/>
    <w:pPr>
      <w:autoSpaceDE w:val="0"/>
      <w:autoSpaceDN w:val="0"/>
      <w:ind w:firstLineChars="200" w:firstLine="200"/>
      <w:jc w:val="both"/>
    </w:pPr>
    <w:rPr>
      <w:rFonts w:ascii="宋体"/>
      <w:sz w:val="21"/>
    </w:rPr>
  </w:style>
  <w:style w:type="paragraph" w:customStyle="1" w:styleId="xl30">
    <w:name w:val="xl30"/>
    <w:basedOn w:val="a"/>
    <w:pPr>
      <w:widowControl/>
      <w:pBdr>
        <w:bottom w:val="single" w:sz="8" w:space="0" w:color="auto"/>
        <w:right w:val="single" w:sz="8" w:space="0" w:color="auto"/>
      </w:pBdr>
      <w:spacing w:before="100" w:beforeAutospacing="1" w:after="100" w:afterAutospacing="1"/>
      <w:textAlignment w:val="top"/>
    </w:pPr>
    <w:rPr>
      <w:rFonts w:ascii="宋体" w:hAnsi="宋体" w:cs="宋体"/>
      <w:kern w:val="0"/>
      <w:szCs w:val="21"/>
    </w:rPr>
  </w:style>
  <w:style w:type="paragraph" w:customStyle="1" w:styleId="aff5">
    <w:name w:val="字母编号列项（一级）"/>
    <w:pPr>
      <w:numPr>
        <w:numId w:val="6"/>
      </w:numPr>
      <w:tabs>
        <w:tab w:val="left" w:pos="360"/>
      </w:tabs>
      <w:jc w:val="both"/>
    </w:pPr>
    <w:rPr>
      <w:rFonts w:ascii="宋体"/>
      <w:sz w:val="21"/>
    </w:rPr>
  </w:style>
  <w:style w:type="paragraph" w:customStyle="1" w:styleId="Style1">
    <w:name w:val="_Style 1"/>
    <w:basedOn w:val="a"/>
    <w:qFormat/>
    <w:pPr>
      <w:ind w:firstLineChars="200" w:firstLine="420"/>
    </w:pPr>
    <w:rPr>
      <w:rFonts w:ascii="Calibri" w:hAnsi="Calibri"/>
      <w:szCs w:val="22"/>
    </w:rPr>
  </w:style>
  <w:style w:type="paragraph" w:styleId="ab">
    <w:name w:val="Body Text Indent"/>
    <w:basedOn w:val="a"/>
    <w:link w:val="Char2"/>
    <w:pPr>
      <w:ind w:firstLineChars="200" w:firstLine="420"/>
    </w:pPr>
  </w:style>
  <w:style w:type="paragraph" w:customStyle="1" w:styleId="af8">
    <w:name w:val="二级条标题"/>
    <w:basedOn w:val="af3"/>
    <w:next w:val="a"/>
    <w:pPr>
      <w:outlineLvl w:val="3"/>
    </w:pPr>
  </w:style>
  <w:style w:type="paragraph" w:customStyle="1" w:styleId="aff6">
    <w:name w:val="示例"/>
    <w:next w:val="a5"/>
    <w:pPr>
      <w:numPr>
        <w:numId w:val="7"/>
      </w:numPr>
      <w:tabs>
        <w:tab w:val="clear" w:pos="1120"/>
        <w:tab w:val="left" w:pos="816"/>
      </w:tabs>
      <w:ind w:firstLineChars="233" w:firstLine="419"/>
      <w:jc w:val="both"/>
    </w:pPr>
    <w:rPr>
      <w:rFonts w:ascii="宋体"/>
      <w:sz w:val="18"/>
    </w:rPr>
  </w:style>
  <w:style w:type="paragraph" w:customStyle="1" w:styleId="21">
    <w:name w:val="2"/>
    <w:basedOn w:val="a"/>
    <w:next w:val="ad"/>
    <w:rPr>
      <w:rFonts w:ascii="宋体" w:hAnsi="Courier New"/>
      <w:szCs w:val="20"/>
    </w:rPr>
  </w:style>
  <w:style w:type="paragraph" w:customStyle="1" w:styleId="aff7">
    <w:name w:val="附录二级条标题"/>
    <w:basedOn w:val="aff8"/>
    <w:next w:val="a5"/>
    <w:pPr>
      <w:outlineLvl w:val="3"/>
    </w:pPr>
  </w:style>
  <w:style w:type="paragraph" w:customStyle="1" w:styleId="CharCharChar">
    <w:name w:val="Char Char Char"/>
    <w:basedOn w:val="a"/>
  </w:style>
  <w:style w:type="paragraph" w:styleId="aff9">
    <w:name w:val="footer"/>
    <w:basedOn w:val="a"/>
    <w:pPr>
      <w:tabs>
        <w:tab w:val="center" w:pos="4153"/>
        <w:tab w:val="right" w:pos="8306"/>
      </w:tabs>
      <w:snapToGrid w:val="0"/>
      <w:jc w:val="left"/>
    </w:pPr>
    <w:rPr>
      <w:sz w:val="18"/>
      <w:szCs w:val="18"/>
    </w:rPr>
  </w:style>
  <w:style w:type="paragraph" w:customStyle="1" w:styleId="CharCharChar1Char1">
    <w:name w:val="Char Char Char1 Char1"/>
    <w:basedOn w:val="a"/>
  </w:style>
  <w:style w:type="paragraph" w:styleId="a8">
    <w:name w:val="Body Text First Indent"/>
    <w:basedOn w:val="affa"/>
    <w:link w:val="Char0"/>
    <w:pPr>
      <w:ind w:firstLineChars="100" w:firstLine="420"/>
    </w:pPr>
  </w:style>
  <w:style w:type="paragraph" w:customStyle="1" w:styleId="affb">
    <w:name w:val="注：（正文）"/>
    <w:basedOn w:val="af9"/>
    <w:next w:val="a5"/>
    <w:pPr>
      <w:numPr>
        <w:numId w:val="3"/>
      </w:numPr>
      <w:tabs>
        <w:tab w:val="left" w:pos="278"/>
      </w:tabs>
    </w:pPr>
  </w:style>
  <w:style w:type="paragraph" w:customStyle="1" w:styleId="affc">
    <w:name w:val="封面标准代替信息"/>
    <w:basedOn w:val="a"/>
    <w:pPr>
      <w:kinsoku w:val="0"/>
      <w:overflowPunct w:val="0"/>
      <w:autoSpaceDE w:val="0"/>
      <w:autoSpaceDN w:val="0"/>
      <w:adjustRightInd w:val="0"/>
      <w:spacing w:before="57" w:line="280" w:lineRule="exact"/>
      <w:jc w:val="right"/>
      <w:textAlignment w:val="center"/>
    </w:pPr>
    <w:rPr>
      <w:rFonts w:ascii="宋体"/>
      <w:kern w:val="0"/>
      <w:szCs w:val="20"/>
    </w:rPr>
  </w:style>
  <w:style w:type="paragraph" w:styleId="affa">
    <w:name w:val="Body Text"/>
    <w:basedOn w:val="a"/>
    <w:pPr>
      <w:spacing w:after="120"/>
    </w:pPr>
  </w:style>
  <w:style w:type="paragraph" w:customStyle="1" w:styleId="affd">
    <w:name w:val="编号列项（三级）"/>
    <w:pPr>
      <w:numPr>
        <w:ilvl w:val="2"/>
        <w:numId w:val="6"/>
      </w:numPr>
      <w:tabs>
        <w:tab w:val="left" w:pos="0"/>
      </w:tabs>
    </w:pPr>
    <w:rPr>
      <w:rFonts w:ascii="宋体"/>
      <w:sz w:val="21"/>
    </w:rPr>
  </w:style>
  <w:style w:type="paragraph" w:customStyle="1" w:styleId="22">
    <w:name w:val="封面标准号2"/>
    <w:basedOn w:val="a"/>
    <w:pPr>
      <w:kinsoku w:val="0"/>
      <w:overflowPunct w:val="0"/>
      <w:autoSpaceDE w:val="0"/>
      <w:autoSpaceDN w:val="0"/>
      <w:adjustRightInd w:val="0"/>
      <w:spacing w:before="357" w:line="280" w:lineRule="exact"/>
      <w:jc w:val="right"/>
      <w:textAlignment w:val="center"/>
    </w:pPr>
    <w:rPr>
      <w:kern w:val="0"/>
      <w:sz w:val="28"/>
      <w:szCs w:val="20"/>
    </w:rPr>
  </w:style>
  <w:style w:type="paragraph" w:customStyle="1" w:styleId="p18">
    <w:name w:val="p18"/>
    <w:basedOn w:val="a"/>
    <w:pPr>
      <w:widowControl/>
      <w:spacing w:after="120"/>
      <w:ind w:firstLine="210"/>
    </w:pPr>
    <w:rPr>
      <w:kern w:val="0"/>
      <w:sz w:val="24"/>
    </w:rPr>
  </w:style>
  <w:style w:type="paragraph" w:customStyle="1" w:styleId="affe">
    <w:name w:val="封面正文"/>
    <w:pPr>
      <w:jc w:val="both"/>
    </w:pPr>
  </w:style>
  <w:style w:type="paragraph" w:customStyle="1" w:styleId="1">
    <w:name w:val="正文首行缩进1"/>
    <w:basedOn w:val="a"/>
    <w:link w:val="CharChar2"/>
    <w:pPr>
      <w:spacing w:after="120"/>
      <w:ind w:firstLineChars="100" w:firstLine="420"/>
    </w:pPr>
    <w:rPr>
      <w:kern w:val="0"/>
      <w:sz w:val="20"/>
      <w:szCs w:val="20"/>
    </w:rPr>
  </w:style>
  <w:style w:type="paragraph" w:customStyle="1" w:styleId="afff">
    <w:name w:val="封面标准英文名称"/>
    <w:pPr>
      <w:widowControl w:val="0"/>
      <w:spacing w:before="370" w:line="400" w:lineRule="exact"/>
      <w:jc w:val="center"/>
    </w:pPr>
    <w:rPr>
      <w:sz w:val="28"/>
    </w:rPr>
  </w:style>
  <w:style w:type="paragraph" w:customStyle="1" w:styleId="p15">
    <w:name w:val="p15"/>
    <w:basedOn w:val="a"/>
    <w:pPr>
      <w:widowControl/>
      <w:ind w:firstLine="420"/>
    </w:pPr>
    <w:rPr>
      <w:rFonts w:ascii="宋体" w:hAnsi="宋体" w:cs="宋体"/>
      <w:kern w:val="0"/>
      <w:szCs w:val="21"/>
    </w:rPr>
  </w:style>
  <w:style w:type="paragraph" w:customStyle="1" w:styleId="10">
    <w:name w:val="列出段落1"/>
    <w:basedOn w:val="a"/>
    <w:pPr>
      <w:ind w:firstLineChars="200" w:firstLine="420"/>
    </w:pPr>
    <w:rPr>
      <w:rFonts w:ascii="Calibri" w:hAnsi="Calibri"/>
      <w:szCs w:val="20"/>
    </w:rPr>
  </w:style>
  <w:style w:type="paragraph" w:customStyle="1" w:styleId="afff0">
    <w:name w:val="一级无标题条"/>
    <w:basedOn w:val="a"/>
    <w:pPr>
      <w:numPr>
        <w:ilvl w:val="2"/>
        <w:numId w:val="3"/>
      </w:numPr>
    </w:pPr>
  </w:style>
  <w:style w:type="paragraph" w:customStyle="1" w:styleId="11">
    <w:name w:val="正文缩进1"/>
    <w:basedOn w:val="a"/>
    <w:pPr>
      <w:ind w:firstLine="420"/>
    </w:pPr>
    <w:rPr>
      <w:rFonts w:hint="eastAsia"/>
      <w:szCs w:val="20"/>
    </w:rPr>
  </w:style>
  <w:style w:type="paragraph" w:customStyle="1" w:styleId="CharCharCharChar1">
    <w:name w:val="Char Char Char Char1"/>
    <w:basedOn w:val="a"/>
    <w:rPr>
      <w:rFonts w:ascii="宋体"/>
      <w:kern w:val="0"/>
      <w:sz w:val="34"/>
      <w:szCs w:val="34"/>
      <w:lang w:val="zh-CN"/>
    </w:rPr>
  </w:style>
  <w:style w:type="paragraph" w:customStyle="1" w:styleId="CharCharCharCharCharCharChar">
    <w:name w:val="Char Char Char Char Char Char Char"/>
    <w:basedOn w:val="a"/>
  </w:style>
  <w:style w:type="paragraph" w:customStyle="1" w:styleId="aff8">
    <w:name w:val="附录一级条标题"/>
    <w:basedOn w:val="a"/>
    <w:next w:val="a5"/>
    <w:pPr>
      <w:widowControl/>
      <w:numPr>
        <w:ilvl w:val="1"/>
        <w:numId w:val="8"/>
      </w:numPr>
      <w:wordWrap w:val="0"/>
      <w:overflowPunct w:val="0"/>
      <w:autoSpaceDE w:val="0"/>
      <w:autoSpaceDN w:val="0"/>
      <w:textAlignment w:val="baseline"/>
      <w:outlineLvl w:val="2"/>
    </w:pPr>
    <w:rPr>
      <w:rFonts w:ascii="黑体" w:eastAsia="黑体"/>
      <w:kern w:val="21"/>
      <w:szCs w:val="20"/>
    </w:rPr>
  </w:style>
  <w:style w:type="paragraph" w:customStyle="1" w:styleId="afff1">
    <w:name w:val="五级无标题条"/>
    <w:basedOn w:val="a"/>
    <w:pPr>
      <w:numPr>
        <w:ilvl w:val="6"/>
        <w:numId w:val="3"/>
      </w:numPr>
    </w:pPr>
  </w:style>
  <w:style w:type="paragraph" w:customStyle="1" w:styleId="Char10">
    <w:name w:val="Char1"/>
    <w:basedOn w:val="a"/>
  </w:style>
  <w:style w:type="paragraph" w:styleId="23">
    <w:name w:val="Body Text 2"/>
    <w:basedOn w:val="a"/>
    <w:pPr>
      <w:spacing w:after="120" w:line="480" w:lineRule="auto"/>
    </w:pPr>
  </w:style>
  <w:style w:type="paragraph" w:customStyle="1" w:styleId="afff2">
    <w:name w:val="正文图标题"/>
    <w:next w:val="a5"/>
    <w:pPr>
      <w:numPr>
        <w:numId w:val="9"/>
      </w:numPr>
      <w:jc w:val="center"/>
    </w:pPr>
    <w:rPr>
      <w:rFonts w:ascii="黑体" w:eastAsia="黑体"/>
      <w:sz w:val="21"/>
    </w:rPr>
  </w:style>
  <w:style w:type="paragraph" w:customStyle="1" w:styleId="afff3">
    <w:name w:val="附录五级条标题"/>
    <w:basedOn w:val="aff0"/>
    <w:next w:val="a5"/>
    <w:pPr>
      <w:numPr>
        <w:ilvl w:val="0"/>
        <w:numId w:val="0"/>
      </w:numPr>
      <w:outlineLvl w:val="6"/>
    </w:pPr>
  </w:style>
  <w:style w:type="paragraph" w:customStyle="1" w:styleId="afff4">
    <w:name w:val="前言、引言标题"/>
    <w:next w:val="a"/>
    <w:pPr>
      <w:numPr>
        <w:numId w:val="10"/>
      </w:numPr>
      <w:shd w:val="clear" w:color="FFFFFF" w:fill="FFFFFF"/>
      <w:tabs>
        <w:tab w:val="left" w:pos="227"/>
      </w:tabs>
      <w:spacing w:before="640" w:after="560"/>
      <w:jc w:val="center"/>
      <w:outlineLvl w:val="0"/>
    </w:pPr>
    <w:rPr>
      <w:rFonts w:ascii="黑体" w:eastAsia="黑体"/>
      <w:sz w:val="32"/>
    </w:rPr>
  </w:style>
  <w:style w:type="paragraph" w:customStyle="1" w:styleId="aff1">
    <w:name w:val="附录三级条标题"/>
    <w:basedOn w:val="aff7"/>
    <w:next w:val="a5"/>
    <w:pPr>
      <w:outlineLvl w:val="4"/>
    </w:pPr>
  </w:style>
  <w:style w:type="paragraph" w:customStyle="1" w:styleId="afff5">
    <w:name w:val="实施日期"/>
    <w:basedOn w:val="a"/>
    <w:pPr>
      <w:widowControl/>
      <w:numPr>
        <w:ilvl w:val="4"/>
        <w:numId w:val="10"/>
      </w:numPr>
      <w:jc w:val="right"/>
    </w:pPr>
    <w:rPr>
      <w:rFonts w:eastAsia="黑体"/>
      <w:kern w:val="0"/>
      <w:sz w:val="28"/>
      <w:szCs w:val="20"/>
    </w:rPr>
  </w:style>
  <w:style w:type="paragraph" w:customStyle="1" w:styleId="12">
    <w:name w:val="封面标准号1"/>
    <w:pPr>
      <w:widowControl w:val="0"/>
      <w:kinsoku w:val="0"/>
      <w:overflowPunct w:val="0"/>
      <w:autoSpaceDE w:val="0"/>
      <w:autoSpaceDN w:val="0"/>
      <w:spacing w:before="308"/>
      <w:jc w:val="right"/>
      <w:textAlignment w:val="center"/>
    </w:pPr>
    <w:rPr>
      <w:sz w:val="28"/>
    </w:rPr>
  </w:style>
  <w:style w:type="paragraph" w:customStyle="1" w:styleId="afff6">
    <w:name w:val="二级无标题条"/>
    <w:basedOn w:val="a"/>
    <w:pPr>
      <w:numPr>
        <w:ilvl w:val="3"/>
        <w:numId w:val="3"/>
      </w:numPr>
    </w:pPr>
  </w:style>
  <w:style w:type="paragraph" w:styleId="HTML0">
    <w:name w:val="HTML Preformatted"/>
    <w:basedOn w:val="a"/>
    <w:rPr>
      <w:rFonts w:ascii="Courier New" w:hAnsi="Courier New" w:cs="Courier New"/>
      <w:sz w:val="20"/>
      <w:szCs w:val="20"/>
    </w:rPr>
  </w:style>
  <w:style w:type="paragraph" w:customStyle="1" w:styleId="CharCharCharChar11">
    <w:name w:val="Char Char Char Char11"/>
    <w:basedOn w:val="a"/>
    <w:rPr>
      <w:rFonts w:ascii="宋体"/>
      <w:kern w:val="0"/>
      <w:sz w:val="34"/>
      <w:szCs w:val="34"/>
      <w:lang w:val="zh-CN"/>
    </w:rPr>
  </w:style>
  <w:style w:type="paragraph" w:customStyle="1" w:styleId="af1">
    <w:name w:val="四级条标题"/>
    <w:basedOn w:val="af7"/>
    <w:next w:val="a"/>
    <w:pPr>
      <w:outlineLvl w:val="5"/>
    </w:pPr>
  </w:style>
  <w:style w:type="paragraph" w:customStyle="1" w:styleId="afff7">
    <w:name w:val="注×：（正文）"/>
    <w:pPr>
      <w:numPr>
        <w:numId w:val="11"/>
      </w:numPr>
      <w:tabs>
        <w:tab w:val="left" w:pos="900"/>
      </w:tabs>
      <w:jc w:val="both"/>
    </w:pPr>
    <w:rPr>
      <w:rFonts w:ascii="宋体"/>
      <w:sz w:val="18"/>
      <w:szCs w:val="18"/>
    </w:rPr>
  </w:style>
  <w:style w:type="paragraph" w:customStyle="1" w:styleId="afff8">
    <w:name w:val="附录图标题"/>
    <w:next w:val="a5"/>
    <w:pPr>
      <w:numPr>
        <w:numId w:val="12"/>
      </w:numPr>
      <w:tabs>
        <w:tab w:val="left" w:pos="360"/>
      </w:tabs>
      <w:jc w:val="center"/>
    </w:pPr>
    <w:rPr>
      <w:rFonts w:ascii="黑体" w:eastAsia="黑体"/>
      <w:sz w:val="21"/>
    </w:rPr>
  </w:style>
  <w:style w:type="paragraph" w:customStyle="1" w:styleId="afff9">
    <w:name w:val="图表脚注"/>
    <w:next w:val="a"/>
    <w:pPr>
      <w:numPr>
        <w:ilvl w:val="5"/>
        <w:numId w:val="10"/>
      </w:numPr>
      <w:ind w:leftChars="200" w:left="300" w:hangingChars="100" w:hanging="100"/>
      <w:jc w:val="both"/>
    </w:pPr>
    <w:rPr>
      <w:rFonts w:ascii="宋体"/>
      <w:sz w:val="18"/>
    </w:rPr>
  </w:style>
  <w:style w:type="paragraph" w:customStyle="1" w:styleId="afffa">
    <w:name w:val="四级无标题条"/>
    <w:basedOn w:val="a"/>
    <w:pPr>
      <w:numPr>
        <w:ilvl w:val="5"/>
        <w:numId w:val="3"/>
      </w:numPr>
    </w:pPr>
  </w:style>
  <w:style w:type="paragraph" w:customStyle="1" w:styleId="p0">
    <w:name w:val="p0"/>
    <w:basedOn w:val="a"/>
    <w:pPr>
      <w:widowControl/>
    </w:pPr>
    <w:rPr>
      <w:kern w:val="0"/>
      <w:szCs w:val="21"/>
    </w:rPr>
  </w:style>
  <w:style w:type="paragraph" w:customStyle="1" w:styleId="afffb">
    <w:name w:val="数字编号列项（二级）"/>
    <w:pPr>
      <w:numPr>
        <w:ilvl w:val="1"/>
        <w:numId w:val="6"/>
      </w:numPr>
      <w:tabs>
        <w:tab w:val="left" w:pos="1259"/>
      </w:tabs>
      <w:jc w:val="both"/>
    </w:pPr>
    <w:rPr>
      <w:rFonts w:ascii="宋体"/>
      <w:sz w:val="21"/>
    </w:rPr>
  </w:style>
  <w:style w:type="paragraph" w:customStyle="1" w:styleId="Default">
    <w:name w:val="Default"/>
    <w:pPr>
      <w:widowControl w:val="0"/>
      <w:autoSpaceDE w:val="0"/>
      <w:autoSpaceDN w:val="0"/>
      <w:adjustRightInd w:val="0"/>
    </w:pPr>
    <w:rPr>
      <w:color w:val="000000"/>
      <w:sz w:val="24"/>
      <w:szCs w:val="24"/>
    </w:rPr>
  </w:style>
  <w:style w:type="paragraph" w:customStyle="1" w:styleId="afffc">
    <w:name w:val="标准称谓"/>
    <w:next w:val="a"/>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p17">
    <w:name w:val="p17"/>
    <w:basedOn w:val="a"/>
    <w:pPr>
      <w:widowControl/>
      <w:ind w:firstLine="420"/>
    </w:pPr>
    <w:rPr>
      <w:rFonts w:ascii="宋体" w:hAnsi="宋体" w:cs="宋体"/>
      <w:kern w:val="0"/>
      <w:sz w:val="22"/>
      <w:szCs w:val="22"/>
    </w:rPr>
  </w:style>
  <w:style w:type="paragraph" w:customStyle="1" w:styleId="ParaCharCharCharCharCharCharChar">
    <w:name w:val="默认段落字体 Para Char Char Char Char Char Char Char"/>
    <w:basedOn w:val="a"/>
  </w:style>
  <w:style w:type="paragraph" w:customStyle="1" w:styleId="afffd">
    <w:name w:val="章标题"/>
    <w:next w:val="a"/>
    <w:pPr>
      <w:tabs>
        <w:tab w:val="left" w:pos="360"/>
      </w:tabs>
      <w:spacing w:beforeLines="50" w:afterLines="50"/>
      <w:jc w:val="both"/>
      <w:outlineLvl w:val="1"/>
    </w:pPr>
    <w:rPr>
      <w:rFonts w:ascii="黑体" w:eastAsia="黑体"/>
      <w:sz w:val="21"/>
    </w:rPr>
  </w:style>
  <w:style w:type="paragraph" w:customStyle="1" w:styleId="aa">
    <w:name w:val="正文样式"/>
    <w:basedOn w:val="a"/>
    <w:link w:val="CharChar1"/>
    <w:pPr>
      <w:spacing w:line="360" w:lineRule="auto"/>
      <w:jc w:val="left"/>
    </w:pPr>
    <w:rPr>
      <w:sz w:val="24"/>
      <w:szCs w:val="20"/>
    </w:rPr>
  </w:style>
  <w:style w:type="paragraph" w:customStyle="1" w:styleId="xl39">
    <w:name w:val="xl39"/>
    <w:basedOn w:val="a"/>
    <w:pPr>
      <w:widowControl/>
      <w:pBdr>
        <w:bottom w:val="single" w:sz="8" w:space="0" w:color="auto"/>
        <w:right w:val="single" w:sz="8" w:space="0" w:color="auto"/>
      </w:pBdr>
      <w:spacing w:before="100" w:beforeAutospacing="1" w:after="100" w:afterAutospacing="1"/>
      <w:jc w:val="left"/>
      <w:textAlignment w:val="top"/>
    </w:pPr>
    <w:rPr>
      <w:kern w:val="0"/>
      <w:sz w:val="18"/>
      <w:szCs w:val="18"/>
    </w:rPr>
  </w:style>
  <w:style w:type="paragraph" w:customStyle="1" w:styleId="afffe">
    <w:name w:val="附录标识"/>
    <w:basedOn w:val="afff4"/>
    <w:pPr>
      <w:numPr>
        <w:numId w:val="0"/>
      </w:numPr>
      <w:tabs>
        <w:tab w:val="left" w:pos="6405"/>
      </w:tabs>
      <w:spacing w:after="200"/>
    </w:pPr>
    <w:rPr>
      <w:sz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279</Words>
  <Characters>1592</Characters>
  <Application>Microsoft Office Word</Application>
  <DocSecurity>0</DocSecurity>
  <PresentationFormat/>
  <Lines>13</Lines>
  <Paragraphs>3</Paragraphs>
  <Slides>0</Slides>
  <Notes>0</Notes>
  <HiddenSlides>0</HiddenSlides>
  <MMClips>0</MMClips>
  <ScaleCrop>false</ScaleCrop>
  <Company>Legend (Beijing) Limited</Company>
  <LinksUpToDate>false</LinksUpToDate>
  <CharactersWithSpaces>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序号</dc:title>
  <dc:creator>shengxijun</dc:creator>
  <cp:lastModifiedBy>Administrator</cp:lastModifiedBy>
  <cp:revision>2</cp:revision>
  <cp:lastPrinted>2008-10-24T07:47:00Z</cp:lastPrinted>
  <dcterms:created xsi:type="dcterms:W3CDTF">2020-09-18T01:51:00Z</dcterms:created>
  <dcterms:modified xsi:type="dcterms:W3CDTF">2020-09-18T01:51:00Z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2052-10.8.2.7059</vt:lpwstr>
  </property>
</Properties>
</file>