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000" w:rsidRDefault="00D934B2">
      <w:pPr>
        <w:jc w:val="left"/>
        <w:rPr>
          <w:rFonts w:ascii="黑体" w:eastAsia="黑体" w:hAnsi="黑体" w:cs="黑体" w:hint="eastAsia"/>
          <w:sz w:val="32"/>
          <w:szCs w:val="32"/>
        </w:rPr>
      </w:pPr>
      <w:r>
        <w:rPr>
          <w:rFonts w:ascii="黑体" w:eastAsia="黑体" w:hAnsi="黑体" w:cs="黑体" w:hint="eastAsia"/>
          <w:sz w:val="32"/>
          <w:szCs w:val="32"/>
        </w:rPr>
        <w:t>附件</w:t>
      </w:r>
      <w:r>
        <w:rPr>
          <w:rFonts w:ascii="黑体" w:eastAsia="黑体" w:hAnsi="黑体" w:cs="黑体" w:hint="eastAsia"/>
          <w:sz w:val="32"/>
          <w:szCs w:val="32"/>
        </w:rPr>
        <w:t>2</w:t>
      </w:r>
    </w:p>
    <w:p w:rsidR="00000000" w:rsidRDefault="00D934B2">
      <w:pPr>
        <w:spacing w:beforeLines="50" w:afterLines="50" w:line="480" w:lineRule="auto"/>
        <w:jc w:val="center"/>
        <w:rPr>
          <w:rFonts w:ascii="黑体" w:eastAsia="黑体" w:hAnsi="宋体" w:hint="eastAsia"/>
          <w:sz w:val="36"/>
          <w:szCs w:val="21"/>
        </w:rPr>
      </w:pPr>
      <w:r>
        <w:rPr>
          <w:rFonts w:ascii="黑体" w:eastAsia="黑体" w:hAnsi="宋体" w:hint="eastAsia"/>
          <w:sz w:val="36"/>
          <w:szCs w:val="21"/>
        </w:rPr>
        <w:t>26</w:t>
      </w:r>
      <w:r>
        <w:rPr>
          <w:rFonts w:ascii="黑体" w:eastAsia="黑体" w:hAnsi="宋体" w:hint="eastAsia"/>
          <w:sz w:val="36"/>
          <w:szCs w:val="21"/>
        </w:rPr>
        <w:t>项电子国家标准名称及主要内容</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bottom w:w="17" w:type="dxa"/>
        </w:tblCellMar>
        <w:tblLook w:val="0000"/>
      </w:tblPr>
      <w:tblGrid>
        <w:gridCol w:w="485"/>
        <w:gridCol w:w="1437"/>
        <w:gridCol w:w="2588"/>
        <w:gridCol w:w="485"/>
        <w:gridCol w:w="6773"/>
        <w:gridCol w:w="1436"/>
        <w:gridCol w:w="1688"/>
      </w:tblGrid>
      <w:tr w:rsidR="00000000">
        <w:trPr>
          <w:trHeight w:val="533"/>
          <w:tblHeader/>
          <w:jc w:val="center"/>
        </w:trPr>
        <w:tc>
          <w:tcPr>
            <w:tcW w:w="485" w:type="dxa"/>
            <w:tcBorders>
              <w:tl2br w:val="nil"/>
              <w:tr2bl w:val="nil"/>
            </w:tcBorders>
            <w:vAlign w:val="center"/>
          </w:tcPr>
          <w:p w:rsidR="00000000" w:rsidRDefault="00D934B2">
            <w:pPr>
              <w:spacing w:line="360" w:lineRule="exact"/>
              <w:jc w:val="center"/>
              <w:rPr>
                <w:color w:val="000000"/>
                <w:kern w:val="0"/>
                <w:sz w:val="18"/>
                <w:szCs w:val="18"/>
                <w:lang/>
              </w:rPr>
            </w:pPr>
            <w:r>
              <w:rPr>
                <w:rFonts w:ascii="仿宋" w:eastAsia="仿宋" w:hAnsi="仿宋" w:hint="eastAsia"/>
                <w:b/>
              </w:rPr>
              <w:t>序号</w:t>
            </w:r>
          </w:p>
        </w:tc>
        <w:tc>
          <w:tcPr>
            <w:tcW w:w="1437" w:type="dxa"/>
            <w:tcBorders>
              <w:tl2br w:val="nil"/>
              <w:tr2bl w:val="nil"/>
            </w:tcBorders>
            <w:vAlign w:val="center"/>
          </w:tcPr>
          <w:p w:rsidR="00000000" w:rsidRDefault="00D934B2">
            <w:pPr>
              <w:spacing w:line="360" w:lineRule="exact"/>
              <w:jc w:val="center"/>
              <w:rPr>
                <w:color w:val="000000"/>
                <w:kern w:val="0"/>
                <w:sz w:val="18"/>
                <w:szCs w:val="18"/>
                <w:lang/>
              </w:rPr>
            </w:pPr>
            <w:r>
              <w:rPr>
                <w:rFonts w:ascii="仿宋" w:eastAsia="仿宋" w:hAnsi="仿宋" w:hint="eastAsia"/>
                <w:b/>
              </w:rPr>
              <w:t>计划编号</w:t>
            </w:r>
          </w:p>
        </w:tc>
        <w:tc>
          <w:tcPr>
            <w:tcW w:w="2588" w:type="dxa"/>
            <w:tcBorders>
              <w:tl2br w:val="nil"/>
              <w:tr2bl w:val="nil"/>
            </w:tcBorders>
            <w:vAlign w:val="center"/>
          </w:tcPr>
          <w:p w:rsidR="00000000" w:rsidRDefault="00D934B2">
            <w:pPr>
              <w:spacing w:line="360" w:lineRule="exact"/>
              <w:jc w:val="center"/>
              <w:rPr>
                <w:rFonts w:ascii="宋体" w:hAnsi="宋体" w:cs="宋体" w:hint="eastAsia"/>
                <w:color w:val="000000"/>
                <w:kern w:val="0"/>
                <w:sz w:val="18"/>
                <w:szCs w:val="18"/>
                <w:lang/>
              </w:rPr>
            </w:pPr>
            <w:r>
              <w:rPr>
                <w:rFonts w:ascii="仿宋" w:eastAsia="仿宋" w:hAnsi="仿宋" w:hint="eastAsia"/>
                <w:b/>
              </w:rPr>
              <w:t>标准名称</w:t>
            </w:r>
          </w:p>
        </w:tc>
        <w:tc>
          <w:tcPr>
            <w:tcW w:w="485" w:type="dxa"/>
            <w:tcBorders>
              <w:tl2br w:val="nil"/>
              <w:tr2bl w:val="nil"/>
            </w:tcBorders>
            <w:vAlign w:val="center"/>
          </w:tcPr>
          <w:p w:rsidR="00000000" w:rsidRDefault="00D934B2">
            <w:pPr>
              <w:spacing w:line="360" w:lineRule="exact"/>
              <w:jc w:val="center"/>
              <w:rPr>
                <w:rFonts w:ascii="宋体" w:hAnsi="宋体" w:cs="宋体" w:hint="eastAsia"/>
                <w:color w:val="000000"/>
                <w:kern w:val="0"/>
                <w:sz w:val="18"/>
                <w:szCs w:val="18"/>
                <w:lang/>
              </w:rPr>
            </w:pPr>
            <w:r>
              <w:rPr>
                <w:rFonts w:ascii="仿宋" w:eastAsia="仿宋" w:hAnsi="仿宋" w:hint="eastAsia"/>
                <w:b/>
              </w:rPr>
              <w:t>性质</w:t>
            </w:r>
          </w:p>
        </w:tc>
        <w:tc>
          <w:tcPr>
            <w:tcW w:w="6773" w:type="dxa"/>
            <w:tcBorders>
              <w:tl2br w:val="nil"/>
              <w:tr2bl w:val="nil"/>
            </w:tcBorders>
            <w:vAlign w:val="center"/>
          </w:tcPr>
          <w:p w:rsidR="00000000" w:rsidRDefault="00D934B2">
            <w:pPr>
              <w:spacing w:line="360" w:lineRule="exact"/>
              <w:jc w:val="center"/>
              <w:rPr>
                <w:rFonts w:ascii="宋体" w:hAnsi="宋体" w:cs="宋体" w:hint="eastAsia"/>
                <w:color w:val="000000"/>
                <w:kern w:val="0"/>
                <w:sz w:val="18"/>
                <w:szCs w:val="18"/>
                <w:lang/>
              </w:rPr>
            </w:pPr>
            <w:r>
              <w:rPr>
                <w:rFonts w:ascii="仿宋" w:eastAsia="仿宋" w:hAnsi="仿宋" w:hint="eastAsia"/>
                <w:b/>
              </w:rPr>
              <w:t>标准主要内容</w:t>
            </w:r>
          </w:p>
        </w:tc>
        <w:tc>
          <w:tcPr>
            <w:tcW w:w="1436" w:type="dxa"/>
            <w:tcBorders>
              <w:tl2br w:val="nil"/>
              <w:tr2bl w:val="nil"/>
            </w:tcBorders>
            <w:vAlign w:val="center"/>
          </w:tcPr>
          <w:p w:rsidR="00000000" w:rsidRDefault="00D934B2">
            <w:pPr>
              <w:spacing w:line="360" w:lineRule="exact"/>
              <w:jc w:val="center"/>
              <w:rPr>
                <w:color w:val="000000"/>
                <w:kern w:val="0"/>
                <w:sz w:val="18"/>
                <w:szCs w:val="18"/>
                <w:lang/>
              </w:rPr>
            </w:pPr>
            <w:r>
              <w:rPr>
                <w:rFonts w:ascii="仿宋" w:eastAsia="仿宋" w:hAnsi="仿宋" w:hint="eastAsia"/>
                <w:b/>
              </w:rPr>
              <w:t>代替标准</w:t>
            </w:r>
          </w:p>
        </w:tc>
        <w:tc>
          <w:tcPr>
            <w:tcW w:w="1688" w:type="dxa"/>
            <w:tcBorders>
              <w:tl2br w:val="nil"/>
              <w:tr2bl w:val="nil"/>
            </w:tcBorders>
            <w:vAlign w:val="center"/>
          </w:tcPr>
          <w:p w:rsidR="00000000" w:rsidRDefault="00D934B2">
            <w:pPr>
              <w:spacing w:line="360" w:lineRule="exact"/>
              <w:jc w:val="center"/>
              <w:rPr>
                <w:color w:val="000000"/>
                <w:kern w:val="0"/>
                <w:sz w:val="18"/>
                <w:szCs w:val="18"/>
                <w:lang/>
              </w:rPr>
            </w:pPr>
            <w:r>
              <w:rPr>
                <w:rFonts w:ascii="仿宋" w:eastAsia="仿宋" w:hAnsi="仿宋" w:hint="eastAsia"/>
                <w:b/>
              </w:rPr>
              <w:t>采标情况</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20121245-T-339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光伏器件</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2</w:t>
            </w:r>
            <w:r>
              <w:rPr>
                <w:rFonts w:ascii="仿宋_GB2312" w:eastAsia="仿宋_GB2312" w:hAnsi="仿宋_GB2312" w:cs="仿宋_GB2312" w:hint="eastAsia"/>
                <w:color w:val="000000"/>
                <w:kern w:val="0"/>
                <w:szCs w:val="21"/>
                <w:lang/>
              </w:rPr>
              <w:t>部分：标准光伏器件的要求</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标准光伏器件的分类、选择、封装、标识、校准及维护的要求。本标准适用于自然和模拟太阳光下测量太阳电池、组件和方阵电性能时使用的标准光伏器件。不适用于聚光条件下使用的标准光伏器件。</w:t>
            </w:r>
          </w:p>
        </w:tc>
        <w:tc>
          <w:tcPr>
            <w:tcW w:w="1436"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GB/T 6495.2-1996</w:t>
            </w: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60904-2:2015,</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20132173-T-339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光缆</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4-10</w:t>
            </w:r>
            <w:r>
              <w:rPr>
                <w:rFonts w:ascii="仿宋_GB2312" w:eastAsia="仿宋_GB2312" w:hAnsi="仿宋_GB2312" w:cs="仿宋_GB2312" w:hint="eastAsia"/>
                <w:color w:val="000000"/>
                <w:kern w:val="0"/>
                <w:szCs w:val="21"/>
                <w:lang/>
              </w:rPr>
              <w:t>部分：</w:t>
            </w:r>
            <w:r>
              <w:rPr>
                <w:rFonts w:ascii="仿宋_GB2312" w:eastAsia="仿宋_GB2312" w:hAnsi="仿宋_GB2312" w:cs="仿宋_GB2312" w:hint="eastAsia"/>
                <w:color w:val="000000"/>
                <w:kern w:val="0"/>
                <w:szCs w:val="21"/>
                <w:lang/>
              </w:rPr>
              <w:t>沿电力线路架设的光缆</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光纤复合架空地线门类规范</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本标准规定了光纤复合架空地线（</w:t>
            </w:r>
            <w:r>
              <w:rPr>
                <w:rFonts w:ascii="仿宋_GB2312" w:eastAsia="仿宋_GB2312" w:hAnsi="仿宋_GB2312" w:cs="仿宋_GB2312" w:hint="eastAsia"/>
                <w:color w:val="000000"/>
                <w:kern w:val="0"/>
                <w:szCs w:val="21"/>
                <w:lang/>
              </w:rPr>
              <w:t>OPGW</w:t>
            </w:r>
            <w:r>
              <w:rPr>
                <w:rFonts w:ascii="仿宋_GB2312" w:eastAsia="仿宋_GB2312" w:hAnsi="仿宋_GB2312" w:cs="仿宋_GB2312" w:hint="eastAsia"/>
                <w:color w:val="000000"/>
                <w:kern w:val="0"/>
                <w:szCs w:val="21"/>
                <w:lang/>
              </w:rPr>
              <w:t>）的要求、检验方法、检验规则、包装、标志、</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运输及储存、设计要素、架设和安装。</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本标准适用于光纤复合架空地线。</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jc w:val="left"/>
              <w:rPr>
                <w:rFonts w:ascii="仿宋_GB2312" w:eastAsia="仿宋_GB2312" w:hAnsi="仿宋_GB2312" w:cs="仿宋_GB2312" w:hint="eastAsia"/>
                <w:color w:val="000000"/>
                <w:kern w:val="0"/>
                <w:szCs w:val="21"/>
                <w:lang/>
              </w:rPr>
            </w:pP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20132174-T-339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光缆</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4-20</w:t>
            </w:r>
            <w:r>
              <w:rPr>
                <w:rFonts w:ascii="仿宋_GB2312" w:eastAsia="仿宋_GB2312" w:hAnsi="仿宋_GB2312" w:cs="仿宋_GB2312" w:hint="eastAsia"/>
                <w:color w:val="000000"/>
                <w:kern w:val="0"/>
                <w:szCs w:val="21"/>
                <w:lang/>
              </w:rPr>
              <w:t>部分：沿电力线路架设的光缆</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全介质自承式架空光缆门类规范</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本标准规定了全介质自承式光缆（</w:t>
            </w:r>
            <w:r>
              <w:rPr>
                <w:rFonts w:ascii="仿宋_GB2312" w:eastAsia="仿宋_GB2312" w:hAnsi="仿宋_GB2312" w:cs="仿宋_GB2312" w:hint="eastAsia"/>
                <w:color w:val="000000"/>
                <w:kern w:val="0"/>
                <w:szCs w:val="21"/>
                <w:lang/>
              </w:rPr>
              <w:t>ADSS</w:t>
            </w:r>
            <w:r>
              <w:rPr>
                <w:rFonts w:ascii="仿宋_GB2312" w:eastAsia="仿宋_GB2312" w:hAnsi="仿宋_GB2312" w:cs="仿宋_GB2312" w:hint="eastAsia"/>
                <w:color w:val="000000"/>
                <w:kern w:val="0"/>
                <w:szCs w:val="21"/>
                <w:lang/>
              </w:rPr>
              <w:t>）的要求、检验方法、检验规则、包装、标志、</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运输及储存、设计要素、安装和架设。</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本标准适用于直接架设在电力架空线路杆塔合适位置的全介质自承式光缆。</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 xml:space="preserve"> </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20132175-T-339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光缆</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4-30</w:t>
            </w:r>
            <w:r>
              <w:rPr>
                <w:rFonts w:ascii="仿宋_GB2312" w:eastAsia="仿宋_GB2312" w:hAnsi="仿宋_GB2312" w:cs="仿宋_GB2312" w:hint="eastAsia"/>
                <w:color w:val="000000"/>
                <w:kern w:val="0"/>
                <w:szCs w:val="21"/>
                <w:lang/>
              </w:rPr>
              <w:t>部分：沿电力线路架设的光缆</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光纤复合架空相线门类规范</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本标准规定了光纤复合架空相线（</w:t>
            </w:r>
            <w:r>
              <w:rPr>
                <w:rFonts w:ascii="仿宋_GB2312" w:eastAsia="仿宋_GB2312" w:hAnsi="仿宋_GB2312" w:cs="仿宋_GB2312" w:hint="eastAsia"/>
                <w:color w:val="000000"/>
                <w:kern w:val="0"/>
                <w:szCs w:val="21"/>
                <w:lang/>
              </w:rPr>
              <w:t>OPPC</w:t>
            </w:r>
            <w:r>
              <w:rPr>
                <w:rFonts w:ascii="仿宋_GB2312" w:eastAsia="仿宋_GB2312" w:hAnsi="仿宋_GB2312" w:cs="仿宋_GB2312" w:hint="eastAsia"/>
                <w:color w:val="000000"/>
                <w:kern w:val="0"/>
                <w:szCs w:val="21"/>
                <w:lang/>
              </w:rPr>
              <w:t>）的要求、检验方法、检验规则、包装、标志、运输及储存、设计要素、架设和安装。本标准适用于光纤复合架空相线。</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jc w:val="left"/>
              <w:rPr>
                <w:rFonts w:ascii="仿宋_GB2312" w:eastAsia="仿宋_GB2312" w:hAnsi="仿宋_GB2312" w:cs="仿宋_GB2312" w:hint="eastAsia"/>
                <w:color w:val="000000"/>
                <w:kern w:val="0"/>
                <w:szCs w:val="21"/>
                <w:lang/>
              </w:rPr>
            </w:pP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20132181-T-339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光缆</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7-20</w:t>
            </w:r>
            <w:r>
              <w:rPr>
                <w:rFonts w:ascii="仿宋_GB2312" w:eastAsia="仿宋_GB2312" w:hAnsi="仿宋_GB2312" w:cs="仿宋_GB2312" w:hint="eastAsia"/>
                <w:color w:val="000000"/>
                <w:kern w:val="0"/>
                <w:szCs w:val="21"/>
                <w:lang/>
              </w:rPr>
              <w:t>部分：室内光缆</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多芯光缆门类规范</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本标准规定了室内用多芯光缆的材料和结构、技术要求、检验方法、检验规则等。本标准适用于在室内传输设备、语音数据处理光接口设备之间传输用的光缆以及室内综合布线用多</w:t>
            </w:r>
            <w:r>
              <w:rPr>
                <w:rFonts w:ascii="仿宋_GB2312" w:eastAsia="仿宋_GB2312" w:hAnsi="仿宋_GB2312" w:cs="仿宋_GB2312" w:hint="eastAsia"/>
                <w:color w:val="000000"/>
                <w:kern w:val="0"/>
                <w:szCs w:val="21"/>
                <w:lang/>
              </w:rPr>
              <w:t>芯光缆。</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 xml:space="preserve"> </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20132184-T-339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光缆</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7-50</w:t>
            </w:r>
            <w:r>
              <w:rPr>
                <w:rFonts w:ascii="仿宋_GB2312" w:eastAsia="仿宋_GB2312" w:hAnsi="仿宋_GB2312" w:cs="仿宋_GB2312" w:hint="eastAsia"/>
                <w:color w:val="000000"/>
                <w:kern w:val="0"/>
                <w:szCs w:val="21"/>
                <w:lang/>
              </w:rPr>
              <w:t>部分：室内光缆</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终端光缆组件用单芯和双芯光缆门类规范</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本标准规定了终端光缆组件用单芯和双芯光缆的材料和结构、要求、检验方法、检验规则等。本标准适用于终端光缆组件（也包括光无源器件引出线）用单芯和双芯光缆。</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 xml:space="preserve"> </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20141834-T-339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金属通信电缆试验方法</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4-12</w:t>
            </w:r>
            <w:r>
              <w:rPr>
                <w:rFonts w:ascii="仿宋_GB2312" w:eastAsia="仿宋_GB2312" w:hAnsi="仿宋_GB2312" w:cs="仿宋_GB2312" w:hint="eastAsia"/>
                <w:color w:val="000000"/>
                <w:kern w:val="0"/>
                <w:szCs w:val="21"/>
                <w:lang/>
              </w:rPr>
              <w:t>部分：电磁兼容</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连接硬件的耦合衰减或屏蔽衰减</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吸收钳法</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本标准规定了模拟和数字通信系统用连接硬件的耦合或屏蔽衰减试验方法。</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62153-4-12</w:t>
            </w:r>
            <w:r>
              <w:rPr>
                <w:rFonts w:ascii="仿宋_GB2312" w:eastAsia="仿宋_GB2312" w:hAnsi="仿宋_GB2312" w:cs="仿宋_GB2312" w:hint="eastAsia"/>
                <w:color w:val="000000"/>
                <w:kern w:val="0"/>
                <w:szCs w:val="21"/>
                <w:lang/>
              </w:rPr>
              <w:t>:</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2009,IDT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20141835-T-339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金属通信电缆试验方法</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4-13</w:t>
            </w:r>
            <w:r>
              <w:rPr>
                <w:rFonts w:ascii="仿宋_GB2312" w:eastAsia="仿宋_GB2312" w:hAnsi="仿宋_GB2312" w:cs="仿宋_GB2312" w:hint="eastAsia"/>
                <w:color w:val="000000"/>
                <w:kern w:val="0"/>
                <w:szCs w:val="21"/>
                <w:lang/>
              </w:rPr>
              <w:t>部分：电磁兼容</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链路和信道（实验室条件）耦合衰减</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吸收钳法</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本标准规定了模拟和数字通信系统用链路和信道的耦合衰减实验室试验方法。</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62153-4-13:</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2009,IDT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20141836-T-339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金属通信电缆试验方法</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4-14</w:t>
            </w:r>
            <w:r>
              <w:rPr>
                <w:rFonts w:ascii="仿宋_GB2312" w:eastAsia="仿宋_GB2312" w:hAnsi="仿宋_GB2312" w:cs="仿宋_GB2312" w:hint="eastAsia"/>
                <w:color w:val="000000"/>
                <w:kern w:val="0"/>
                <w:szCs w:val="21"/>
                <w:lang/>
              </w:rPr>
              <w:t>部分：电磁兼容</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电缆组件（现场条件）的耦合衰减</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吸收钳法</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本标准规定了模拟和数字通信系统用链路和信道中电缆组件的耦合衰减的现场条件试验方法。</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62</w:t>
            </w:r>
            <w:r>
              <w:rPr>
                <w:rFonts w:ascii="仿宋_GB2312" w:eastAsia="仿宋_GB2312" w:hAnsi="仿宋_GB2312" w:cs="仿宋_GB2312" w:hint="eastAsia"/>
                <w:color w:val="000000"/>
                <w:kern w:val="0"/>
                <w:szCs w:val="21"/>
                <w:lang/>
              </w:rPr>
              <w:t>153-4-14:</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2012,IDT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20141840-T-339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无源射频和微波元器件的互调电平测量</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1</w:t>
            </w:r>
            <w:r>
              <w:rPr>
                <w:rFonts w:ascii="仿宋_GB2312" w:eastAsia="仿宋_GB2312" w:hAnsi="仿宋_GB2312" w:cs="仿宋_GB2312" w:hint="eastAsia"/>
                <w:color w:val="000000"/>
                <w:kern w:val="0"/>
                <w:szCs w:val="21"/>
                <w:lang/>
              </w:rPr>
              <w:t>部分：一般要求和测量方法</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本标准规定了无源射频和微波元器件中由两路或两路以上传输信号产生的无源互调电平的一般要求和测量方法。</w:t>
            </w:r>
          </w:p>
        </w:tc>
        <w:tc>
          <w:tcPr>
            <w:tcW w:w="1436"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GB/T 21021-2007</w:t>
            </w: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62037-1:2012,</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20141841-T-339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无源射频和微波元器件的互调电平测量</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2</w:t>
            </w:r>
            <w:r>
              <w:rPr>
                <w:rFonts w:ascii="仿宋_GB2312" w:eastAsia="仿宋_GB2312" w:hAnsi="仿宋_GB2312" w:cs="仿宋_GB2312" w:hint="eastAsia"/>
                <w:color w:val="000000"/>
                <w:kern w:val="0"/>
                <w:szCs w:val="21"/>
                <w:lang/>
              </w:rPr>
              <w:t>部分：同轴电缆组件的无源互调测量</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本标准规定了同轴电缆组件无源互调电平的测量程序。本标准适用于跳线，即在固定装置</w:t>
            </w:r>
            <w:r>
              <w:rPr>
                <w:rFonts w:ascii="仿宋_GB2312" w:eastAsia="仿宋_GB2312" w:hAnsi="仿宋_GB2312" w:cs="仿宋_GB2312" w:hint="eastAsia"/>
                <w:color w:val="000000"/>
                <w:kern w:val="0"/>
                <w:szCs w:val="21"/>
                <w:lang/>
              </w:rPr>
              <w:t>间提供接口灵活性的电缆组件。</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62037-2:2012,</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20141842-T-339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无源射频和微波元器件的互调电平测量</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3</w:t>
            </w:r>
            <w:r>
              <w:rPr>
                <w:rFonts w:ascii="仿宋_GB2312" w:eastAsia="仿宋_GB2312" w:hAnsi="仿宋_GB2312" w:cs="仿宋_GB2312" w:hint="eastAsia"/>
                <w:color w:val="000000"/>
                <w:kern w:val="0"/>
                <w:szCs w:val="21"/>
                <w:lang/>
              </w:rPr>
              <w:t>部分：同轴连接器的无源互调测量</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本标准规定了同轴连接器在冲击状态下的无源互调（</w:t>
            </w:r>
            <w:r>
              <w:rPr>
                <w:rFonts w:ascii="仿宋_GB2312" w:eastAsia="仿宋_GB2312" w:hAnsi="仿宋_GB2312" w:cs="仿宋_GB2312" w:hint="eastAsia"/>
                <w:color w:val="000000"/>
                <w:kern w:val="0"/>
                <w:szCs w:val="21"/>
                <w:lang/>
              </w:rPr>
              <w:t>PIM</w:t>
            </w:r>
            <w:r>
              <w:rPr>
                <w:rFonts w:ascii="仿宋_GB2312" w:eastAsia="仿宋_GB2312" w:hAnsi="仿宋_GB2312" w:cs="仿宋_GB2312" w:hint="eastAsia"/>
                <w:color w:val="000000"/>
                <w:kern w:val="0"/>
                <w:szCs w:val="21"/>
                <w:lang/>
              </w:rPr>
              <w:t>）试验方法。该试验用来评估同轴连接器的坚固性，防止连接器内部出现不牢固的连接和微粒。</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62037-3:2012,</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20141843-T-339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无源射频和微波元器件的互调电平测量</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4</w:t>
            </w:r>
            <w:r>
              <w:rPr>
                <w:rFonts w:ascii="仿宋_GB2312" w:eastAsia="仿宋_GB2312" w:hAnsi="仿宋_GB2312" w:cs="仿宋_GB2312" w:hint="eastAsia"/>
                <w:color w:val="000000"/>
                <w:kern w:val="0"/>
                <w:szCs w:val="21"/>
                <w:lang/>
              </w:rPr>
              <w:t>部分：</w:t>
            </w:r>
            <w:r>
              <w:rPr>
                <w:rFonts w:ascii="仿宋_GB2312" w:eastAsia="仿宋_GB2312" w:hAnsi="仿宋_GB2312" w:cs="仿宋_GB2312" w:hint="eastAsia"/>
                <w:color w:val="000000"/>
                <w:kern w:val="0"/>
                <w:szCs w:val="21"/>
                <w:lang/>
              </w:rPr>
              <w:lastRenderedPageBreak/>
              <w:t>同轴电缆的无源互调测量</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lastRenderedPageBreak/>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本标准规定了测量同轴电缆无源互</w:t>
            </w:r>
            <w:r>
              <w:rPr>
                <w:rFonts w:ascii="仿宋_GB2312" w:eastAsia="仿宋_GB2312" w:hAnsi="仿宋_GB2312" w:cs="仿宋_GB2312" w:hint="eastAsia"/>
                <w:color w:val="000000"/>
                <w:kern w:val="0"/>
                <w:szCs w:val="21"/>
                <w:lang/>
              </w:rPr>
              <w:t>调电平的推荐试验装置和试验程序，规定了两个动态试验方法和一个静态试验方法。</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62037-4:2012,</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lastRenderedPageBreak/>
              <w:t>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20141845-T-339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电子设备用电位器</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6</w:t>
            </w:r>
            <w:r>
              <w:rPr>
                <w:rFonts w:ascii="仿宋_GB2312" w:eastAsia="仿宋_GB2312" w:hAnsi="仿宋_GB2312" w:cs="仿宋_GB2312" w:hint="eastAsia"/>
                <w:color w:val="000000"/>
                <w:kern w:val="0"/>
                <w:szCs w:val="21"/>
                <w:lang/>
              </w:rPr>
              <w:t>部分：分规范</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表面安装预调电位器</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本标准适用于电子设备用表面安装预调电位器。本标准规定表面安装预调电位器的优先额定值和特性，并从</w:t>
            </w:r>
            <w:r>
              <w:rPr>
                <w:rFonts w:ascii="仿宋_GB2312" w:eastAsia="仿宋_GB2312" w:hAnsi="仿宋_GB2312" w:cs="仿宋_GB2312" w:hint="eastAsia"/>
                <w:color w:val="000000"/>
                <w:kern w:val="0"/>
                <w:szCs w:val="21"/>
                <w:lang/>
              </w:rPr>
              <w:t>IEC 60393-1</w:t>
            </w:r>
            <w:r>
              <w:rPr>
                <w:rFonts w:ascii="仿宋_GB2312" w:eastAsia="仿宋_GB2312" w:hAnsi="仿宋_GB2312" w:cs="仿宋_GB2312" w:hint="eastAsia"/>
                <w:color w:val="000000"/>
                <w:kern w:val="0"/>
                <w:szCs w:val="21"/>
                <w:lang/>
              </w:rPr>
              <w:t>：</w:t>
            </w:r>
            <w:r>
              <w:rPr>
                <w:rFonts w:ascii="仿宋_GB2312" w:eastAsia="仿宋_GB2312" w:hAnsi="仿宋_GB2312" w:cs="仿宋_GB2312" w:hint="eastAsia"/>
                <w:color w:val="000000"/>
                <w:kern w:val="0"/>
                <w:szCs w:val="21"/>
                <w:lang/>
              </w:rPr>
              <w:t>2008</w:t>
            </w:r>
            <w:r>
              <w:rPr>
                <w:rFonts w:ascii="仿宋_GB2312" w:eastAsia="仿宋_GB2312" w:hAnsi="仿宋_GB2312" w:cs="仿宋_GB2312" w:hint="eastAsia"/>
                <w:color w:val="000000"/>
                <w:kern w:val="0"/>
                <w:szCs w:val="21"/>
                <w:lang/>
              </w:rPr>
              <w:t>《电子设备用电位器</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1</w:t>
            </w:r>
            <w:r>
              <w:rPr>
                <w:rFonts w:ascii="仿宋_GB2312" w:eastAsia="仿宋_GB2312" w:hAnsi="仿宋_GB2312" w:cs="仿宋_GB2312" w:hint="eastAsia"/>
                <w:color w:val="000000"/>
                <w:kern w:val="0"/>
                <w:szCs w:val="21"/>
                <w:lang/>
              </w:rPr>
              <w:t>部分：总规范》中选择适用的质量评定程序、试验和测量方法，并给出一般性能要求。</w:t>
            </w:r>
            <w:r>
              <w:rPr>
                <w:rFonts w:ascii="仿宋_GB2312" w:eastAsia="仿宋_GB2312" w:hAnsi="仿宋_GB2312" w:cs="仿宋_GB2312" w:hint="eastAsia"/>
                <w:color w:val="000000"/>
                <w:kern w:val="0"/>
                <w:szCs w:val="21"/>
                <w:lang/>
              </w:rPr>
              <w:t xml:space="preserve"> </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60393-6:2015,</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201410</w:t>
            </w:r>
            <w:r>
              <w:rPr>
                <w:rFonts w:ascii="仿宋_GB2312" w:eastAsia="仿宋_GB2312" w:hAnsi="仿宋_GB2312" w:cs="仿宋_GB2312" w:hint="eastAsia"/>
                <w:color w:val="000000"/>
                <w:kern w:val="0"/>
                <w:szCs w:val="21"/>
                <w:lang/>
              </w:rPr>
              <w:t>06-T-339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铁氧体磁心表面缺陷极限导则</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5</w:t>
            </w:r>
            <w:r>
              <w:rPr>
                <w:rFonts w:ascii="仿宋_GB2312" w:eastAsia="仿宋_GB2312" w:hAnsi="仿宋_GB2312" w:cs="仿宋_GB2312" w:hint="eastAsia"/>
                <w:color w:val="000000"/>
                <w:kern w:val="0"/>
                <w:szCs w:val="21"/>
                <w:lang/>
              </w:rPr>
              <w:t>部分：平面磁心</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本标准规定了符合相关总规范的平面磁心的表面缺陷容许极限导则。</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60424-5:2009,</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20151501-T-339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数字器件和设备用噪声抑制片</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1</w:t>
            </w:r>
            <w:r>
              <w:rPr>
                <w:rFonts w:ascii="仿宋_GB2312" w:eastAsia="仿宋_GB2312" w:hAnsi="仿宋_GB2312" w:cs="仿宋_GB2312" w:hint="eastAsia"/>
                <w:color w:val="000000"/>
                <w:kern w:val="0"/>
                <w:szCs w:val="21"/>
                <w:lang/>
              </w:rPr>
              <w:t>部分：定义和一般性能</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本标准规定了使用频率在</w:t>
            </w:r>
            <w:r>
              <w:rPr>
                <w:rFonts w:ascii="仿宋_GB2312" w:eastAsia="仿宋_GB2312" w:hAnsi="仿宋_GB2312" w:cs="仿宋_GB2312" w:hint="eastAsia"/>
                <w:color w:val="000000"/>
                <w:kern w:val="0"/>
                <w:szCs w:val="21"/>
                <w:lang/>
              </w:rPr>
              <w:t xml:space="preserve"> 30 MHz</w:t>
            </w:r>
            <w:r>
              <w:rPr>
                <w:rFonts w:ascii="仿宋_GB2312" w:eastAsia="仿宋_GB2312" w:hAnsi="仿宋_GB2312" w:cs="仿宋_GB2312" w:hint="eastAsia"/>
                <w:color w:val="000000"/>
                <w:kern w:val="0"/>
                <w:szCs w:val="21"/>
                <w:lang/>
              </w:rPr>
              <w:t>～</w:t>
            </w:r>
            <w:r>
              <w:rPr>
                <w:rFonts w:ascii="仿宋_GB2312" w:eastAsia="仿宋_GB2312" w:hAnsi="仿宋_GB2312" w:cs="仿宋_GB2312" w:hint="eastAsia"/>
                <w:color w:val="000000"/>
                <w:kern w:val="0"/>
                <w:szCs w:val="21"/>
                <w:lang/>
              </w:rPr>
              <w:t xml:space="preserve">30 GHz </w:t>
            </w:r>
            <w:r>
              <w:rPr>
                <w:rFonts w:ascii="仿宋_GB2312" w:eastAsia="仿宋_GB2312" w:hAnsi="仿宋_GB2312" w:cs="仿宋_GB2312" w:hint="eastAsia"/>
                <w:color w:val="000000"/>
                <w:kern w:val="0"/>
                <w:szCs w:val="21"/>
                <w:lang/>
              </w:rPr>
              <w:t>的数字器件和设备用电磁噪声抑制片的术语和定义，及使用噪声抑制片对信号的影响。</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62333-1:2006,</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20151502-T-339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数字器件和设备用噪声抑制片</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3</w:t>
            </w:r>
            <w:r>
              <w:rPr>
                <w:rFonts w:ascii="仿宋_GB2312" w:eastAsia="仿宋_GB2312" w:hAnsi="仿宋_GB2312" w:cs="仿宋_GB2312" w:hint="eastAsia"/>
                <w:color w:val="000000"/>
                <w:kern w:val="0"/>
                <w:szCs w:val="21"/>
                <w:lang/>
              </w:rPr>
              <w:t>部分：噪声抑制片的参数特性</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本标准给出了使用频率在</w:t>
            </w:r>
            <w:r>
              <w:rPr>
                <w:rFonts w:ascii="仿宋_GB2312" w:eastAsia="仿宋_GB2312" w:hAnsi="仿宋_GB2312" w:cs="仿宋_GB2312" w:hint="eastAsia"/>
                <w:color w:val="000000"/>
                <w:kern w:val="0"/>
                <w:szCs w:val="21"/>
                <w:lang/>
              </w:rPr>
              <w:t>30 MHz</w:t>
            </w:r>
            <w:r>
              <w:rPr>
                <w:rFonts w:ascii="仿宋_GB2312" w:eastAsia="仿宋_GB2312" w:hAnsi="仿宋_GB2312" w:cs="仿宋_GB2312" w:hint="eastAsia"/>
                <w:color w:val="000000"/>
                <w:kern w:val="0"/>
                <w:szCs w:val="21"/>
                <w:lang/>
              </w:rPr>
              <w:t>～</w:t>
            </w:r>
            <w:r>
              <w:rPr>
                <w:rFonts w:ascii="仿宋_GB2312" w:eastAsia="仿宋_GB2312" w:hAnsi="仿宋_GB2312" w:cs="仿宋_GB2312" w:hint="eastAsia"/>
                <w:color w:val="000000"/>
                <w:kern w:val="0"/>
                <w:szCs w:val="21"/>
                <w:lang/>
              </w:rPr>
              <w:t>30 GHz</w:t>
            </w:r>
            <w:r>
              <w:rPr>
                <w:rFonts w:ascii="仿宋_GB2312" w:eastAsia="仿宋_GB2312" w:hAnsi="仿宋_GB2312" w:cs="仿宋_GB2312" w:hint="eastAsia"/>
                <w:color w:val="000000"/>
                <w:kern w:val="0"/>
                <w:szCs w:val="21"/>
                <w:lang/>
              </w:rPr>
              <w:t>的数字器件和设备用电磁噪声抑制片</w:t>
            </w:r>
            <w:r>
              <w:rPr>
                <w:rFonts w:ascii="仿宋_GB2312" w:eastAsia="仿宋_GB2312" w:hAnsi="仿宋_GB2312" w:cs="仿宋_GB2312" w:hint="eastAsia"/>
                <w:color w:val="000000"/>
                <w:kern w:val="0"/>
                <w:szCs w:val="21"/>
                <w:lang/>
              </w:rPr>
              <w:t>(NSS)</w:t>
            </w:r>
            <w:r>
              <w:rPr>
                <w:rFonts w:ascii="仿宋_GB2312" w:eastAsia="仿宋_GB2312" w:hAnsi="仿宋_GB2312" w:cs="仿宋_GB2312" w:hint="eastAsia"/>
                <w:color w:val="000000"/>
                <w:kern w:val="0"/>
                <w:szCs w:val="21"/>
                <w:lang/>
              </w:rPr>
              <w:t>的参数特征。本标准还给出了噪声抑制片的性能描述导则，旨在供制造商和用户制定技术数据时使用。</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62333-3:2010,</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20151503-T-339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数字器件和设备用噪声抑制片</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2</w:t>
            </w:r>
            <w:r>
              <w:rPr>
                <w:rFonts w:ascii="仿宋_GB2312" w:eastAsia="仿宋_GB2312" w:hAnsi="仿宋_GB2312" w:cs="仿宋_GB2312" w:hint="eastAsia"/>
                <w:color w:val="000000"/>
                <w:kern w:val="0"/>
                <w:szCs w:val="21"/>
                <w:lang/>
              </w:rPr>
              <w:t>部分：测量方法</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本标准规定了噪声抑制片电磁特性的测量方法。这些测量方法能够对噪声抑制片的性能进行有效且</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可重复地测量，以保证制造商及用户能得到相同的测量结果。</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62</w:t>
            </w:r>
            <w:r>
              <w:rPr>
                <w:rFonts w:ascii="仿宋_GB2312" w:eastAsia="仿宋_GB2312" w:hAnsi="仿宋_GB2312" w:cs="仿宋_GB2312" w:hint="eastAsia"/>
                <w:color w:val="000000"/>
                <w:kern w:val="0"/>
                <w:szCs w:val="21"/>
                <w:lang/>
              </w:rPr>
              <w:t>333-2:2006,</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20151768-T-339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液晶显示器件</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6-1</w:t>
            </w:r>
            <w:r>
              <w:rPr>
                <w:rFonts w:ascii="仿宋_GB2312" w:eastAsia="仿宋_GB2312" w:hAnsi="仿宋_GB2312" w:cs="仿宋_GB2312" w:hint="eastAsia"/>
                <w:color w:val="000000"/>
                <w:kern w:val="0"/>
                <w:szCs w:val="21"/>
                <w:lang/>
              </w:rPr>
              <w:t>部分：液晶显示器件测试方法</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光电参数</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液晶显示器件的光电参数的标准测试条件和测试方法。本标准适用于字段显示、有源或无源矩阵显示的透射式液晶显示器件，可以是单色、多色或彩色显示，包括有内置光源和无内置光源的显示器件。不适用于投影显示模式。反射式液晶显示器件可参考使用。</w:t>
            </w:r>
          </w:p>
        </w:tc>
        <w:tc>
          <w:tcPr>
            <w:tcW w:w="1436"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GB/T 18910.61-2012</w:t>
            </w:r>
          </w:p>
        </w:tc>
        <w:tc>
          <w:tcPr>
            <w:tcW w:w="1688" w:type="dxa"/>
            <w:tcBorders>
              <w:tl2br w:val="nil"/>
              <w:tr2bl w:val="nil"/>
            </w:tcBorders>
          </w:tcPr>
          <w:p w:rsidR="00000000" w:rsidRDefault="00D934B2">
            <w:pPr>
              <w:jc w:val="left"/>
              <w:rPr>
                <w:rFonts w:ascii="仿宋_GB2312" w:eastAsia="仿宋_GB2312" w:hAnsi="仿宋_GB2312" w:cs="仿宋_GB2312" w:hint="eastAsia"/>
                <w:color w:val="000000"/>
                <w:kern w:val="0"/>
                <w:szCs w:val="21"/>
                <w:lang/>
              </w:rPr>
            </w:pP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20151770-T-339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液晶显示器件</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20-3</w:t>
            </w:r>
            <w:r>
              <w:rPr>
                <w:rFonts w:ascii="仿宋_GB2312" w:eastAsia="仿宋_GB2312" w:hAnsi="仿宋_GB2312" w:cs="仿宋_GB2312" w:hint="eastAsia"/>
                <w:color w:val="000000"/>
                <w:kern w:val="0"/>
                <w:szCs w:val="21"/>
                <w:lang/>
              </w:rPr>
              <w:t>部分：目检</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有源矩阵彩色液晶显示模块</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w:t>
            </w:r>
            <w:r>
              <w:rPr>
                <w:rFonts w:ascii="仿宋_GB2312" w:eastAsia="仿宋_GB2312" w:hAnsi="仿宋_GB2312" w:cs="仿宋_GB2312" w:hint="eastAsia"/>
                <w:color w:val="000000"/>
                <w:kern w:val="0"/>
                <w:szCs w:val="21"/>
                <w:lang/>
              </w:rPr>
              <w:t>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本标准规定了用人眼对透射式有源矩阵彩色液晶显示模块进行目检的质量评定程序的详细要求和通用规则，本标准包括缺陷定义和视觉缺陷检查方法。</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61747-20-3:</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2016,IDT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20151771-T-339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有机发光二极管显示器件</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6-3</w:t>
            </w:r>
            <w:r>
              <w:rPr>
                <w:rFonts w:ascii="仿宋_GB2312" w:eastAsia="仿宋_GB2312" w:hAnsi="仿宋_GB2312" w:cs="仿宋_GB2312" w:hint="eastAsia"/>
                <w:color w:val="000000"/>
                <w:kern w:val="0"/>
                <w:szCs w:val="21"/>
                <w:lang/>
              </w:rPr>
              <w:t>部分：图像质量测试方法</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本标准规定了有机发光二极管（</w:t>
            </w:r>
            <w:r>
              <w:rPr>
                <w:rFonts w:ascii="仿宋_GB2312" w:eastAsia="仿宋_GB2312" w:hAnsi="仿宋_GB2312" w:cs="仿宋_GB2312" w:hint="eastAsia"/>
                <w:color w:val="000000"/>
                <w:kern w:val="0"/>
                <w:szCs w:val="21"/>
                <w:lang/>
              </w:rPr>
              <w:t>OLED</w:t>
            </w:r>
            <w:r>
              <w:rPr>
                <w:rFonts w:ascii="仿宋_GB2312" w:eastAsia="仿宋_GB2312" w:hAnsi="仿宋_GB2312" w:cs="仿宋_GB2312" w:hint="eastAsia"/>
                <w:color w:val="000000"/>
                <w:kern w:val="0"/>
                <w:szCs w:val="21"/>
                <w:lang/>
              </w:rPr>
              <w:t>）显示屏和显示模块图像质量的标准测试条件和测试方法。本标准主要包括五个方面的图像质量评价，即视角范围、串扰、闪烁、静态图像分辨率和运动图像分辨率。</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62341-6-3:</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2012,</w:t>
            </w:r>
            <w:r>
              <w:rPr>
                <w:rFonts w:ascii="仿宋_GB2312" w:eastAsia="仿宋_GB2312" w:hAnsi="仿宋_GB2312" w:cs="仿宋_GB2312" w:hint="eastAsia"/>
                <w:color w:val="000000"/>
                <w:kern w:val="0"/>
                <w:szCs w:val="21"/>
                <w:lang/>
              </w:rPr>
              <w:t>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20160561-T-339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微型导热管</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本标准规定了微型导热管的术语和定义、要求、检验方法、检验规则和交货准备。本标准适用于电子工业等领域中使用的长度不大于</w:t>
            </w:r>
            <w:r>
              <w:rPr>
                <w:rFonts w:ascii="仿宋_GB2312" w:eastAsia="仿宋_GB2312" w:hAnsi="仿宋_GB2312" w:cs="仿宋_GB2312" w:hint="eastAsia"/>
                <w:color w:val="000000"/>
                <w:kern w:val="0"/>
                <w:szCs w:val="21"/>
                <w:lang/>
              </w:rPr>
              <w:t>300mm</w:t>
            </w:r>
            <w:r>
              <w:rPr>
                <w:rFonts w:ascii="仿宋_GB2312" w:eastAsia="仿宋_GB2312" w:hAnsi="仿宋_GB2312" w:cs="仿宋_GB2312" w:hint="eastAsia"/>
                <w:color w:val="000000"/>
                <w:kern w:val="0"/>
                <w:szCs w:val="21"/>
                <w:lang/>
              </w:rPr>
              <w:t>、直径不大于</w:t>
            </w:r>
            <w:r>
              <w:rPr>
                <w:rFonts w:ascii="仿宋_GB2312" w:eastAsia="仿宋_GB2312" w:hAnsi="仿宋_GB2312" w:cs="仿宋_GB2312" w:hint="eastAsia"/>
                <w:color w:val="000000"/>
                <w:kern w:val="0"/>
                <w:szCs w:val="21"/>
                <w:lang/>
              </w:rPr>
              <w:t>10mm</w:t>
            </w:r>
            <w:r>
              <w:rPr>
                <w:rFonts w:ascii="仿宋_GB2312" w:eastAsia="仿宋_GB2312" w:hAnsi="仿宋_GB2312" w:cs="仿宋_GB2312" w:hint="eastAsia"/>
                <w:color w:val="000000"/>
                <w:kern w:val="0"/>
                <w:szCs w:val="21"/>
                <w:lang/>
              </w:rPr>
              <w:t>的常温铜水导热管的设计、制造、检验和验收。长度大于</w:t>
            </w:r>
            <w:r>
              <w:rPr>
                <w:rFonts w:ascii="仿宋_GB2312" w:eastAsia="仿宋_GB2312" w:hAnsi="仿宋_GB2312" w:cs="仿宋_GB2312" w:hint="eastAsia"/>
                <w:color w:val="000000"/>
                <w:kern w:val="0"/>
                <w:szCs w:val="21"/>
                <w:lang/>
              </w:rPr>
              <w:t>300mm</w:t>
            </w:r>
            <w:r>
              <w:rPr>
                <w:rFonts w:ascii="仿宋_GB2312" w:eastAsia="仿宋_GB2312" w:hAnsi="仿宋_GB2312" w:cs="仿宋_GB2312" w:hint="eastAsia"/>
                <w:color w:val="000000"/>
                <w:kern w:val="0"/>
                <w:szCs w:val="21"/>
                <w:lang/>
              </w:rPr>
              <w:t>的热管可以参照执行。</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jc w:val="left"/>
              <w:rPr>
                <w:rFonts w:ascii="仿宋_GB2312" w:eastAsia="仿宋_GB2312" w:hAnsi="仿宋_GB2312" w:cs="仿宋_GB2312" w:hint="eastAsia"/>
                <w:color w:val="000000"/>
                <w:kern w:val="0"/>
                <w:szCs w:val="21"/>
                <w:lang/>
              </w:rPr>
            </w:pP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20173535-T-339</w:t>
            </w:r>
          </w:p>
        </w:tc>
        <w:tc>
          <w:tcPr>
            <w:tcW w:w="2588"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平衡车用锂离子电池和电池组</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安全要求</w:t>
            </w:r>
          </w:p>
        </w:tc>
        <w:tc>
          <w:tcPr>
            <w:tcW w:w="485"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jc w:val="left"/>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本标准规定了平衡车用锂离子电池和电池组的电安全要求、环境安全要求和相应的测试方法。</w:t>
            </w:r>
          </w:p>
        </w:tc>
        <w:tc>
          <w:tcPr>
            <w:tcW w:w="1436" w:type="dxa"/>
            <w:tcBorders>
              <w:tl2br w:val="nil"/>
              <w:tr2bl w:val="nil"/>
            </w:tcBorders>
          </w:tcPr>
          <w:p w:rsidR="00000000" w:rsidRDefault="00D934B2">
            <w:pPr>
              <w:jc w:val="left"/>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jc w:val="left"/>
              <w:rPr>
                <w:rFonts w:ascii="仿宋_GB2312" w:eastAsia="仿宋_GB2312" w:hAnsi="仿宋_GB2312" w:cs="仿宋_GB2312" w:hint="eastAsia"/>
                <w:color w:val="000000"/>
                <w:kern w:val="0"/>
                <w:szCs w:val="21"/>
                <w:lang/>
              </w:rPr>
            </w:pP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20171049-T-339</w:t>
            </w:r>
          </w:p>
        </w:tc>
        <w:tc>
          <w:tcPr>
            <w:tcW w:w="25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有质量评定的石英晶体</w:t>
            </w:r>
            <w:r>
              <w:rPr>
                <w:rFonts w:ascii="仿宋_GB2312" w:eastAsia="仿宋_GB2312" w:hAnsi="仿宋_GB2312" w:cs="仿宋_GB2312" w:hint="eastAsia"/>
                <w:color w:val="000000"/>
                <w:kern w:val="0"/>
                <w:szCs w:val="21"/>
                <w:lang/>
              </w:rPr>
              <w:t>振荡器</w:t>
            </w: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第</w:t>
            </w:r>
            <w:r>
              <w:rPr>
                <w:rFonts w:ascii="仿宋_GB2312" w:eastAsia="仿宋_GB2312" w:hAnsi="仿宋_GB2312" w:cs="仿宋_GB2312" w:hint="eastAsia"/>
                <w:color w:val="000000"/>
                <w:kern w:val="0"/>
                <w:szCs w:val="21"/>
                <w:lang/>
              </w:rPr>
              <w:t>4</w:t>
            </w:r>
            <w:r>
              <w:rPr>
                <w:rFonts w:ascii="仿宋_GB2312" w:eastAsia="仿宋_GB2312" w:hAnsi="仿宋_GB2312" w:cs="仿宋_GB2312" w:hint="eastAsia"/>
                <w:color w:val="000000"/>
                <w:kern w:val="0"/>
                <w:szCs w:val="21"/>
                <w:lang/>
              </w:rPr>
              <w:t>部分：分规范</w:t>
            </w:r>
            <w:r>
              <w:rPr>
                <w:rFonts w:ascii="仿宋_GB2312" w:eastAsia="仿宋_GB2312" w:hAnsi="仿宋_GB2312" w:cs="仿宋_GB2312" w:hint="eastAsia"/>
                <w:color w:val="000000"/>
                <w:kern w:val="0"/>
                <w:szCs w:val="21"/>
                <w:lang/>
              </w:rPr>
              <w:t>--</w:t>
            </w:r>
            <w:r>
              <w:rPr>
                <w:rFonts w:ascii="仿宋_GB2312" w:eastAsia="仿宋_GB2312" w:hAnsi="仿宋_GB2312" w:cs="仿宋_GB2312" w:hint="eastAsia"/>
                <w:color w:val="000000"/>
                <w:kern w:val="0"/>
                <w:szCs w:val="21"/>
                <w:lang/>
              </w:rPr>
              <w:t>能力批准</w:t>
            </w:r>
          </w:p>
        </w:tc>
        <w:tc>
          <w:tcPr>
            <w:tcW w:w="485"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本标准规定了总规范</w:t>
            </w:r>
            <w:r>
              <w:rPr>
                <w:rFonts w:ascii="仿宋_GB2312" w:eastAsia="仿宋_GB2312" w:hAnsi="仿宋_GB2312" w:cs="仿宋_GB2312" w:hint="eastAsia"/>
                <w:color w:val="000000"/>
                <w:kern w:val="0"/>
                <w:szCs w:val="21"/>
                <w:lang/>
              </w:rPr>
              <w:t>IEC 60679-1</w:t>
            </w:r>
            <w:r>
              <w:rPr>
                <w:rFonts w:ascii="仿宋_GB2312" w:eastAsia="仿宋_GB2312" w:hAnsi="仿宋_GB2312" w:cs="仿宋_GB2312" w:hint="eastAsia"/>
                <w:color w:val="000000"/>
                <w:kern w:val="0"/>
                <w:szCs w:val="21"/>
                <w:lang/>
              </w:rPr>
              <w:t>中给出的优先额定值和特性以及试验和测量方法，并给出了石英晶体振荡器详细规范中采用的通用性能要求。</w:t>
            </w:r>
          </w:p>
        </w:tc>
        <w:tc>
          <w:tcPr>
            <w:tcW w:w="1436" w:type="dxa"/>
            <w:tcBorders>
              <w:tl2br w:val="nil"/>
              <w:tr2bl w:val="nil"/>
            </w:tcBorders>
          </w:tcPr>
          <w:p w:rsidR="00000000" w:rsidRDefault="00D934B2">
            <w:pPr>
              <w:rPr>
                <w:rFonts w:ascii="仿宋_GB2312" w:eastAsia="仿宋_GB2312" w:hAnsi="仿宋_GB2312" w:cs="仿宋_GB2312" w:hint="eastAsia"/>
                <w:color w:val="000000"/>
                <w:szCs w:val="21"/>
              </w:rPr>
            </w:pPr>
          </w:p>
        </w:tc>
        <w:tc>
          <w:tcPr>
            <w:tcW w:w="16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kern w:val="0"/>
                <w:szCs w:val="21"/>
                <w:lang/>
              </w:rPr>
            </w:pPr>
            <w:r>
              <w:rPr>
                <w:rFonts w:ascii="仿宋_GB2312" w:eastAsia="仿宋_GB2312" w:hAnsi="仿宋_GB2312" w:cs="仿宋_GB2312" w:hint="eastAsia"/>
                <w:color w:val="000000"/>
                <w:kern w:val="0"/>
                <w:szCs w:val="21"/>
                <w:lang/>
              </w:rPr>
              <w:t>IEC 60679-4:1997,</w:t>
            </w:r>
            <w:r>
              <w:rPr>
                <w:rFonts w:ascii="仿宋_GB2312" w:eastAsia="仿宋_GB2312" w:hAnsi="仿宋_GB2312" w:cs="仿宋_GB2312" w:hint="eastAsia"/>
                <w:color w:val="000000"/>
                <w:kern w:val="0"/>
                <w:szCs w:val="21"/>
                <w:lang/>
              </w:rPr>
              <w:br/>
            </w:r>
            <w:r>
              <w:rPr>
                <w:rFonts w:ascii="仿宋_GB2312" w:eastAsia="仿宋_GB2312" w:hAnsi="仿宋_GB2312" w:cs="仿宋_GB2312" w:hint="eastAsia"/>
                <w:color w:val="000000"/>
                <w:kern w:val="0"/>
                <w:szCs w:val="21"/>
                <w:lang/>
              </w:rPr>
              <w:t>IDT</w:t>
            </w: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20141071-T-339</w:t>
            </w:r>
          </w:p>
        </w:tc>
        <w:tc>
          <w:tcPr>
            <w:tcW w:w="25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印制电路用刚性覆铜箔层压板通用规则</w:t>
            </w:r>
          </w:p>
        </w:tc>
        <w:tc>
          <w:tcPr>
            <w:tcW w:w="485"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 xml:space="preserve"> </w:t>
            </w:r>
            <w:r>
              <w:rPr>
                <w:rFonts w:ascii="仿宋_GB2312" w:eastAsia="仿宋_GB2312" w:hAnsi="仿宋_GB2312" w:cs="仿宋_GB2312" w:hint="eastAsia"/>
                <w:color w:val="000000"/>
                <w:kern w:val="0"/>
                <w:szCs w:val="21"/>
                <w:lang/>
              </w:rPr>
              <w:t>本标准规定了刚性覆铜箔层压板的术语和定义、分类及型号、命名及标识以及材料、外观、尺寸、质量保证、包装、标志、运输和贮存等共性要求。本标准适用于印制电路用刚性覆铜箔层压板。本标准不适用于金属基和陶瓷基等特殊覆</w:t>
            </w:r>
            <w:r>
              <w:rPr>
                <w:rFonts w:ascii="仿宋_GB2312" w:eastAsia="仿宋_GB2312" w:hAnsi="仿宋_GB2312" w:cs="仿宋_GB2312" w:hint="eastAsia"/>
                <w:color w:val="000000"/>
                <w:kern w:val="0"/>
                <w:szCs w:val="21"/>
                <w:lang/>
              </w:rPr>
              <w:t>铜板。</w:t>
            </w:r>
          </w:p>
        </w:tc>
        <w:tc>
          <w:tcPr>
            <w:tcW w:w="1436"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GB/T 4721-1992</w:t>
            </w:r>
          </w:p>
        </w:tc>
        <w:tc>
          <w:tcPr>
            <w:tcW w:w="1688" w:type="dxa"/>
            <w:tcBorders>
              <w:tl2br w:val="nil"/>
              <w:tr2bl w:val="nil"/>
            </w:tcBorders>
          </w:tcPr>
          <w:p w:rsidR="00000000" w:rsidRDefault="00D934B2">
            <w:pPr>
              <w:rPr>
                <w:rFonts w:ascii="仿宋_GB2312" w:eastAsia="仿宋_GB2312" w:hAnsi="仿宋_GB2312" w:cs="仿宋_GB2312" w:hint="eastAsia"/>
                <w:color w:val="000000"/>
                <w:kern w:val="0"/>
                <w:szCs w:val="21"/>
                <w:lang/>
              </w:rPr>
            </w:pPr>
          </w:p>
        </w:tc>
      </w:tr>
      <w:tr w:rsidR="00000000">
        <w:trPr>
          <w:trHeight w:val="533"/>
          <w:jc w:val="center"/>
        </w:trPr>
        <w:tc>
          <w:tcPr>
            <w:tcW w:w="485" w:type="dxa"/>
            <w:tcBorders>
              <w:tl2br w:val="nil"/>
              <w:tr2bl w:val="nil"/>
            </w:tcBorders>
          </w:tcPr>
          <w:p w:rsidR="00000000" w:rsidRDefault="00D934B2">
            <w:pPr>
              <w:numPr>
                <w:ilvl w:val="0"/>
                <w:numId w:val="13"/>
              </w:numPr>
              <w:tabs>
                <w:tab w:val="left" w:pos="425"/>
              </w:tabs>
              <w:spacing w:line="360" w:lineRule="exact"/>
              <w:jc w:val="left"/>
              <w:rPr>
                <w:rFonts w:ascii="仿宋_GB2312" w:eastAsia="仿宋_GB2312" w:hAnsi="仿宋_GB2312" w:cs="仿宋_GB2312" w:hint="eastAsia"/>
                <w:bCs/>
                <w:szCs w:val="21"/>
              </w:rPr>
            </w:pPr>
          </w:p>
        </w:tc>
        <w:tc>
          <w:tcPr>
            <w:tcW w:w="1437"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20141864-T-339</w:t>
            </w:r>
          </w:p>
        </w:tc>
        <w:tc>
          <w:tcPr>
            <w:tcW w:w="2588"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锡焊用助焊剂</w:t>
            </w:r>
          </w:p>
        </w:tc>
        <w:tc>
          <w:tcPr>
            <w:tcW w:w="485"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推荐</w:t>
            </w:r>
          </w:p>
        </w:tc>
        <w:tc>
          <w:tcPr>
            <w:tcW w:w="6773"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本标准规定了锡焊用助焊剂的分类、技术要求、检验方法、检验规则以及产品的标识、包装、运输、储存等。本标准主要适用于电子产品锡焊用助焊剂。</w:t>
            </w:r>
          </w:p>
        </w:tc>
        <w:tc>
          <w:tcPr>
            <w:tcW w:w="1436" w:type="dxa"/>
            <w:tcBorders>
              <w:tl2br w:val="nil"/>
              <w:tr2bl w:val="nil"/>
            </w:tcBorders>
          </w:tcPr>
          <w:p w:rsidR="00000000" w:rsidRDefault="00D934B2">
            <w:pPr>
              <w:widowControl/>
              <w:textAlignment w:val="center"/>
              <w:rPr>
                <w:rFonts w:ascii="仿宋_GB2312" w:eastAsia="仿宋_GB2312" w:hAnsi="仿宋_GB2312" w:cs="仿宋_GB2312" w:hint="eastAsia"/>
                <w:color w:val="000000"/>
                <w:szCs w:val="21"/>
              </w:rPr>
            </w:pPr>
            <w:r>
              <w:rPr>
                <w:rFonts w:ascii="仿宋_GB2312" w:eastAsia="仿宋_GB2312" w:hAnsi="仿宋_GB2312" w:cs="仿宋_GB2312" w:hint="eastAsia"/>
                <w:color w:val="000000"/>
                <w:kern w:val="0"/>
                <w:szCs w:val="21"/>
                <w:lang/>
              </w:rPr>
              <w:t>GB/T 9491-2002</w:t>
            </w:r>
          </w:p>
        </w:tc>
        <w:tc>
          <w:tcPr>
            <w:tcW w:w="1688" w:type="dxa"/>
            <w:tcBorders>
              <w:tl2br w:val="nil"/>
              <w:tr2bl w:val="nil"/>
            </w:tcBorders>
          </w:tcPr>
          <w:p w:rsidR="00000000" w:rsidRDefault="00D934B2">
            <w:pPr>
              <w:rPr>
                <w:rFonts w:ascii="仿宋_GB2312" w:eastAsia="仿宋_GB2312" w:hAnsi="仿宋_GB2312" w:cs="仿宋_GB2312" w:hint="eastAsia"/>
                <w:color w:val="000000"/>
                <w:kern w:val="0"/>
                <w:szCs w:val="21"/>
                <w:lang/>
              </w:rPr>
            </w:pPr>
          </w:p>
        </w:tc>
      </w:tr>
    </w:tbl>
    <w:p w:rsidR="00D934B2" w:rsidRDefault="00D934B2">
      <w:pPr>
        <w:rPr>
          <w:rFonts w:hint="eastAsia"/>
          <w:b/>
        </w:rPr>
      </w:pPr>
    </w:p>
    <w:sectPr w:rsidR="00D934B2">
      <w:headerReference w:type="default" r:id="rId7"/>
      <w:footerReference w:type="even" r:id="rId8"/>
      <w:footerReference w:type="default" r:id="rId9"/>
      <w:pgSz w:w="16840" w:h="11907" w:orient="landscape"/>
      <w:pgMar w:top="1440" w:right="1080" w:bottom="1440" w:left="1080" w:header="720" w:footer="720"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34B2" w:rsidRDefault="00D934B2" w:rsidP="00E760EF">
      <w:r>
        <w:separator/>
      </w:r>
    </w:p>
  </w:endnote>
  <w:endnote w:type="continuationSeparator" w:id="0">
    <w:p w:rsidR="00D934B2" w:rsidRDefault="00D934B2" w:rsidP="00E760EF">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ˎ̥">
    <w:altName w:val="Times New Roman"/>
    <w:charset w:val="00"/>
    <w:family w:val="roman"/>
    <w:pitch w:val="default"/>
    <w:sig w:usb0="00000000" w:usb1="00000000" w:usb2="00000000" w:usb3="00000000" w:csb0="00040001" w:csb1="00000000"/>
  </w:font>
  <w:font w:name="CenturionOld">
    <w:altName w:val="Courier New"/>
    <w:charset w:val="00"/>
    <w:family w:val="auto"/>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934B2">
    <w:pPr>
      <w:pStyle w:val="afff0"/>
      <w:framePr w:wrap="around" w:vAnchor="text" w:hAnchor="margin" w:xAlign="center" w:y="1"/>
      <w:rPr>
        <w:rStyle w:val="a9"/>
      </w:rPr>
    </w:pPr>
    <w:r>
      <w:fldChar w:fldCharType="begin"/>
    </w:r>
    <w:r>
      <w:rPr>
        <w:rStyle w:val="a9"/>
      </w:rPr>
      <w:instrText xml:space="preserve">PAGE  </w:instrText>
    </w:r>
    <w:r>
      <w:fldChar w:fldCharType="separate"/>
    </w:r>
    <w:r>
      <w:fldChar w:fldCharType="end"/>
    </w:r>
  </w:p>
  <w:p w:rsidR="00000000" w:rsidRDefault="00D934B2">
    <w:pPr>
      <w:pStyle w:val="afff0"/>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934B2">
    <w:pPr>
      <w:pStyle w:val="afff0"/>
      <w:framePr w:wrap="around" w:vAnchor="text" w:hAnchor="margin" w:xAlign="center" w:y="1"/>
      <w:rPr>
        <w:rStyle w:val="a9"/>
      </w:rPr>
    </w:pPr>
    <w:r>
      <w:fldChar w:fldCharType="begin"/>
    </w:r>
    <w:r>
      <w:rPr>
        <w:rStyle w:val="a9"/>
      </w:rPr>
      <w:instrText xml:space="preserve">PAGE  </w:instrText>
    </w:r>
    <w:r>
      <w:fldChar w:fldCharType="separate"/>
    </w:r>
    <w:r w:rsidR="00CA3FB8">
      <w:rPr>
        <w:rStyle w:val="a9"/>
        <w:noProof/>
      </w:rPr>
      <w:t>1</w:t>
    </w:r>
    <w:r>
      <w:fldChar w:fldCharType="end"/>
    </w:r>
  </w:p>
  <w:p w:rsidR="00000000" w:rsidRDefault="00D934B2">
    <w:pPr>
      <w:pStyle w:val="afff0"/>
      <w:jc w:val="center"/>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34B2" w:rsidRDefault="00D934B2" w:rsidP="00E760EF">
      <w:r>
        <w:separator/>
      </w:r>
    </w:p>
  </w:footnote>
  <w:footnote w:type="continuationSeparator" w:id="0">
    <w:p w:rsidR="00D934B2" w:rsidRDefault="00D934B2" w:rsidP="00E760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934B2">
    <w:pPr>
      <w:pStyle w:val="affa"/>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图"/>
      <w:lvlJc w:val="left"/>
      <w:pPr>
        <w:tabs>
          <w:tab w:val="num" w:pos="360"/>
        </w:tabs>
        <w:ind w:left="0" w:firstLine="0"/>
      </w:pPr>
      <w:rPr>
        <w:rFonts w:ascii="黑体" w:eastAsia="黑体" w:hint="eastAsia"/>
        <w:b w:val="0"/>
        <w:i w:val="0"/>
        <w:sz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3"/>
    <w:multiLevelType w:val="multilevel"/>
    <w:tmpl w:val="00000003"/>
    <w:lvl w:ilvl="0">
      <w:start w:val="1"/>
      <w:numFmt w:val="none"/>
      <w:lvlText w:val="%1·　"/>
      <w:lvlJc w:val="left"/>
      <w:pPr>
        <w:tabs>
          <w:tab w:val="num" w:pos="1140"/>
        </w:tabs>
        <w:ind w:left="737" w:hanging="317"/>
      </w:pPr>
      <w:rPr>
        <w:rFonts w:ascii="宋体" w:eastAsia="宋体" w:hAnsi="Times New Roman" w:hint="eastAsia"/>
        <w:b w:val="0"/>
        <w:i w:val="0"/>
        <w:sz w:val="21"/>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nsid w:val="00000006"/>
    <w:multiLevelType w:val="multilevel"/>
    <w:tmpl w:val="00000006"/>
    <w:lvl w:ilvl="0">
      <w:start w:val="1"/>
      <w:numFmt w:val="none"/>
      <w:lvlText w:val="%1——"/>
      <w:lvlJc w:val="left"/>
      <w:pPr>
        <w:tabs>
          <w:tab w:val="num" w:pos="11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8"/>
    <w:multiLevelType w:val="multilevel"/>
    <w:tmpl w:val="00000008"/>
    <w:lvl w:ilvl="0">
      <w:start w:val="1"/>
      <w:numFmt w:val="decimal"/>
      <w:lvlText w:val="%1"/>
      <w:lvlJc w:val="center"/>
      <w:pPr>
        <w:tabs>
          <w:tab w:val="num" w:pos="227"/>
        </w:tabs>
        <w:ind w:left="114" w:firstLine="113"/>
      </w:pPr>
      <w:rPr>
        <w:rFonts w:eastAsia="宋体" w:hint="eastAsia"/>
        <w:b w:val="0"/>
        <w:i w:val="0"/>
        <w:color w:val="auto"/>
        <w:sz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8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4">
    <w:nsid w:val="00000009"/>
    <w:multiLevelType w:val="multilevel"/>
    <w:tmpl w:val="00000009"/>
    <w:lvl w:ilvl="0">
      <w:start w:val="1"/>
      <w:numFmt w:val="upperLetter"/>
      <w:suff w:val="nothing"/>
      <w:lvlText w:val="附　录　%1"/>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5">
    <w:nsid w:val="0000000A"/>
    <w:multiLevelType w:val="multilevel"/>
    <w:tmpl w:val="0000000A"/>
    <w:lvl w:ilvl="0">
      <w:start w:val="1"/>
      <w:numFmt w:val="none"/>
      <w:lvlText w:val="%1注："/>
      <w:lvlJc w:val="left"/>
      <w:pPr>
        <w:tabs>
          <w:tab w:val="num" w:pos="1140"/>
        </w:tabs>
        <w:ind w:left="840" w:hanging="420"/>
      </w:pPr>
      <w:rPr>
        <w:rFonts w:ascii="宋体" w:eastAsia="宋体" w:hAnsi="Times New Roman" w:hint="eastAsia"/>
        <w:b w:val="0"/>
        <w:i w:val="0"/>
        <w:sz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0C"/>
    <w:multiLevelType w:val="multilevel"/>
    <w:tmpl w:val="0000000C"/>
    <w:lvl w:ilvl="0">
      <w:numFmt w:val="none"/>
      <w:lvlText w:val=""/>
      <w:lvlJc w:val="left"/>
      <w:pPr>
        <w:tabs>
          <w:tab w:val="num" w:pos="360"/>
        </w:tabs>
      </w:pPr>
    </w:lvl>
    <w:lvl w:ilvl="1">
      <w:start w:val="1"/>
      <w:numFmt w:val="decimal"/>
      <w:lvlText w:val="%2)"/>
      <w:lvlJc w:val="left"/>
      <w:pPr>
        <w:tabs>
          <w:tab w:val="num" w:pos="1259"/>
        </w:tabs>
        <w:ind w:left="1259" w:hanging="420"/>
      </w:pPr>
      <w:rPr>
        <w:rFonts w:ascii="宋体" w:eastAsia="宋体" w:hAnsi="宋体" w:hint="eastAsia"/>
        <w:b w:val="0"/>
        <w:i w:val="0"/>
        <w:sz w:val="20"/>
      </w:rPr>
    </w:lvl>
    <w:lvl w:ilvl="2">
      <w:start w:val="1"/>
      <w:numFmt w:val="decimal"/>
      <w:lvlText w:val="(%3)"/>
      <w:lvlJc w:val="left"/>
      <w:pPr>
        <w:tabs>
          <w:tab w:val="num" w:pos="0"/>
        </w:tabs>
        <w:ind w:left="1678" w:hanging="419"/>
      </w:pPr>
      <w:rPr>
        <w:rFonts w:ascii="宋体" w:eastAsia="宋体" w:hAnsi="宋体" w:hint="eastAsia"/>
        <w:b w:val="0"/>
        <w:i w:val="0"/>
        <w:sz w:val="20"/>
      </w:rPr>
    </w:lvl>
    <w:lvl w:ilvl="3">
      <w:start w:val="1"/>
      <w:numFmt w:val="decimal"/>
      <w:lvlText w:val="%4."/>
      <w:lvlJc w:val="left"/>
      <w:pPr>
        <w:tabs>
          <w:tab w:val="num" w:pos="2098"/>
        </w:tabs>
        <w:ind w:left="2098" w:hanging="420"/>
      </w:pPr>
      <w:rPr>
        <w:rFonts w:hint="eastAsia"/>
      </w:rPr>
    </w:lvl>
    <w:lvl w:ilvl="4">
      <w:start w:val="1"/>
      <w:numFmt w:val="lowerLetter"/>
      <w:lvlText w:val="%5)"/>
      <w:lvlJc w:val="left"/>
      <w:pPr>
        <w:tabs>
          <w:tab w:val="num" w:pos="2517"/>
        </w:tabs>
        <w:ind w:left="2517" w:hanging="419"/>
      </w:pPr>
      <w:rPr>
        <w:rFonts w:hint="eastAsia"/>
      </w:rPr>
    </w:lvl>
    <w:lvl w:ilvl="5">
      <w:start w:val="1"/>
      <w:numFmt w:val="lowerRoman"/>
      <w:lvlText w:val="%6."/>
      <w:lvlJc w:val="right"/>
      <w:pPr>
        <w:tabs>
          <w:tab w:val="num" w:pos="2942"/>
        </w:tabs>
        <w:ind w:left="2937" w:hanging="420"/>
      </w:pPr>
      <w:rPr>
        <w:rFonts w:hint="eastAsia"/>
      </w:rPr>
    </w:lvl>
    <w:lvl w:ilvl="6">
      <w:start w:val="1"/>
      <w:numFmt w:val="decimal"/>
      <w:lvlText w:val="%7."/>
      <w:lvlJc w:val="left"/>
      <w:pPr>
        <w:tabs>
          <w:tab w:val="num" w:pos="3362"/>
        </w:tabs>
        <w:ind w:left="3356" w:hanging="414"/>
      </w:pPr>
      <w:rPr>
        <w:rFonts w:hint="eastAsia"/>
      </w:rPr>
    </w:lvl>
    <w:lvl w:ilvl="7">
      <w:start w:val="1"/>
      <w:numFmt w:val="lowerLetter"/>
      <w:lvlText w:val="%8)"/>
      <w:lvlJc w:val="left"/>
      <w:pPr>
        <w:tabs>
          <w:tab w:val="num" w:pos="3781"/>
        </w:tabs>
        <w:ind w:left="3776" w:hanging="414"/>
      </w:pPr>
      <w:rPr>
        <w:rFonts w:hint="eastAsia"/>
      </w:rPr>
    </w:lvl>
    <w:lvl w:ilvl="8">
      <w:start w:val="1"/>
      <w:numFmt w:val="lowerRoman"/>
      <w:lvlText w:val="%9."/>
      <w:lvlJc w:val="right"/>
      <w:pPr>
        <w:tabs>
          <w:tab w:val="num" w:pos="4201"/>
        </w:tabs>
        <w:ind w:left="4201" w:hanging="420"/>
      </w:pPr>
      <w:rPr>
        <w:rFonts w:hint="eastAsia"/>
      </w:rPr>
    </w:lvl>
  </w:abstractNum>
  <w:abstractNum w:abstractNumId="7">
    <w:nsid w:val="0000000F"/>
    <w:multiLevelType w:val="multilevel"/>
    <w:tmpl w:val="0000000F"/>
    <w:lvl w:ilvl="0">
      <w:start w:val="1"/>
      <w:numFmt w:val="none"/>
      <w:lvlText w:val="表"/>
      <w:lvlJc w:val="left"/>
      <w:pPr>
        <w:tabs>
          <w:tab w:val="num" w:pos="360"/>
        </w:tabs>
        <w:ind w:left="0" w:firstLine="0"/>
      </w:pPr>
      <w:rPr>
        <w:rFonts w:ascii="黑体" w:eastAsia="黑体" w:hint="eastAsia"/>
        <w:b w:val="0"/>
        <w:i w:val="0"/>
        <w:sz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10"/>
    <w:multiLevelType w:val="multilevel"/>
    <w:tmpl w:val="00000010"/>
    <w:lvl w:ilvl="0">
      <w:start w:val="220"/>
      <w:numFmt w:val="decimal"/>
      <w:lvlText w:val="%1"/>
      <w:lvlJc w:val="center"/>
      <w:pPr>
        <w:tabs>
          <w:tab w:val="num" w:pos="278"/>
        </w:tabs>
        <w:ind w:left="278" w:hanging="165"/>
      </w:pPr>
      <w:rPr>
        <w:rFonts w:hint="eastAsia"/>
        <w:b w:val="0"/>
        <w:i w:val="0"/>
        <w:sz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9">
    <w:nsid w:val="00000011"/>
    <w:multiLevelType w:val="multilevel"/>
    <w:tmpl w:val="00000011"/>
    <w:lvl w:ilvl="0">
      <w:start w:val="1"/>
      <w:numFmt w:val="none"/>
      <w:lvlText w:val="%1注"/>
      <w:lvlJc w:val="left"/>
      <w:pPr>
        <w:tabs>
          <w:tab w:val="num" w:pos="900"/>
        </w:tabs>
        <w:ind w:left="900" w:hanging="500"/>
      </w:pPr>
      <w:rPr>
        <w:rFonts w:ascii="宋体" w:eastAsia="宋体" w:hAnsi="Times New Roman" w:hint="eastAsia"/>
        <w:b w:val="0"/>
        <w:i w:val="0"/>
        <w:sz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00000012"/>
    <w:multiLevelType w:val="multilevel"/>
    <w:tmpl w:val="00000012"/>
    <w:lvl w:ilvl="0">
      <w:start w:val="1"/>
      <w:numFmt w:val="decimal"/>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1">
    <w:nsid w:val="00000014"/>
    <w:multiLevelType w:val="multilevel"/>
    <w:tmpl w:val="00000014"/>
    <w:lvl w:ilvl="0">
      <w:start w:val="1"/>
      <w:numFmt w:val="none"/>
      <w:lvlText w:val="%1示例"/>
      <w:lvlJc w:val="left"/>
      <w:pPr>
        <w:tabs>
          <w:tab w:val="num" w:pos="1120"/>
        </w:tabs>
        <w:ind w:left="0" w:firstLine="400"/>
      </w:pPr>
      <w:rPr>
        <w:rFonts w:ascii="宋体" w:eastAsia="宋体" w:hint="eastAsia"/>
        <w:b w:val="0"/>
        <w:i w:val="0"/>
        <w:sz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595B41A4"/>
    <w:multiLevelType w:val="singleLevel"/>
    <w:tmpl w:val="595B41A4"/>
    <w:lvl w:ilvl="0">
      <w:start w:val="1"/>
      <w:numFmt w:val="decimal"/>
      <w:lvlText w:val="%1."/>
      <w:lvlJc w:val="left"/>
      <w:pPr>
        <w:tabs>
          <w:tab w:val="num" w:pos="425"/>
        </w:tabs>
        <w:ind w:left="425" w:hanging="425"/>
      </w:pPr>
      <w:rPr>
        <w:rFonts w:hint="default"/>
      </w:rPr>
    </w:lvl>
  </w:abstractNum>
  <w:num w:numId="1">
    <w:abstractNumId w:val="6"/>
  </w:num>
  <w:num w:numId="2">
    <w:abstractNumId w:val="8"/>
  </w:num>
  <w:num w:numId="3">
    <w:abstractNumId w:val="10"/>
  </w:num>
  <w:num w:numId="4">
    <w:abstractNumId w:val="11"/>
  </w:num>
  <w:num w:numId="5">
    <w:abstractNumId w:val="3"/>
  </w:num>
  <w:num w:numId="6">
    <w:abstractNumId w:val="4"/>
  </w:num>
  <w:num w:numId="7">
    <w:abstractNumId w:val="9"/>
  </w:num>
  <w:num w:numId="8">
    <w:abstractNumId w:val="0"/>
  </w:num>
  <w:num w:numId="9">
    <w:abstractNumId w:val="5"/>
  </w:num>
  <w:num w:numId="10">
    <w:abstractNumId w:val="2"/>
  </w:num>
  <w:num w:numId="11">
    <w:abstractNumId w:val="7"/>
  </w:num>
  <w:num w:numId="12">
    <w:abstractNumId w:val="1"/>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420"/>
  <w:drawingGridVerticalSpacing w:val="156"/>
  <w:noPunctuationKerning/>
  <w:characterSpacingControl w:val="compressPunctuation"/>
  <w:doNotValidateAgainstSchema/>
  <w:doNotDemarcateInvalidXml/>
  <w:hdrShapeDefaults>
    <o:shapedefaults v:ext="edit" spidmax="5122"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
  <w:rsids>
    <w:rsidRoot w:val="00172A27"/>
    <w:rsid w:val="00077E9E"/>
    <w:rsid w:val="000A0FA6"/>
    <w:rsid w:val="0017699D"/>
    <w:rsid w:val="002948E2"/>
    <w:rsid w:val="00363C3D"/>
    <w:rsid w:val="003C1134"/>
    <w:rsid w:val="00531476"/>
    <w:rsid w:val="007D269E"/>
    <w:rsid w:val="00973E11"/>
    <w:rsid w:val="00AC65F0"/>
    <w:rsid w:val="00B93C1F"/>
    <w:rsid w:val="00CA3FB8"/>
    <w:rsid w:val="00D934B2"/>
    <w:rsid w:val="00E2063C"/>
    <w:rsid w:val="00E85B9B"/>
    <w:rsid w:val="00F902C1"/>
    <w:rsid w:val="057161FA"/>
    <w:rsid w:val="06A47871"/>
    <w:rsid w:val="06DE30BC"/>
    <w:rsid w:val="0A0E788E"/>
    <w:rsid w:val="0AE465EC"/>
    <w:rsid w:val="0CD14C92"/>
    <w:rsid w:val="132F6187"/>
    <w:rsid w:val="13DA081E"/>
    <w:rsid w:val="1491096F"/>
    <w:rsid w:val="14C95F28"/>
    <w:rsid w:val="17B51DF3"/>
    <w:rsid w:val="18171489"/>
    <w:rsid w:val="19931384"/>
    <w:rsid w:val="1A507834"/>
    <w:rsid w:val="1AB61A73"/>
    <w:rsid w:val="1F416BDC"/>
    <w:rsid w:val="232B0BC0"/>
    <w:rsid w:val="235B7732"/>
    <w:rsid w:val="235C3BFE"/>
    <w:rsid w:val="23D14FB3"/>
    <w:rsid w:val="24EC5468"/>
    <w:rsid w:val="26B92096"/>
    <w:rsid w:val="285862BF"/>
    <w:rsid w:val="29A71464"/>
    <w:rsid w:val="2CF2642D"/>
    <w:rsid w:val="2D1E5293"/>
    <w:rsid w:val="2E7248C0"/>
    <w:rsid w:val="2F2B1AF0"/>
    <w:rsid w:val="2FFD46AA"/>
    <w:rsid w:val="31E806EF"/>
    <w:rsid w:val="323D113B"/>
    <w:rsid w:val="336E56C8"/>
    <w:rsid w:val="360D7B3A"/>
    <w:rsid w:val="362A02D3"/>
    <w:rsid w:val="3669555B"/>
    <w:rsid w:val="379E763F"/>
    <w:rsid w:val="37F50CDF"/>
    <w:rsid w:val="39276AD2"/>
    <w:rsid w:val="398D6321"/>
    <w:rsid w:val="3AB3405B"/>
    <w:rsid w:val="3B151066"/>
    <w:rsid w:val="45692DC9"/>
    <w:rsid w:val="457345FE"/>
    <w:rsid w:val="45EC75C9"/>
    <w:rsid w:val="48A60C3E"/>
    <w:rsid w:val="493D3BA9"/>
    <w:rsid w:val="4A8B1D58"/>
    <w:rsid w:val="4BD17E71"/>
    <w:rsid w:val="4CB848EB"/>
    <w:rsid w:val="4D457D62"/>
    <w:rsid w:val="4DF11170"/>
    <w:rsid w:val="4E8072DE"/>
    <w:rsid w:val="4F8A6635"/>
    <w:rsid w:val="503A6CE1"/>
    <w:rsid w:val="508221CD"/>
    <w:rsid w:val="51724295"/>
    <w:rsid w:val="52D05F8E"/>
    <w:rsid w:val="533A6E6F"/>
    <w:rsid w:val="53F707A1"/>
    <w:rsid w:val="565C61F0"/>
    <w:rsid w:val="56EE5408"/>
    <w:rsid w:val="595F73FF"/>
    <w:rsid w:val="59843C6A"/>
    <w:rsid w:val="5A301B84"/>
    <w:rsid w:val="5AC93FD2"/>
    <w:rsid w:val="5B6A7F57"/>
    <w:rsid w:val="5DC13FDF"/>
    <w:rsid w:val="5FFF287C"/>
    <w:rsid w:val="62BD65EE"/>
    <w:rsid w:val="642671DC"/>
    <w:rsid w:val="64C94467"/>
    <w:rsid w:val="65033A8D"/>
    <w:rsid w:val="6581243F"/>
    <w:rsid w:val="6BE04F09"/>
    <w:rsid w:val="6CA17546"/>
    <w:rsid w:val="6CC85207"/>
    <w:rsid w:val="6DB06253"/>
    <w:rsid w:val="6EED1707"/>
    <w:rsid w:val="71843F4B"/>
    <w:rsid w:val="723C5278"/>
    <w:rsid w:val="7312231C"/>
    <w:rsid w:val="736E46F1"/>
    <w:rsid w:val="738857BB"/>
    <w:rsid w:val="74940C50"/>
    <w:rsid w:val="75845FDA"/>
    <w:rsid w:val="75DF0C72"/>
    <w:rsid w:val="781D6357"/>
    <w:rsid w:val="786739DD"/>
    <w:rsid w:val="78C43EAD"/>
    <w:rsid w:val="7D9F2E27"/>
    <w:rsid w:val="7E2C2476"/>
    <w:rsid w:val="7FA422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lsdException w:name="footnote text" w:semiHidden="1"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0"/>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uiPriority="0"/>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uiPriority="0"/>
    <w:lsdException w:name="Strong" w:uiPriority="0"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uiPriority="0"/>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character" w:default="1" w:styleId="a0">
    <w:name w:val="Default Paragraph Font"/>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01">
    <w:name w:val="font01"/>
    <w:rPr>
      <w:rFonts w:ascii="Times New Roman" w:hAnsi="Times New Roman" w:hint="default"/>
      <w:b w:val="0"/>
      <w:i w:val="0"/>
      <w:strike w:val="0"/>
      <w:dstrike w:val="0"/>
      <w:color w:val="000000"/>
      <w:sz w:val="20"/>
      <w:u w:val="none"/>
    </w:rPr>
  </w:style>
  <w:style w:type="character" w:customStyle="1" w:styleId="font11">
    <w:name w:val="font11"/>
    <w:rPr>
      <w:rFonts w:ascii="宋体" w:eastAsia="宋体" w:hAnsi="宋体" w:hint="eastAsia"/>
      <w:b w:val="0"/>
      <w:i w:val="0"/>
      <w:strike w:val="0"/>
      <w:dstrike w:val="0"/>
      <w:color w:val="000000"/>
      <w:sz w:val="20"/>
      <w:u w:val="none"/>
    </w:rPr>
  </w:style>
  <w:style w:type="character" w:customStyle="1" w:styleId="Char">
    <w:name w:val="正文文本缩进 Char"/>
    <w:link w:val="a3"/>
    <w:rPr>
      <w:rFonts w:eastAsia="宋体"/>
      <w:kern w:val="2"/>
      <w:sz w:val="21"/>
      <w:lang w:val="en-US" w:eastAsia="zh-CN"/>
    </w:rPr>
  </w:style>
  <w:style w:type="character" w:customStyle="1" w:styleId="font51">
    <w:name w:val="font51"/>
    <w:basedOn w:val="a0"/>
    <w:rPr>
      <w:rFonts w:ascii="宋体" w:eastAsia="宋体" w:hAnsi="宋体" w:cs="宋体" w:hint="eastAsia"/>
      <w:i w:val="0"/>
      <w:color w:val="000000"/>
      <w:sz w:val="18"/>
      <w:szCs w:val="18"/>
      <w:u w:val="none"/>
    </w:rPr>
  </w:style>
  <w:style w:type="character" w:styleId="a4">
    <w:name w:val="Hyperlink"/>
    <w:rPr>
      <w:color w:val="0000FF"/>
      <w:u w:val="single"/>
    </w:rPr>
  </w:style>
  <w:style w:type="character" w:customStyle="1" w:styleId="a5">
    <w:name w:val="发布"/>
    <w:rPr>
      <w:rFonts w:ascii="黑体" w:eastAsia="黑体"/>
      <w:spacing w:val="22"/>
      <w:w w:val="100"/>
      <w:position w:val="3"/>
      <w:sz w:val="28"/>
    </w:rPr>
  </w:style>
  <w:style w:type="character" w:customStyle="1" w:styleId="Char0">
    <w:name w:val="纯文本 Char"/>
    <w:link w:val="a6"/>
    <w:rPr>
      <w:rFonts w:ascii="宋体" w:eastAsia="宋体" w:hAnsi="Courier New"/>
      <w:kern w:val="2"/>
      <w:sz w:val="21"/>
      <w:lang w:val="en-US" w:eastAsia="zh-CN"/>
    </w:rPr>
  </w:style>
  <w:style w:type="character" w:styleId="HTML">
    <w:name w:val="HTML Code"/>
    <w:rPr>
      <w:rFonts w:ascii="Courier New" w:hAnsi="Courier New"/>
      <w:sz w:val="20"/>
    </w:rPr>
  </w:style>
  <w:style w:type="character" w:styleId="a7">
    <w:name w:val="FollowedHyperlink"/>
    <w:rPr>
      <w:color w:val="800080"/>
      <w:u w:val="single"/>
    </w:rPr>
  </w:style>
  <w:style w:type="character" w:customStyle="1" w:styleId="CharChar">
    <w:name w:val="封面标准名称 Char Char"/>
    <w:rPr>
      <w:rFonts w:ascii="黑体" w:eastAsia="黑体"/>
      <w:sz w:val="52"/>
      <w:lang w:val="en-US" w:eastAsia="zh-CN"/>
    </w:rPr>
  </w:style>
  <w:style w:type="character" w:customStyle="1" w:styleId="CharChar0">
    <w:name w:val="正文样式 Char Char"/>
    <w:link w:val="a8"/>
    <w:rPr>
      <w:rFonts w:eastAsia="宋体"/>
      <w:kern w:val="2"/>
      <w:sz w:val="24"/>
      <w:lang w:val="en-US" w:eastAsia="zh-CN"/>
    </w:rPr>
  </w:style>
  <w:style w:type="character" w:styleId="a9">
    <w:name w:val="page number"/>
    <w:basedOn w:val="a0"/>
  </w:style>
  <w:style w:type="character" w:customStyle="1" w:styleId="Char1">
    <w:name w:val="批注框文本 Char"/>
    <w:link w:val="aa"/>
    <w:rPr>
      <w:rFonts w:eastAsia="宋体"/>
      <w:kern w:val="2"/>
      <w:sz w:val="18"/>
      <w:lang w:val="en-US" w:eastAsia="zh-CN"/>
    </w:rPr>
  </w:style>
  <w:style w:type="character" w:styleId="ab">
    <w:name w:val="Strong"/>
    <w:qFormat/>
    <w:rPr>
      <w:b/>
    </w:rPr>
  </w:style>
  <w:style w:type="character" w:customStyle="1" w:styleId="CharChar1">
    <w:name w:val="段 Char Char"/>
    <w:rPr>
      <w:rFonts w:ascii="宋体"/>
      <w:sz w:val="21"/>
      <w:lang w:val="en-US" w:eastAsia="zh-CN"/>
    </w:rPr>
  </w:style>
  <w:style w:type="character" w:customStyle="1" w:styleId="Char2">
    <w:name w:val="正文首行缩进 Char"/>
    <w:link w:val="ac"/>
    <w:rPr>
      <w:rFonts w:eastAsia="宋体"/>
      <w:kern w:val="2"/>
      <w:sz w:val="21"/>
      <w:lang w:val="en-US" w:eastAsia="zh-CN"/>
    </w:rPr>
  </w:style>
  <w:style w:type="character" w:customStyle="1" w:styleId="font21">
    <w:name w:val="font21"/>
    <w:basedOn w:val="a0"/>
    <w:rPr>
      <w:rFonts w:ascii="宋体" w:eastAsia="宋体" w:hAnsi="宋体" w:cs="宋体" w:hint="eastAsia"/>
      <w:color w:val="000000"/>
      <w:sz w:val="18"/>
      <w:szCs w:val="18"/>
      <w:u w:val="none"/>
    </w:rPr>
  </w:style>
  <w:style w:type="character" w:customStyle="1" w:styleId="font41">
    <w:name w:val="font41"/>
    <w:rPr>
      <w:rFonts w:ascii="宋体" w:eastAsia="宋体" w:hAnsi="宋体" w:cs="宋体" w:hint="eastAsia"/>
      <w:i w:val="0"/>
      <w:color w:val="000000"/>
      <w:sz w:val="18"/>
      <w:szCs w:val="18"/>
      <w:u w:val="none"/>
    </w:rPr>
  </w:style>
  <w:style w:type="character" w:customStyle="1" w:styleId="CharChar2">
    <w:name w:val="正文首行缩进 Char Char"/>
    <w:link w:val="BodyTextFirstIndent"/>
    <w:rPr>
      <w:rFonts w:eastAsia="宋体"/>
    </w:rPr>
  </w:style>
  <w:style w:type="character" w:customStyle="1" w:styleId="ymy-zw1">
    <w:name w:val="ymy-zw1"/>
    <w:rPr>
      <w:rFonts w:ascii="ˎ̥" w:hAnsi="ˎ̥" w:hint="default"/>
      <w:b w:val="0"/>
      <w:i w:val="0"/>
      <w:color w:val="000000"/>
      <w:spacing w:val="15"/>
      <w:sz w:val="18"/>
    </w:rPr>
  </w:style>
  <w:style w:type="character" w:customStyle="1" w:styleId="ad">
    <w:name w:val="个人答复风格"/>
    <w:rPr>
      <w:rFonts w:ascii="Arial" w:eastAsia="宋体" w:hAnsi="Arial"/>
      <w:color w:val="auto"/>
      <w:sz w:val="20"/>
    </w:rPr>
  </w:style>
  <w:style w:type="character" w:customStyle="1" w:styleId="bttitle31">
    <w:name w:val="bt_title31"/>
    <w:rPr>
      <w:b/>
      <w:color w:val="94272C"/>
      <w:sz w:val="27"/>
    </w:rPr>
  </w:style>
  <w:style w:type="paragraph" w:customStyle="1" w:styleId="ae">
    <w:name w:val="三级条标题"/>
    <w:basedOn w:val="af"/>
    <w:next w:val="a"/>
    <w:pPr>
      <w:tabs>
        <w:tab w:val="clear" w:pos="360"/>
      </w:tabs>
      <w:outlineLvl w:val="4"/>
    </w:pPr>
  </w:style>
  <w:style w:type="paragraph" w:customStyle="1" w:styleId="NormalIndent">
    <w:name w:val="Normal Indent"/>
    <w:basedOn w:val="a"/>
    <w:pPr>
      <w:ind w:firstLine="420"/>
    </w:pPr>
    <w:rPr>
      <w:rFonts w:hint="eastAsia"/>
    </w:rPr>
  </w:style>
  <w:style w:type="paragraph" w:customStyle="1" w:styleId="af0">
    <w:name w:val="编号列项（三级）"/>
    <w:pPr>
      <w:numPr>
        <w:ilvl w:val="2"/>
        <w:numId w:val="1"/>
      </w:numPr>
      <w:tabs>
        <w:tab w:val="left" w:pos="0"/>
      </w:tabs>
    </w:pPr>
    <w:rPr>
      <w:rFonts w:ascii="宋体"/>
      <w:sz w:val="21"/>
    </w:rPr>
  </w:style>
  <w:style w:type="paragraph" w:customStyle="1" w:styleId="af1">
    <w:name w:val="五级无标题条"/>
    <w:basedOn w:val="a"/>
    <w:pPr>
      <w:numPr>
        <w:ilvl w:val="6"/>
        <w:numId w:val="2"/>
      </w:numPr>
    </w:pPr>
  </w:style>
  <w:style w:type="paragraph" w:styleId="20">
    <w:name w:val="Body Text Indent 2"/>
    <w:basedOn w:val="a"/>
    <w:pPr>
      <w:spacing w:after="120" w:line="480" w:lineRule="auto"/>
      <w:ind w:leftChars="200" w:left="420"/>
    </w:pPr>
  </w:style>
  <w:style w:type="paragraph" w:customStyle="1" w:styleId="af2">
    <w:name w:val="正文图标题"/>
    <w:next w:val="af3"/>
    <w:pPr>
      <w:numPr>
        <w:numId w:val="3"/>
      </w:numPr>
      <w:jc w:val="center"/>
    </w:pPr>
    <w:rPr>
      <w:rFonts w:ascii="黑体" w:eastAsia="黑体"/>
      <w:sz w:val="21"/>
    </w:rPr>
  </w:style>
  <w:style w:type="paragraph" w:customStyle="1" w:styleId="p18">
    <w:name w:val="p18"/>
    <w:basedOn w:val="a"/>
    <w:pPr>
      <w:widowControl/>
      <w:spacing w:after="120"/>
      <w:ind w:firstLine="210"/>
    </w:pPr>
    <w:rPr>
      <w:kern w:val="0"/>
      <w:sz w:val="24"/>
    </w:rPr>
  </w:style>
  <w:style w:type="paragraph" w:customStyle="1" w:styleId="af4">
    <w:name w:val="附录五级条标题"/>
    <w:basedOn w:val="af5"/>
    <w:next w:val="af3"/>
    <w:pPr>
      <w:numPr>
        <w:numId w:val="0"/>
      </w:numPr>
      <w:outlineLvl w:val="6"/>
    </w:pPr>
  </w:style>
  <w:style w:type="paragraph" w:styleId="HTML0">
    <w:name w:val="HTML Preformatted"/>
    <w:basedOn w:val="a"/>
    <w:rPr>
      <w:rFonts w:ascii="Courier New" w:hAnsi="Courier New"/>
      <w:sz w:val="20"/>
    </w:rPr>
  </w:style>
  <w:style w:type="paragraph" w:customStyle="1" w:styleId="p0">
    <w:name w:val="p0"/>
    <w:basedOn w:val="a"/>
    <w:pPr>
      <w:widowControl/>
    </w:pPr>
    <w:rPr>
      <w:kern w:val="0"/>
    </w:rPr>
  </w:style>
  <w:style w:type="paragraph" w:styleId="21">
    <w:name w:val="Body Text 2"/>
    <w:basedOn w:val="a"/>
    <w:pPr>
      <w:spacing w:after="120" w:line="480" w:lineRule="auto"/>
    </w:pPr>
  </w:style>
  <w:style w:type="paragraph" w:customStyle="1" w:styleId="af6">
    <w:name w:val="四级无标题条"/>
    <w:basedOn w:val="a"/>
    <w:pPr>
      <w:numPr>
        <w:ilvl w:val="5"/>
        <w:numId w:val="2"/>
      </w:numPr>
    </w:pPr>
  </w:style>
  <w:style w:type="paragraph" w:customStyle="1" w:styleId="af7">
    <w:name w:val="章标题"/>
    <w:next w:val="a"/>
    <w:pPr>
      <w:tabs>
        <w:tab w:val="left" w:pos="360"/>
      </w:tabs>
      <w:spacing w:beforeLines="50" w:afterLines="50"/>
      <w:jc w:val="both"/>
      <w:outlineLvl w:val="1"/>
    </w:pPr>
    <w:rPr>
      <w:rFonts w:ascii="黑体" w:eastAsia="黑体"/>
      <w:sz w:val="21"/>
    </w:rPr>
  </w:style>
  <w:style w:type="paragraph" w:customStyle="1" w:styleId="af8">
    <w:name w:val="示例"/>
    <w:next w:val="af3"/>
    <w:pPr>
      <w:numPr>
        <w:numId w:val="4"/>
      </w:numPr>
      <w:tabs>
        <w:tab w:val="clear" w:pos="1120"/>
        <w:tab w:val="left" w:pos="816"/>
      </w:tabs>
      <w:ind w:firstLineChars="233" w:firstLine="419"/>
      <w:jc w:val="both"/>
    </w:pPr>
    <w:rPr>
      <w:rFonts w:ascii="宋体"/>
      <w:sz w:val="18"/>
    </w:rPr>
  </w:style>
  <w:style w:type="paragraph" w:customStyle="1" w:styleId="af9">
    <w:name w:val="附录标识"/>
    <w:basedOn w:val="afa"/>
    <w:pPr>
      <w:numPr>
        <w:numId w:val="0"/>
      </w:numPr>
      <w:tabs>
        <w:tab w:val="left" w:pos="6405"/>
      </w:tabs>
      <w:spacing w:after="200"/>
    </w:pPr>
    <w:rPr>
      <w:sz w:val="21"/>
    </w:rPr>
  </w:style>
  <w:style w:type="paragraph" w:customStyle="1" w:styleId="22">
    <w:name w:val="封面标准号2"/>
    <w:basedOn w:val="a"/>
    <w:pPr>
      <w:kinsoku w:val="0"/>
      <w:overflowPunct w:val="0"/>
      <w:autoSpaceDE w:val="0"/>
      <w:autoSpaceDN w:val="0"/>
      <w:adjustRightInd w:val="0"/>
      <w:spacing w:before="357" w:line="280" w:lineRule="exact"/>
      <w:jc w:val="right"/>
      <w:textAlignment w:val="center"/>
    </w:pPr>
    <w:rPr>
      <w:kern w:val="0"/>
      <w:sz w:val="28"/>
    </w:rPr>
  </w:style>
  <w:style w:type="paragraph" w:styleId="afb">
    <w:name w:val="Normal (Web)"/>
    <w:basedOn w:val="a"/>
    <w:pPr>
      <w:widowControl/>
      <w:spacing w:before="100" w:beforeAutospacing="1" w:after="100" w:afterAutospacing="1"/>
      <w:jc w:val="left"/>
    </w:pPr>
    <w:rPr>
      <w:rFonts w:ascii="宋体" w:hAnsi="宋体"/>
      <w:kern w:val="0"/>
      <w:sz w:val="24"/>
    </w:rPr>
  </w:style>
  <w:style w:type="paragraph" w:styleId="afc">
    <w:name w:val="Date"/>
    <w:basedOn w:val="a"/>
    <w:next w:val="a"/>
    <w:pPr>
      <w:autoSpaceDE w:val="0"/>
      <w:autoSpaceDN w:val="0"/>
      <w:adjustRightInd w:val="0"/>
      <w:ind w:leftChars="2500" w:left="100"/>
      <w:jc w:val="left"/>
    </w:pPr>
    <w:rPr>
      <w:rFonts w:ascii="CenturionOld" w:hAnsi="CenturionOld"/>
      <w:spacing w:val="10"/>
      <w:kern w:val="0"/>
      <w:sz w:val="28"/>
    </w:rPr>
  </w:style>
  <w:style w:type="paragraph" w:customStyle="1" w:styleId="CharCharChar">
    <w:name w:val="Char Char Char"/>
    <w:basedOn w:val="a"/>
  </w:style>
  <w:style w:type="paragraph" w:customStyle="1" w:styleId="afd">
    <w:name w:val="标准称谓"/>
    <w:next w:val="a"/>
    <w:pPr>
      <w:widowControl w:val="0"/>
      <w:kinsoku w:val="0"/>
      <w:overflowPunct w:val="0"/>
      <w:autoSpaceDE w:val="0"/>
      <w:autoSpaceDN w:val="0"/>
      <w:spacing w:line="0" w:lineRule="atLeast"/>
      <w:jc w:val="distribute"/>
    </w:pPr>
    <w:rPr>
      <w:rFonts w:ascii="宋体"/>
      <w:b/>
      <w:spacing w:val="20"/>
      <w:w w:val="148"/>
      <w:sz w:val="52"/>
    </w:rPr>
  </w:style>
  <w:style w:type="paragraph" w:styleId="a6">
    <w:name w:val="Plain Text"/>
    <w:basedOn w:val="a"/>
    <w:link w:val="Char0"/>
    <w:rPr>
      <w:rFonts w:ascii="宋体" w:hAnsi="Courier New"/>
    </w:rPr>
  </w:style>
  <w:style w:type="paragraph" w:customStyle="1" w:styleId="afe">
    <w:name w:val="附录章标题"/>
    <w:next w:val="af3"/>
    <w:p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p17">
    <w:name w:val="p17"/>
    <w:basedOn w:val="a"/>
    <w:pPr>
      <w:widowControl/>
      <w:ind w:firstLine="420"/>
    </w:pPr>
    <w:rPr>
      <w:rFonts w:ascii="宋体" w:hAnsi="宋体"/>
      <w:kern w:val="0"/>
      <w:sz w:val="22"/>
    </w:rPr>
  </w:style>
  <w:style w:type="paragraph" w:customStyle="1" w:styleId="p15">
    <w:name w:val="p15"/>
    <w:basedOn w:val="a"/>
    <w:pPr>
      <w:widowControl/>
      <w:ind w:firstLine="420"/>
    </w:pPr>
    <w:rPr>
      <w:rFonts w:ascii="宋体" w:hAnsi="宋体"/>
      <w:kern w:val="0"/>
    </w:rPr>
  </w:style>
  <w:style w:type="paragraph" w:styleId="3">
    <w:name w:val="Body Text Indent 3"/>
    <w:basedOn w:val="a"/>
    <w:pPr>
      <w:spacing w:after="120"/>
      <w:ind w:leftChars="200" w:left="420"/>
    </w:pPr>
    <w:rPr>
      <w:sz w:val="16"/>
    </w:rPr>
  </w:style>
  <w:style w:type="paragraph" w:customStyle="1" w:styleId="ParaCharCharCharCharCharCharChar">
    <w:name w:val="默认段落字体 Para Char Char Char Char Char Char Char"/>
    <w:basedOn w:val="a"/>
  </w:style>
  <w:style w:type="paragraph" w:customStyle="1" w:styleId="aff">
    <w:name w:val="图表脚注"/>
    <w:next w:val="a"/>
    <w:pPr>
      <w:numPr>
        <w:ilvl w:val="5"/>
        <w:numId w:val="5"/>
      </w:numPr>
      <w:ind w:leftChars="200" w:left="300" w:hangingChars="100" w:hanging="100"/>
      <w:jc w:val="both"/>
    </w:pPr>
    <w:rPr>
      <w:rFonts w:ascii="宋体"/>
      <w:sz w:val="18"/>
    </w:rPr>
  </w:style>
  <w:style w:type="paragraph" w:styleId="a3">
    <w:name w:val="Body Text Indent"/>
    <w:basedOn w:val="a"/>
    <w:link w:val="Char"/>
    <w:pPr>
      <w:ind w:firstLineChars="200" w:firstLine="420"/>
    </w:pPr>
  </w:style>
  <w:style w:type="paragraph" w:customStyle="1" w:styleId="aff0">
    <w:name w:val="封面正文"/>
    <w:pPr>
      <w:jc w:val="both"/>
    </w:pPr>
  </w:style>
  <w:style w:type="paragraph" w:customStyle="1" w:styleId="afa">
    <w:name w:val="前言、引言标题"/>
    <w:next w:val="a"/>
    <w:pPr>
      <w:numPr>
        <w:numId w:val="5"/>
      </w:numPr>
      <w:shd w:val="clear" w:color="FFFFFF" w:fill="FFFFFF"/>
      <w:tabs>
        <w:tab w:val="left" w:pos="227"/>
      </w:tabs>
      <w:spacing w:before="640" w:after="560"/>
      <w:jc w:val="center"/>
      <w:outlineLvl w:val="0"/>
    </w:pPr>
    <w:rPr>
      <w:rFonts w:ascii="黑体" w:eastAsia="黑体"/>
      <w:sz w:val="32"/>
    </w:rPr>
  </w:style>
  <w:style w:type="paragraph" w:customStyle="1" w:styleId="af">
    <w:name w:val="二级条标题"/>
    <w:basedOn w:val="aff1"/>
    <w:next w:val="a"/>
    <w:pPr>
      <w:outlineLvl w:val="3"/>
    </w:pPr>
  </w:style>
  <w:style w:type="paragraph" w:customStyle="1" w:styleId="aff2">
    <w:name w:val="字母编号列项（一级）"/>
    <w:pPr>
      <w:numPr>
        <w:numId w:val="1"/>
      </w:numPr>
      <w:tabs>
        <w:tab w:val="left" w:pos="360"/>
      </w:tabs>
      <w:jc w:val="both"/>
    </w:pPr>
    <w:rPr>
      <w:rFonts w:ascii="宋体"/>
      <w:sz w:val="21"/>
    </w:rPr>
  </w:style>
  <w:style w:type="paragraph" w:customStyle="1" w:styleId="ListParagraph">
    <w:name w:val="List Paragraph"/>
    <w:basedOn w:val="a"/>
    <w:pPr>
      <w:ind w:firstLineChars="200" w:firstLine="420"/>
    </w:pPr>
    <w:rPr>
      <w:rFonts w:ascii="Calibri" w:hAnsi="Calibri"/>
    </w:rPr>
  </w:style>
  <w:style w:type="paragraph" w:customStyle="1" w:styleId="aff3">
    <w:name w:val="附录一级条标题"/>
    <w:basedOn w:val="a"/>
    <w:next w:val="af3"/>
    <w:pPr>
      <w:widowControl/>
      <w:numPr>
        <w:ilvl w:val="1"/>
        <w:numId w:val="6"/>
      </w:numPr>
      <w:wordWrap w:val="0"/>
      <w:overflowPunct w:val="0"/>
      <w:autoSpaceDE w:val="0"/>
      <w:autoSpaceDN w:val="0"/>
      <w:textAlignment w:val="baseline"/>
      <w:outlineLvl w:val="2"/>
    </w:pPr>
    <w:rPr>
      <w:rFonts w:ascii="黑体" w:eastAsia="黑体"/>
      <w:kern w:val="21"/>
    </w:rPr>
  </w:style>
  <w:style w:type="paragraph" w:customStyle="1" w:styleId="xl30">
    <w:name w:val="xl30"/>
    <w:basedOn w:val="a"/>
    <w:pPr>
      <w:widowControl/>
      <w:pBdr>
        <w:bottom w:val="single" w:sz="8" w:space="0" w:color="auto"/>
        <w:right w:val="single" w:sz="8" w:space="0" w:color="auto"/>
      </w:pBdr>
      <w:spacing w:before="100" w:beforeAutospacing="1" w:after="100" w:afterAutospacing="1"/>
      <w:textAlignment w:val="top"/>
    </w:pPr>
    <w:rPr>
      <w:rFonts w:ascii="宋体" w:hAnsi="宋体"/>
      <w:kern w:val="0"/>
    </w:rPr>
  </w:style>
  <w:style w:type="paragraph" w:styleId="aff4">
    <w:name w:val="Normal Indent"/>
    <w:basedOn w:val="a"/>
    <w:pPr>
      <w:spacing w:line="298" w:lineRule="exact"/>
      <w:ind w:firstLine="420"/>
    </w:pPr>
    <w:rPr>
      <w:rFonts w:ascii="宋体"/>
      <w:spacing w:val="10"/>
    </w:rPr>
  </w:style>
  <w:style w:type="paragraph" w:customStyle="1" w:styleId="aa0">
    <w:name w:val="aa"/>
    <w:basedOn w:val="a"/>
    <w:pPr>
      <w:adjustRightInd w:val="0"/>
      <w:spacing w:line="312" w:lineRule="atLeast"/>
      <w:ind w:firstLine="425"/>
      <w:textAlignment w:val="baseline"/>
    </w:pPr>
    <w:rPr>
      <w:kern w:val="0"/>
    </w:rPr>
  </w:style>
  <w:style w:type="paragraph" w:customStyle="1" w:styleId="aff5">
    <w:name w:val="封面标准文稿编辑信息"/>
    <w:pPr>
      <w:spacing w:before="180" w:line="180" w:lineRule="exact"/>
      <w:jc w:val="center"/>
    </w:pPr>
    <w:rPr>
      <w:rFonts w:ascii="宋体"/>
      <w:sz w:val="21"/>
    </w:rPr>
  </w:style>
  <w:style w:type="paragraph" w:styleId="aff6">
    <w:name w:val="Body Text"/>
    <w:basedOn w:val="a"/>
    <w:pPr>
      <w:spacing w:after="120"/>
    </w:pPr>
  </w:style>
  <w:style w:type="paragraph" w:customStyle="1" w:styleId="aff7">
    <w:name w:val="三级无标题条"/>
    <w:basedOn w:val="a"/>
    <w:pPr>
      <w:numPr>
        <w:ilvl w:val="4"/>
        <w:numId w:val="2"/>
      </w:numPr>
    </w:pPr>
  </w:style>
  <w:style w:type="paragraph" w:customStyle="1" w:styleId="af5">
    <w:name w:val="附录四级条标题"/>
    <w:basedOn w:val="aff8"/>
    <w:next w:val="af3"/>
    <w:pPr>
      <w:numPr>
        <w:ilvl w:val="4"/>
      </w:numPr>
      <w:outlineLvl w:val="5"/>
    </w:pPr>
  </w:style>
  <w:style w:type="paragraph" w:customStyle="1" w:styleId="aff9">
    <w:name w:val="封面标准英文名称"/>
    <w:pPr>
      <w:widowControl w:val="0"/>
      <w:spacing w:before="370" w:line="400" w:lineRule="exact"/>
      <w:jc w:val="center"/>
    </w:pPr>
    <w:rPr>
      <w:sz w:val="28"/>
    </w:rPr>
  </w:style>
  <w:style w:type="paragraph" w:styleId="affa">
    <w:name w:val="header"/>
    <w:basedOn w:val="a"/>
    <w:pPr>
      <w:pBdr>
        <w:bottom w:val="single" w:sz="6" w:space="1" w:color="auto"/>
      </w:pBdr>
      <w:tabs>
        <w:tab w:val="center" w:pos="4153"/>
        <w:tab w:val="right" w:pos="8306"/>
      </w:tabs>
      <w:snapToGrid w:val="0"/>
      <w:jc w:val="center"/>
    </w:pPr>
    <w:rPr>
      <w:sz w:val="18"/>
    </w:rPr>
  </w:style>
  <w:style w:type="paragraph" w:customStyle="1" w:styleId="affb">
    <w:name w:val="二级无标题条"/>
    <w:basedOn w:val="a"/>
    <w:pPr>
      <w:numPr>
        <w:ilvl w:val="3"/>
        <w:numId w:val="2"/>
      </w:numPr>
    </w:pPr>
  </w:style>
  <w:style w:type="paragraph" w:customStyle="1" w:styleId="affc">
    <w:name w:val="注×："/>
    <w:pPr>
      <w:widowControl w:val="0"/>
      <w:numPr>
        <w:numId w:val="7"/>
      </w:numPr>
      <w:tabs>
        <w:tab w:val="clear" w:pos="900"/>
        <w:tab w:val="left" w:pos="630"/>
      </w:tabs>
      <w:autoSpaceDE w:val="0"/>
      <w:autoSpaceDN w:val="0"/>
      <w:jc w:val="both"/>
    </w:pPr>
    <w:rPr>
      <w:rFonts w:ascii="宋体"/>
      <w:sz w:val="18"/>
    </w:rPr>
  </w:style>
  <w:style w:type="paragraph" w:customStyle="1" w:styleId="affd">
    <w:name w:val="注×：（正文）"/>
    <w:pPr>
      <w:numPr>
        <w:numId w:val="7"/>
      </w:numPr>
      <w:tabs>
        <w:tab w:val="left" w:pos="900"/>
      </w:tabs>
      <w:jc w:val="both"/>
    </w:pPr>
    <w:rPr>
      <w:rFonts w:ascii="宋体"/>
      <w:sz w:val="18"/>
    </w:rPr>
  </w:style>
  <w:style w:type="paragraph" w:customStyle="1" w:styleId="affe">
    <w:name w:val="数字编号列项（二级）"/>
    <w:pPr>
      <w:numPr>
        <w:ilvl w:val="1"/>
        <w:numId w:val="1"/>
      </w:numPr>
      <w:tabs>
        <w:tab w:val="left" w:pos="1259"/>
      </w:tabs>
      <w:jc w:val="both"/>
    </w:pPr>
    <w:rPr>
      <w:rFonts w:ascii="宋体"/>
      <w:sz w:val="21"/>
    </w:rPr>
  </w:style>
  <w:style w:type="paragraph" w:customStyle="1" w:styleId="xl39">
    <w:name w:val="xl39"/>
    <w:basedOn w:val="a"/>
    <w:pPr>
      <w:widowControl/>
      <w:pBdr>
        <w:bottom w:val="single" w:sz="8" w:space="0" w:color="auto"/>
        <w:right w:val="single" w:sz="8" w:space="0" w:color="auto"/>
      </w:pBdr>
      <w:spacing w:before="100" w:beforeAutospacing="1" w:after="100" w:afterAutospacing="1"/>
      <w:jc w:val="left"/>
      <w:textAlignment w:val="top"/>
    </w:pPr>
    <w:rPr>
      <w:kern w:val="0"/>
      <w:sz w:val="18"/>
    </w:rPr>
  </w:style>
  <w:style w:type="paragraph" w:customStyle="1" w:styleId="af3">
    <w:name w:val="段"/>
    <w:pPr>
      <w:autoSpaceDE w:val="0"/>
      <w:autoSpaceDN w:val="0"/>
      <w:ind w:firstLineChars="200" w:firstLine="200"/>
      <w:jc w:val="both"/>
    </w:pPr>
    <w:rPr>
      <w:rFonts w:ascii="宋体"/>
      <w:sz w:val="21"/>
    </w:rPr>
  </w:style>
  <w:style w:type="paragraph" w:customStyle="1" w:styleId="afff">
    <w:name w:val="实施日期"/>
    <w:basedOn w:val="a"/>
    <w:pPr>
      <w:widowControl/>
      <w:numPr>
        <w:ilvl w:val="4"/>
        <w:numId w:val="5"/>
      </w:numPr>
      <w:jc w:val="right"/>
    </w:pPr>
    <w:rPr>
      <w:rFonts w:eastAsia="黑体"/>
      <w:kern w:val="0"/>
      <w:sz w:val="28"/>
    </w:rPr>
  </w:style>
  <w:style w:type="paragraph" w:styleId="afff0">
    <w:name w:val="footer"/>
    <w:basedOn w:val="a"/>
    <w:pPr>
      <w:tabs>
        <w:tab w:val="center" w:pos="4153"/>
        <w:tab w:val="right" w:pos="8306"/>
      </w:tabs>
      <w:snapToGrid w:val="0"/>
      <w:jc w:val="left"/>
    </w:pPr>
    <w:rPr>
      <w:sz w:val="18"/>
    </w:rPr>
  </w:style>
  <w:style w:type="paragraph" w:customStyle="1" w:styleId="afff1">
    <w:name w:val="附录二级条标题"/>
    <w:basedOn w:val="aff3"/>
    <w:next w:val="af3"/>
    <w:pPr>
      <w:numPr>
        <w:ilvl w:val="2"/>
      </w:numPr>
      <w:outlineLvl w:val="3"/>
    </w:pPr>
  </w:style>
  <w:style w:type="paragraph" w:customStyle="1" w:styleId="CharCharCharChar1">
    <w:name w:val=" Char Char Char Char1"/>
    <w:basedOn w:val="a"/>
    <w:rPr>
      <w:rFonts w:ascii="宋体"/>
      <w:kern w:val="0"/>
      <w:sz w:val="34"/>
      <w:lang w:val="zh-CN"/>
    </w:rPr>
  </w:style>
  <w:style w:type="paragraph" w:customStyle="1" w:styleId="Default">
    <w:name w:val="Default"/>
    <w:pPr>
      <w:widowControl w:val="0"/>
      <w:autoSpaceDE w:val="0"/>
      <w:autoSpaceDN w:val="0"/>
      <w:adjustRightInd w:val="0"/>
    </w:pPr>
    <w:rPr>
      <w:color w:val="000000"/>
      <w:sz w:val="24"/>
    </w:rPr>
  </w:style>
  <w:style w:type="paragraph" w:customStyle="1" w:styleId="Style1">
    <w:name w:val="_Style 1"/>
    <w:basedOn w:val="a"/>
    <w:qFormat/>
    <w:pPr>
      <w:ind w:firstLineChars="200" w:firstLine="420"/>
    </w:pPr>
    <w:rPr>
      <w:rFonts w:ascii="Calibri" w:hAnsi="Calibri"/>
      <w:szCs w:val="22"/>
    </w:rPr>
  </w:style>
  <w:style w:type="paragraph" w:customStyle="1" w:styleId="aff1">
    <w:name w:val="一级条标题"/>
    <w:next w:val="a"/>
    <w:pPr>
      <w:tabs>
        <w:tab w:val="left" w:pos="360"/>
      </w:tabs>
      <w:outlineLvl w:val="2"/>
    </w:pPr>
    <w:rPr>
      <w:rFonts w:eastAsia="黑体"/>
      <w:sz w:val="21"/>
    </w:rPr>
  </w:style>
  <w:style w:type="paragraph" w:customStyle="1" w:styleId="Char3">
    <w:name w:val=" Char"/>
    <w:basedOn w:val="a"/>
  </w:style>
  <w:style w:type="paragraph" w:customStyle="1" w:styleId="afff2">
    <w:name w:val="四级条标题"/>
    <w:basedOn w:val="ae"/>
    <w:next w:val="a"/>
    <w:pPr>
      <w:outlineLvl w:val="5"/>
    </w:pPr>
  </w:style>
  <w:style w:type="paragraph" w:customStyle="1" w:styleId="CharCharCharChar10">
    <w:name w:val="Char Char Char Char1"/>
    <w:basedOn w:val="a"/>
    <w:rPr>
      <w:rFonts w:ascii="宋体"/>
      <w:kern w:val="0"/>
      <w:sz w:val="34"/>
      <w:lang w:val="zh-CN"/>
    </w:rPr>
  </w:style>
  <w:style w:type="paragraph" w:customStyle="1" w:styleId="p16">
    <w:name w:val="p16"/>
    <w:basedOn w:val="a"/>
    <w:pPr>
      <w:widowControl/>
      <w:ind w:firstLine="420"/>
    </w:pPr>
    <w:rPr>
      <w:rFonts w:ascii="宋体" w:hAnsi="宋体"/>
      <w:kern w:val="0"/>
    </w:rPr>
  </w:style>
  <w:style w:type="paragraph" w:styleId="ac">
    <w:name w:val="Body Text First Indent"/>
    <w:basedOn w:val="aff6"/>
    <w:link w:val="Char2"/>
    <w:pPr>
      <w:ind w:firstLineChars="100" w:firstLine="420"/>
    </w:pPr>
  </w:style>
  <w:style w:type="paragraph" w:customStyle="1" w:styleId="1">
    <w:name w:val="封面标准号1"/>
    <w:pPr>
      <w:widowControl w:val="0"/>
      <w:kinsoku w:val="0"/>
      <w:overflowPunct w:val="0"/>
      <w:autoSpaceDE w:val="0"/>
      <w:autoSpaceDN w:val="0"/>
      <w:spacing w:before="308"/>
      <w:jc w:val="right"/>
      <w:textAlignment w:val="center"/>
    </w:pPr>
    <w:rPr>
      <w:sz w:val="28"/>
    </w:rPr>
  </w:style>
  <w:style w:type="paragraph" w:customStyle="1" w:styleId="aff8">
    <w:name w:val="附录三级条标题"/>
    <w:basedOn w:val="afff1"/>
    <w:next w:val="af3"/>
    <w:pPr>
      <w:numPr>
        <w:ilvl w:val="3"/>
      </w:numPr>
      <w:outlineLvl w:val="4"/>
    </w:pPr>
  </w:style>
  <w:style w:type="paragraph" w:customStyle="1" w:styleId="Char10">
    <w:name w:val=" Char1"/>
    <w:basedOn w:val="a"/>
  </w:style>
  <w:style w:type="paragraph" w:customStyle="1" w:styleId="afff3">
    <w:name w:val="封面标准名称"/>
    <w:pPr>
      <w:widowControl w:val="0"/>
      <w:spacing w:line="680" w:lineRule="exact"/>
      <w:jc w:val="center"/>
    </w:pPr>
    <w:rPr>
      <w:rFonts w:ascii="黑体" w:eastAsia="黑体"/>
      <w:sz w:val="52"/>
    </w:rPr>
  </w:style>
  <w:style w:type="paragraph" w:customStyle="1" w:styleId="CharCharChar1Char">
    <w:name w:val=" Char Char Char1 Char"/>
    <w:basedOn w:val="a"/>
  </w:style>
  <w:style w:type="paragraph" w:styleId="aa">
    <w:name w:val="Balloon Text"/>
    <w:basedOn w:val="a"/>
    <w:link w:val="Char1"/>
    <w:rPr>
      <w:sz w:val="18"/>
    </w:rPr>
  </w:style>
  <w:style w:type="paragraph" w:customStyle="1" w:styleId="afff4">
    <w:name w:val="附录图标题"/>
    <w:next w:val="af3"/>
    <w:pPr>
      <w:numPr>
        <w:numId w:val="8"/>
      </w:numPr>
      <w:tabs>
        <w:tab w:val="left" w:pos="360"/>
      </w:tabs>
      <w:jc w:val="center"/>
    </w:pPr>
    <w:rPr>
      <w:rFonts w:ascii="黑体" w:eastAsia="黑体"/>
      <w:sz w:val="21"/>
    </w:rPr>
  </w:style>
  <w:style w:type="paragraph" w:customStyle="1" w:styleId="afff5">
    <w:name w:val="注：（正文）"/>
    <w:basedOn w:val="afff6"/>
    <w:next w:val="af3"/>
    <w:pPr>
      <w:numPr>
        <w:numId w:val="2"/>
      </w:numPr>
      <w:tabs>
        <w:tab w:val="left" w:pos="278"/>
      </w:tabs>
    </w:pPr>
  </w:style>
  <w:style w:type="paragraph" w:customStyle="1" w:styleId="afff7">
    <w:name w:val="五级条标题"/>
    <w:basedOn w:val="afff2"/>
    <w:next w:val="a"/>
    <w:pPr>
      <w:outlineLvl w:val="6"/>
    </w:pPr>
  </w:style>
  <w:style w:type="paragraph" w:customStyle="1" w:styleId="afff6">
    <w:name w:val="注："/>
    <w:next w:val="af3"/>
    <w:pPr>
      <w:widowControl w:val="0"/>
      <w:numPr>
        <w:numId w:val="9"/>
      </w:numPr>
      <w:tabs>
        <w:tab w:val="clear" w:pos="1140"/>
      </w:tabs>
      <w:autoSpaceDE w:val="0"/>
      <w:autoSpaceDN w:val="0"/>
      <w:jc w:val="both"/>
    </w:pPr>
    <w:rPr>
      <w:rFonts w:ascii="宋体"/>
      <w:sz w:val="18"/>
    </w:rPr>
  </w:style>
  <w:style w:type="paragraph" w:customStyle="1" w:styleId="CharCharCharCharCharCharChar">
    <w:name w:val=" Char Char Char Char Char Char Char"/>
    <w:basedOn w:val="a"/>
  </w:style>
  <w:style w:type="paragraph" w:customStyle="1" w:styleId="afff8">
    <w:name w:val="目次、标准名称标题"/>
    <w:basedOn w:val="a"/>
    <w:next w:val="a"/>
    <w:pPr>
      <w:widowControl/>
      <w:shd w:val="clear" w:color="FFFFFF" w:fill="FFFFFF"/>
      <w:spacing w:before="640" w:after="560" w:line="460" w:lineRule="exact"/>
      <w:jc w:val="center"/>
      <w:outlineLvl w:val="0"/>
    </w:pPr>
    <w:rPr>
      <w:rFonts w:ascii="黑体" w:eastAsia="黑体"/>
      <w:kern w:val="0"/>
      <w:sz w:val="32"/>
    </w:rPr>
  </w:style>
  <w:style w:type="paragraph" w:customStyle="1" w:styleId="afff9">
    <w:name w:val="一级无标题条"/>
    <w:basedOn w:val="a"/>
    <w:pPr>
      <w:numPr>
        <w:ilvl w:val="2"/>
        <w:numId w:val="2"/>
      </w:numPr>
    </w:pPr>
  </w:style>
  <w:style w:type="paragraph" w:customStyle="1" w:styleId="CharCharChar1Char0">
    <w:name w:val="Char Char Char1 Char"/>
    <w:basedOn w:val="a"/>
  </w:style>
  <w:style w:type="paragraph" w:customStyle="1" w:styleId="afffa">
    <w:name w:val="封面标准代替信息"/>
    <w:basedOn w:val="a"/>
    <w:pPr>
      <w:kinsoku w:val="0"/>
      <w:overflowPunct w:val="0"/>
      <w:autoSpaceDE w:val="0"/>
      <w:autoSpaceDN w:val="0"/>
      <w:adjustRightInd w:val="0"/>
      <w:spacing w:before="57" w:line="280" w:lineRule="exact"/>
      <w:jc w:val="right"/>
      <w:textAlignment w:val="center"/>
    </w:pPr>
    <w:rPr>
      <w:rFonts w:ascii="宋体"/>
      <w:kern w:val="0"/>
    </w:rPr>
  </w:style>
  <w:style w:type="paragraph" w:customStyle="1" w:styleId="afffb">
    <w:name w:val="列项——（一级）"/>
    <w:pPr>
      <w:widowControl w:val="0"/>
      <w:numPr>
        <w:numId w:val="10"/>
      </w:numPr>
      <w:tabs>
        <w:tab w:val="clear" w:pos="1140"/>
        <w:tab w:val="left" w:pos="854"/>
      </w:tabs>
      <w:ind w:leftChars="200" w:hangingChars="200"/>
      <w:jc w:val="both"/>
    </w:pPr>
    <w:rPr>
      <w:rFonts w:ascii="宋体"/>
      <w:sz w:val="21"/>
    </w:rPr>
  </w:style>
  <w:style w:type="paragraph" w:customStyle="1" w:styleId="afffc">
    <w:name w:val="其他发布部门"/>
    <w:basedOn w:val="a"/>
    <w:pPr>
      <w:widowControl/>
      <w:spacing w:line="0" w:lineRule="atLeast"/>
      <w:jc w:val="center"/>
    </w:pPr>
    <w:rPr>
      <w:rFonts w:ascii="黑体" w:eastAsia="黑体"/>
      <w:spacing w:val="20"/>
      <w:w w:val="135"/>
      <w:kern w:val="0"/>
      <w:sz w:val="36"/>
    </w:rPr>
  </w:style>
  <w:style w:type="paragraph" w:customStyle="1" w:styleId="BodyTextFirstIndent">
    <w:name w:val="Body Text First Indent"/>
    <w:basedOn w:val="a"/>
    <w:link w:val="CharChar2"/>
    <w:pPr>
      <w:spacing w:after="120"/>
      <w:ind w:firstLineChars="100" w:firstLine="420"/>
    </w:pPr>
    <w:rPr>
      <w:kern w:val="0"/>
      <w:sz w:val="20"/>
    </w:rPr>
  </w:style>
  <w:style w:type="paragraph" w:customStyle="1" w:styleId="a8">
    <w:name w:val="正文样式"/>
    <w:basedOn w:val="a"/>
    <w:link w:val="CharChar0"/>
    <w:pPr>
      <w:spacing w:line="360" w:lineRule="auto"/>
      <w:jc w:val="left"/>
    </w:pPr>
    <w:rPr>
      <w:sz w:val="24"/>
    </w:rPr>
  </w:style>
  <w:style w:type="paragraph" w:customStyle="1" w:styleId="CharCharChar0">
    <w:name w:val=" Char Char Char"/>
    <w:basedOn w:val="a"/>
  </w:style>
  <w:style w:type="paragraph" w:customStyle="1" w:styleId="afffd">
    <w:name w:val="附录表标题"/>
    <w:next w:val="af3"/>
    <w:pPr>
      <w:numPr>
        <w:numId w:val="11"/>
      </w:numPr>
      <w:tabs>
        <w:tab w:val="left" w:pos="360"/>
      </w:tabs>
      <w:jc w:val="center"/>
      <w:textAlignment w:val="baseline"/>
    </w:pPr>
    <w:rPr>
      <w:rFonts w:ascii="黑体" w:eastAsia="黑体"/>
      <w:kern w:val="21"/>
      <w:sz w:val="21"/>
    </w:rPr>
  </w:style>
  <w:style w:type="paragraph" w:customStyle="1" w:styleId="Char4">
    <w:name w:val="Char"/>
    <w:basedOn w:val="a"/>
  </w:style>
  <w:style w:type="paragraph" w:customStyle="1" w:styleId="23">
    <w:name w:val="2"/>
    <w:basedOn w:val="a"/>
    <w:next w:val="a6"/>
    <w:rPr>
      <w:rFonts w:ascii="宋体" w:hAnsi="Courier New"/>
    </w:rPr>
  </w:style>
  <w:style w:type="paragraph" w:customStyle="1" w:styleId="afffe">
    <w:name w:val="列项·"/>
    <w:pPr>
      <w:numPr>
        <w:numId w:val="12"/>
      </w:numPr>
      <w:tabs>
        <w:tab w:val="clear" w:pos="1140"/>
        <w:tab w:val="left" w:pos="840"/>
      </w:tabs>
      <w:jc w:val="both"/>
    </w:pPr>
    <w:rPr>
      <w:rFonts w:ascii="宋体"/>
      <w:sz w:val="21"/>
    </w:rPr>
  </w:style>
  <w:style w:type="table" w:styleId="affff">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554</Words>
  <Characters>3163</Characters>
  <Application>Microsoft Office Word</Application>
  <DocSecurity>0</DocSecurity>
  <PresentationFormat/>
  <Lines>26</Lines>
  <Paragraphs>7</Paragraphs>
  <Slides>0</Slides>
  <Notes>0</Notes>
  <HiddenSlides>0</HiddenSlides>
  <MMClips>0</MMClips>
  <ScaleCrop>false</ScaleCrop>
  <Company>Legend (Beijing) Limited</Company>
  <LinksUpToDate>false</LinksUpToDate>
  <CharactersWithSpaces>3710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序号</dc:title>
  <dc:creator>shengxijun</dc:creator>
  <cp:lastModifiedBy>Administrator</cp:lastModifiedBy>
  <cp:revision>2</cp:revision>
  <cp:lastPrinted>2008-10-24T07:47:00Z</cp:lastPrinted>
  <dcterms:created xsi:type="dcterms:W3CDTF">2020-09-18T01:50:00Z</dcterms:created>
  <dcterms:modified xsi:type="dcterms:W3CDTF">2020-09-18T01:50:00Z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2052-10.8.2.7059</vt:lpwstr>
  </property>
</Properties>
</file>