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4C19CF">
      <w:pPr>
        <w:adjustRightInd w:val="0"/>
        <w:snapToGrid w:val="0"/>
        <w:spacing w:before="936" w:beforeLines="300"/>
        <w:jc w:val="center"/>
        <w:rPr>
          <w:rFonts w:ascii="黑体" w:eastAsia="黑体"/>
          <w:b/>
          <w:kern w:val="44"/>
          <w:sz w:val="48"/>
          <w:szCs w:val="20"/>
        </w:rPr>
      </w:pPr>
      <w:bookmarkStart w:id="0" w:name="_GoBack"/>
      <w:bookmarkEnd w:id="0"/>
      <w:r>
        <w:rPr>
          <w:rFonts w:hint="eastAsia" w:ascii="黑体" w:eastAsia="黑体"/>
          <w:b/>
          <w:kern w:val="44"/>
          <w:sz w:val="48"/>
          <w:szCs w:val="20"/>
        </w:rPr>
        <w:t>第八部分  采购需求</w:t>
      </w:r>
      <w:r>
        <w:rPr>
          <w:rFonts w:ascii="黑体" w:eastAsia="黑体"/>
          <w:b/>
          <w:kern w:val="44"/>
          <w:sz w:val="48"/>
          <w:szCs w:val="20"/>
        </w:rPr>
        <w:br w:type="page"/>
      </w:r>
    </w:p>
    <w:p w14:paraId="6028C62C">
      <w:p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</w:rPr>
        <w:t>一、货物需求一览表</w:t>
      </w:r>
    </w:p>
    <w:p w14:paraId="6DAA59E9">
      <w:p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</w:p>
    <w:tbl>
      <w:tblPr>
        <w:tblStyle w:val="6"/>
        <w:tblW w:w="8741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04"/>
        <w:gridCol w:w="1878"/>
        <w:gridCol w:w="1122"/>
        <w:gridCol w:w="1011"/>
        <w:gridCol w:w="1567"/>
        <w:gridCol w:w="2459"/>
      </w:tblGrid>
      <w:tr w14:paraId="2FF68F7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2" w:hRule="atLeast"/>
          <w:jc w:val="center"/>
        </w:trPr>
        <w:tc>
          <w:tcPr>
            <w:tcW w:w="704" w:type="dxa"/>
            <w:vAlign w:val="center"/>
          </w:tcPr>
          <w:p w14:paraId="15332162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包号</w:t>
            </w:r>
          </w:p>
        </w:tc>
        <w:tc>
          <w:tcPr>
            <w:tcW w:w="1878" w:type="dxa"/>
            <w:vAlign w:val="center"/>
          </w:tcPr>
          <w:p w14:paraId="137C2299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货物名称</w:t>
            </w:r>
          </w:p>
        </w:tc>
        <w:tc>
          <w:tcPr>
            <w:tcW w:w="1122" w:type="dxa"/>
            <w:vAlign w:val="center"/>
          </w:tcPr>
          <w:p w14:paraId="2261C904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数量</w:t>
            </w:r>
          </w:p>
        </w:tc>
        <w:tc>
          <w:tcPr>
            <w:tcW w:w="1011" w:type="dxa"/>
            <w:vAlign w:val="center"/>
          </w:tcPr>
          <w:p w14:paraId="528C1B5B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交货期</w:t>
            </w:r>
          </w:p>
        </w:tc>
        <w:tc>
          <w:tcPr>
            <w:tcW w:w="1567" w:type="dxa"/>
            <w:vAlign w:val="center"/>
          </w:tcPr>
          <w:p w14:paraId="61E886F3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指定到货港</w:t>
            </w:r>
          </w:p>
        </w:tc>
        <w:tc>
          <w:tcPr>
            <w:tcW w:w="2459" w:type="dxa"/>
            <w:vAlign w:val="center"/>
          </w:tcPr>
          <w:p w14:paraId="14138089">
            <w:pPr>
              <w:jc w:val="center"/>
              <w:rPr>
                <w:rFonts w:ascii="宋体" w:hAnsi="Bookman Old Style"/>
                <w:sz w:val="24"/>
                <w:shd w:val="pct10" w:color="auto" w:fill="FFFFFF"/>
              </w:rPr>
            </w:pPr>
            <w:r>
              <w:rPr>
                <w:rFonts w:hint="eastAsia" w:ascii="宋体" w:hAnsi="Bookman Old Style"/>
                <w:sz w:val="24"/>
              </w:rPr>
              <w:t>项目现场（交货地点）</w:t>
            </w:r>
          </w:p>
        </w:tc>
      </w:tr>
      <w:tr w14:paraId="1D84073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3" w:hRule="atLeast"/>
          <w:jc w:val="center"/>
        </w:trPr>
        <w:tc>
          <w:tcPr>
            <w:tcW w:w="704" w:type="dxa"/>
            <w:vAlign w:val="center"/>
          </w:tcPr>
          <w:p w14:paraId="09793306"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1</w:t>
            </w:r>
          </w:p>
        </w:tc>
        <w:tc>
          <w:tcPr>
            <w:tcW w:w="1878" w:type="dxa"/>
            <w:vAlign w:val="center"/>
          </w:tcPr>
          <w:p w14:paraId="2240E0DA">
            <w:pPr>
              <w:jc w:val="center"/>
              <w:rPr>
                <w:rFonts w:ascii="Bookman Old Style" w:hAnsi="Bookman Old Style"/>
                <w:sz w:val="24"/>
              </w:rPr>
            </w:pPr>
            <w:r>
              <w:rPr>
                <w:rFonts w:hint="eastAsia" w:ascii="Bookman Old Style" w:hAnsi="Bookman Old Style"/>
                <w:sz w:val="24"/>
              </w:rPr>
              <w:t>化学吸附仪</w:t>
            </w:r>
          </w:p>
        </w:tc>
        <w:tc>
          <w:tcPr>
            <w:tcW w:w="1122" w:type="dxa"/>
            <w:vAlign w:val="center"/>
          </w:tcPr>
          <w:p w14:paraId="4A36A219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2</w:t>
            </w:r>
            <w:r>
              <w:rPr>
                <w:rFonts w:hint="eastAsia" w:ascii="Bookman Old Style" w:hAnsi="Bookman Old Style"/>
                <w:sz w:val="24"/>
              </w:rPr>
              <w:t>套</w:t>
            </w:r>
          </w:p>
        </w:tc>
        <w:tc>
          <w:tcPr>
            <w:tcW w:w="5037" w:type="dxa"/>
            <w:gridSpan w:val="3"/>
            <w:vAlign w:val="center"/>
          </w:tcPr>
          <w:p w14:paraId="744132A6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详见具体技术规格</w:t>
            </w:r>
          </w:p>
        </w:tc>
      </w:tr>
    </w:tbl>
    <w:p w14:paraId="44AB5A8D">
      <w:p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</w:p>
    <w:p w14:paraId="0E4BACA6">
      <w:p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</w:p>
    <w:p w14:paraId="518A65CE">
      <w:p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</w:p>
    <w:p w14:paraId="2399BDF9">
      <w:pPr>
        <w:rPr>
          <w:rFonts w:ascii="Bookman Old Style" w:hAnsi="Bookman Old Style"/>
          <w:sz w:val="24"/>
        </w:rPr>
      </w:pPr>
      <w:r>
        <w:rPr>
          <w:rFonts w:hint="eastAsia"/>
          <w:sz w:val="24"/>
        </w:rPr>
        <w:t>注：投标人须对上述投标内容中完整的一包或几包进行投标，</w:t>
      </w:r>
      <w:r>
        <w:rPr>
          <w:rFonts w:hint="eastAsia" w:ascii="Bookman Old Style" w:hAnsi="Bookman Old Style"/>
          <w:sz w:val="24"/>
        </w:rPr>
        <w:t>不完整的投标将视为非响应性投标予以拒绝。</w:t>
      </w:r>
    </w:p>
    <w:p w14:paraId="26B0A6D1">
      <w:pPr>
        <w:adjustRightInd w:val="0"/>
        <w:snapToGrid w:val="0"/>
        <w:rPr>
          <w:rFonts w:hint="eastAsia" w:ascii="宋体" w:hAnsi="宋体"/>
          <w:szCs w:val="21"/>
        </w:rPr>
      </w:pPr>
    </w:p>
    <w:p w14:paraId="47948708">
      <w:pPr>
        <w:adjustRightInd w:val="0"/>
        <w:snapToGrid w:val="0"/>
        <w:rPr>
          <w:rFonts w:hint="eastAsia" w:ascii="宋体" w:hAnsi="宋体"/>
          <w:szCs w:val="21"/>
        </w:rPr>
      </w:pPr>
    </w:p>
    <w:p w14:paraId="1F7BD61A">
      <w:pPr>
        <w:adjustRightInd w:val="0"/>
        <w:snapToGrid w:val="0"/>
        <w:rPr>
          <w:rFonts w:hint="eastAsia" w:ascii="宋体" w:hAnsi="宋体"/>
          <w:szCs w:val="21"/>
        </w:rPr>
      </w:pPr>
    </w:p>
    <w:p w14:paraId="06D5C09A">
      <w:pPr>
        <w:adjustRightInd w:val="0"/>
        <w:snapToGrid w:val="0"/>
        <w:rPr>
          <w:rFonts w:hint="eastAsia" w:ascii="宋体" w:hAnsi="宋体"/>
          <w:szCs w:val="21"/>
        </w:rPr>
      </w:pPr>
    </w:p>
    <w:p w14:paraId="2C92C011">
      <w:pPr>
        <w:adjustRightInd w:val="0"/>
        <w:snapToGrid w:val="0"/>
        <w:rPr>
          <w:rFonts w:hint="eastAsia" w:ascii="宋体" w:hAnsi="宋体"/>
          <w:szCs w:val="21"/>
        </w:rPr>
      </w:pPr>
    </w:p>
    <w:p w14:paraId="13E15897">
      <w:pPr>
        <w:adjustRightInd w:val="0"/>
        <w:snapToGrid w:val="0"/>
        <w:rPr>
          <w:rFonts w:hint="eastAsia" w:ascii="宋体" w:hAnsi="宋体"/>
          <w:szCs w:val="21"/>
        </w:rPr>
      </w:pPr>
    </w:p>
    <w:p w14:paraId="696C6F7F">
      <w:pPr>
        <w:adjustRightInd w:val="0"/>
        <w:snapToGrid w:val="0"/>
        <w:rPr>
          <w:rFonts w:hint="eastAsia" w:ascii="宋体" w:hAnsi="宋体"/>
          <w:szCs w:val="21"/>
        </w:rPr>
      </w:pPr>
    </w:p>
    <w:p w14:paraId="0DEC0326">
      <w:pPr>
        <w:adjustRightInd w:val="0"/>
        <w:snapToGrid w:val="0"/>
        <w:rPr>
          <w:rFonts w:hint="eastAsia" w:ascii="宋体" w:hAnsi="宋体"/>
          <w:szCs w:val="21"/>
        </w:rPr>
      </w:pPr>
    </w:p>
    <w:p w14:paraId="7DC69A2E">
      <w:pPr>
        <w:adjustRightInd w:val="0"/>
        <w:snapToGrid w:val="0"/>
        <w:rPr>
          <w:rFonts w:hint="eastAsia" w:ascii="宋体" w:hAnsi="宋体"/>
          <w:szCs w:val="21"/>
        </w:rPr>
      </w:pPr>
    </w:p>
    <w:p w14:paraId="4705E35F">
      <w:pPr>
        <w:adjustRightInd w:val="0"/>
        <w:snapToGrid w:val="0"/>
        <w:rPr>
          <w:rFonts w:hint="eastAsia" w:ascii="宋体" w:hAnsi="宋体"/>
          <w:szCs w:val="21"/>
        </w:rPr>
      </w:pPr>
    </w:p>
    <w:p w14:paraId="18D3C758">
      <w:pPr>
        <w:adjustRightInd w:val="0"/>
        <w:snapToGrid w:val="0"/>
        <w:rPr>
          <w:rFonts w:hint="eastAsia" w:ascii="宋体" w:hAnsi="宋体"/>
          <w:szCs w:val="21"/>
        </w:rPr>
      </w:pPr>
    </w:p>
    <w:p w14:paraId="53265B0E">
      <w:pPr>
        <w:adjustRightInd w:val="0"/>
        <w:snapToGrid w:val="0"/>
        <w:rPr>
          <w:rFonts w:hint="eastAsia" w:ascii="宋体" w:hAnsi="宋体"/>
          <w:szCs w:val="21"/>
        </w:rPr>
      </w:pPr>
    </w:p>
    <w:p w14:paraId="0E2683D8">
      <w:pPr>
        <w:tabs>
          <w:tab w:val="left" w:pos="720"/>
        </w:tabs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  <w:r>
        <w:rPr>
          <w:rFonts w:ascii="宋体" w:hAnsi="宋体"/>
          <w:b/>
          <w:sz w:val="30"/>
          <w:szCs w:val="30"/>
        </w:rPr>
        <w:br w:type="page"/>
      </w:r>
      <w:r>
        <w:rPr>
          <w:rFonts w:hint="eastAsia" w:ascii="宋体" w:hAnsi="宋体"/>
          <w:b/>
          <w:sz w:val="30"/>
          <w:szCs w:val="30"/>
        </w:rPr>
        <w:t>二、总则</w:t>
      </w:r>
    </w:p>
    <w:p w14:paraId="30F3340C">
      <w:pPr>
        <w:spacing w:before="156" w:beforeLines="50" w:after="156" w:afterLines="50" w:line="360" w:lineRule="auto"/>
        <w:ind w:left="601" w:hanging="601"/>
        <w:rPr>
          <w:rFonts w:hint="eastAsia" w:ascii="宋体" w:hAnsi="宋体"/>
          <w:b/>
          <w:sz w:val="28"/>
        </w:rPr>
      </w:pPr>
      <w:r>
        <w:rPr>
          <w:rFonts w:ascii="宋体" w:hAnsi="宋体"/>
          <w:b/>
          <w:sz w:val="28"/>
        </w:rPr>
        <w:t>1</w:t>
      </w:r>
      <w:r>
        <w:rPr>
          <w:rFonts w:hint="eastAsia" w:ascii="宋体" w:hAnsi="宋体"/>
          <w:b/>
          <w:sz w:val="28"/>
        </w:rPr>
        <w:t>、投标要求</w:t>
      </w:r>
    </w:p>
    <w:p w14:paraId="09120CFA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 xml:space="preserve">1.1 </w:t>
      </w:r>
      <w:r>
        <w:rPr>
          <w:rFonts w:hint="eastAsia" w:ascii="宋体" w:hAnsi="宋体"/>
          <w:sz w:val="24"/>
        </w:rPr>
        <w:t xml:space="preserve"> 投标人在准备投标书时，务必在所提供的商品的技术规格文件中，标明型号、商标名称、目录号。</w:t>
      </w:r>
    </w:p>
    <w:p w14:paraId="68A6BF61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1.2  投标人提供的货物须是成熟的全新的产品，其技术规格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 w14:paraId="19503C81">
      <w:pPr>
        <w:spacing w:line="360" w:lineRule="auto"/>
        <w:ind w:left="554" w:hanging="554" w:hangingChars="231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 xml:space="preserve">1.3  </w:t>
      </w:r>
      <w:r>
        <w:rPr>
          <w:rFonts w:hint="eastAsia"/>
          <w:sz w:val="24"/>
        </w:rPr>
        <w:t>投标人提供的</w:t>
      </w:r>
      <w:r>
        <w:rPr>
          <w:rFonts w:hint="eastAsia" w:ascii="宋体"/>
          <w:sz w:val="24"/>
        </w:rPr>
        <w:t>产品</w:t>
      </w:r>
      <w:r>
        <w:rPr>
          <w:rFonts w:hint="eastAsia"/>
          <w:sz w:val="24"/>
        </w:rPr>
        <w:t>样本，必须是“原件”而非复印件，</w:t>
      </w:r>
      <w:r>
        <w:rPr>
          <w:rFonts w:hint="eastAsia" w:ascii="宋体"/>
          <w:sz w:val="24"/>
        </w:rPr>
        <w:t>图表、简图、电路图以及印刷电路板图等都应</w:t>
      </w:r>
      <w:r>
        <w:rPr>
          <w:rFonts w:hint="eastAsia"/>
          <w:sz w:val="24"/>
        </w:rPr>
        <w:t>清晰易读。买方有权</w:t>
      </w:r>
      <w:r>
        <w:rPr>
          <w:rFonts w:hint="eastAsia" w:ascii="宋体"/>
          <w:sz w:val="24"/>
        </w:rPr>
        <w:t>不付任何附加费用</w:t>
      </w:r>
      <w:r>
        <w:rPr>
          <w:rFonts w:hint="eastAsia"/>
          <w:sz w:val="24"/>
        </w:rPr>
        <w:t>复制这些资料</w:t>
      </w:r>
      <w:r>
        <w:rPr>
          <w:rFonts w:hint="eastAsia" w:ascii="宋体"/>
          <w:sz w:val="24"/>
        </w:rPr>
        <w:t>以供参考。</w:t>
      </w:r>
    </w:p>
    <w:p w14:paraId="3FE2018B">
      <w:pPr>
        <w:spacing w:line="360" w:lineRule="auto"/>
        <w:ind w:left="554" w:hanging="554" w:hangingChars="231"/>
        <w:rPr>
          <w:rFonts w:ascii="宋体"/>
          <w:color w:val="FF0000"/>
          <w:sz w:val="24"/>
        </w:rPr>
      </w:pPr>
      <w:r>
        <w:rPr>
          <w:rFonts w:hint="eastAsia" w:ascii="宋体"/>
          <w:sz w:val="24"/>
        </w:rPr>
        <w:t>1.4  投标人的投标产品应符合国家有关部门规定的相应技术、计量、节能、安全和环保法规及标准；如国家有关部门对投标人的投标产品有强制性规定或要求的，则投标人的投标产品必须符合相应规定或要求，投标人须提供相关证明文件的复印件。</w:t>
      </w:r>
    </w:p>
    <w:p w14:paraId="20BB310D">
      <w:pPr>
        <w:spacing w:before="156" w:beforeLines="50" w:after="156" w:afterLines="50" w:line="360" w:lineRule="auto"/>
        <w:ind w:left="601" w:hanging="601"/>
        <w:rPr>
          <w:rFonts w:hint="eastAsia" w:ascii="宋体" w:hAnsi="宋体"/>
          <w:b/>
          <w:sz w:val="28"/>
        </w:rPr>
      </w:pPr>
      <w:r>
        <w:rPr>
          <w:rFonts w:hint="eastAsia" w:ascii="宋体" w:hAnsi="宋体"/>
          <w:b/>
          <w:sz w:val="28"/>
        </w:rPr>
        <w:t>2、评标标准</w:t>
      </w:r>
    </w:p>
    <w:p w14:paraId="0322BD63">
      <w:pPr>
        <w:spacing w:line="360" w:lineRule="auto"/>
        <w:ind w:left="554" w:hanging="554" w:hangingChars="231"/>
        <w:rPr>
          <w:rFonts w:ascii="宋体"/>
          <w:sz w:val="24"/>
        </w:rPr>
      </w:pPr>
      <w:r>
        <w:rPr>
          <w:rFonts w:ascii="宋体" w:hAnsi="宋体"/>
          <w:sz w:val="24"/>
        </w:rPr>
        <w:t>2.</w:t>
      </w:r>
      <w:r>
        <w:rPr>
          <w:rFonts w:hint="eastAsia" w:ascii="宋体" w:hAnsi="宋体"/>
          <w:sz w:val="24"/>
        </w:rPr>
        <w:t xml:space="preserve">1  </w:t>
      </w:r>
      <w:r>
        <w:rPr>
          <w:rFonts w:hint="eastAsia"/>
          <w:sz w:val="24"/>
        </w:rPr>
        <w:t>除招标文件中指定的附件和专用工具外，</w:t>
      </w:r>
      <w:r>
        <w:rPr>
          <w:rFonts w:hint="eastAsia" w:ascii="宋体"/>
          <w:sz w:val="24"/>
        </w:rPr>
        <w:t>投标人应提供仪器设备的正常运行和常规保养所需的全套标准附件、专用工具</w:t>
      </w:r>
      <w:r>
        <w:rPr>
          <w:rFonts w:hint="eastAsia"/>
          <w:sz w:val="24"/>
        </w:rPr>
        <w:t>和消耗品</w:t>
      </w:r>
      <w:r>
        <w:rPr>
          <w:rFonts w:hint="eastAsia" w:ascii="宋体"/>
          <w:sz w:val="24"/>
        </w:rPr>
        <w:t>。投标人在投标书中需列出这些附件和工具的数量和单价的清单，这些附件和工具的报价的总值需计入投标价中。</w:t>
      </w:r>
    </w:p>
    <w:p w14:paraId="64C3A7D6">
      <w:pPr>
        <w:spacing w:line="360" w:lineRule="auto"/>
        <w:ind w:left="554" w:hanging="554" w:hangingChars="231"/>
        <w:rPr>
          <w:sz w:val="24"/>
        </w:rPr>
      </w:pPr>
      <w:r>
        <w:rPr>
          <w:rFonts w:hint="eastAsia" w:ascii="宋体" w:hAnsi="宋体"/>
          <w:sz w:val="24"/>
        </w:rPr>
        <w:t xml:space="preserve">2.2  </w:t>
      </w:r>
      <w:r>
        <w:rPr>
          <w:rFonts w:hint="eastAsia"/>
          <w:sz w:val="24"/>
        </w:rPr>
        <w:t>对于标书</w:t>
      </w:r>
      <w:r>
        <w:rPr>
          <w:rFonts w:hint="eastAsia" w:ascii="宋体"/>
          <w:sz w:val="24"/>
        </w:rPr>
        <w:t>技术规范中已列</w:t>
      </w:r>
      <w:r>
        <w:rPr>
          <w:rFonts w:hint="eastAsia"/>
          <w:sz w:val="24"/>
        </w:rPr>
        <w:t>出的作为查询选件的附件、零配件、专用工具和消耗品，投标书中</w:t>
      </w:r>
      <w:r>
        <w:rPr>
          <w:rFonts w:hint="eastAsia" w:ascii="宋体"/>
          <w:sz w:val="24"/>
        </w:rPr>
        <w:t>应列明其数量、单价、总价供买方参考。投标人也可推荐买方没有要求的附件或专用工具作为选件，并列明其数量、单价、总价供买方参考。选件价格不计入评标价中。</w:t>
      </w:r>
    </w:p>
    <w:p w14:paraId="57AB238D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2.3  为便于用户进行接收仪器的准备工作，卖方应在合同生效后</w:t>
      </w:r>
      <w:r>
        <w:rPr>
          <w:rFonts w:hint="eastAsia" w:ascii="宋体" w:hAnsi="宋体"/>
          <w:b/>
          <w:sz w:val="24"/>
        </w:rPr>
        <w:t>60</w:t>
      </w:r>
      <w:r>
        <w:rPr>
          <w:rFonts w:hint="eastAsia" w:ascii="宋体" w:hAnsi="宋体"/>
          <w:sz w:val="24"/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 w14:paraId="3E93EFCA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</w:t>
      </w:r>
      <w:r>
        <w:rPr>
          <w:rFonts w:ascii="宋体" w:hAnsi="宋体"/>
          <w:sz w:val="24"/>
        </w:rPr>
        <w:t>.</w:t>
      </w:r>
      <w:r>
        <w:rPr>
          <w:rFonts w:hint="eastAsia" w:ascii="宋体" w:hAnsi="宋体"/>
          <w:sz w:val="24"/>
        </w:rPr>
        <w:t>4</w:t>
      </w:r>
      <w:r>
        <w:rPr>
          <w:rFonts w:ascii="宋体" w:hAnsi="宋体"/>
          <w:sz w:val="24"/>
        </w:rPr>
        <w:t xml:space="preserve"> </w:t>
      </w:r>
      <w:r>
        <w:rPr>
          <w:rFonts w:hint="eastAsia" w:ascii="宋体" w:hAnsi="宋体"/>
          <w:sz w:val="24"/>
        </w:rPr>
        <w:t xml:space="preserve"> 关于设备的安装调试，如果有必要的安装准备条件，卖方应在合同生效后一个月内向买方提出详细的要求或计划。安装调试的费用应计入投标价中，并应单独列出，供评标使用。</w:t>
      </w:r>
    </w:p>
    <w:p w14:paraId="03D503F6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>2.</w:t>
      </w:r>
      <w:r>
        <w:rPr>
          <w:rFonts w:hint="eastAsia" w:ascii="宋体" w:hAnsi="宋体"/>
          <w:sz w:val="24"/>
        </w:rPr>
        <w:t>5  制造厂家提供的培训指的是涉及货物的基本原理、操作使用和保养维修等有关内容的培训。培训教员的培训费、旅费、食宿费等费用和培训场地费及培训资料费均应由卖方支付。</w:t>
      </w:r>
    </w:p>
    <w:p w14:paraId="121C2FD8">
      <w:pPr>
        <w:spacing w:before="156" w:beforeLines="50" w:after="156" w:afterLines="50" w:line="360" w:lineRule="auto"/>
        <w:ind w:left="601" w:hanging="601"/>
        <w:rPr>
          <w:rFonts w:hint="eastAsia" w:ascii="宋体" w:hAnsi="宋体"/>
          <w:b/>
          <w:sz w:val="28"/>
        </w:rPr>
      </w:pPr>
      <w:r>
        <w:rPr>
          <w:rFonts w:hint="eastAsia" w:ascii="宋体" w:hAnsi="宋体"/>
          <w:b/>
          <w:sz w:val="28"/>
        </w:rPr>
        <w:t>3、工作条件</w:t>
      </w:r>
    </w:p>
    <w:p w14:paraId="79A7135B">
      <w:pPr>
        <w:spacing w:after="312" w:afterLines="100"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除非在技术规格中另有说明，所有仪器、设备和系统都应符合下列要求：</w:t>
      </w:r>
      <w:r>
        <w:rPr>
          <w:rFonts w:ascii="宋体" w:hAnsi="宋体"/>
          <w:sz w:val="24"/>
        </w:rPr>
        <w:t xml:space="preserve"> </w:t>
      </w:r>
    </w:p>
    <w:p w14:paraId="0FE656AD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3.1  适于在气温为摄氏</w:t>
      </w:r>
      <w:r>
        <w:rPr>
          <w:rFonts w:ascii="宋体" w:hAnsi="宋体"/>
          <w:b/>
          <w:sz w:val="24"/>
        </w:rPr>
        <w:t>-40</w:t>
      </w:r>
      <w:r>
        <w:rPr>
          <w:rFonts w:hint="eastAsia" w:ascii="宋体" w:hAnsi="宋体"/>
          <w:b/>
          <w:sz w:val="24"/>
        </w:rPr>
        <w:t>℃～＋</w:t>
      </w:r>
      <w:r>
        <w:rPr>
          <w:rFonts w:ascii="宋体" w:hAnsi="宋体"/>
          <w:b/>
          <w:sz w:val="24"/>
        </w:rPr>
        <w:t>50</w:t>
      </w:r>
      <w:r>
        <w:rPr>
          <w:rFonts w:hint="eastAsia" w:ascii="宋体" w:hAnsi="宋体"/>
          <w:b/>
          <w:sz w:val="24"/>
        </w:rPr>
        <w:t>℃</w:t>
      </w:r>
      <w:r>
        <w:rPr>
          <w:rFonts w:hint="eastAsia" w:ascii="宋体" w:hAnsi="宋体"/>
          <w:sz w:val="24"/>
        </w:rPr>
        <w:t>和相对湿度为</w:t>
      </w:r>
      <w:r>
        <w:rPr>
          <w:rFonts w:ascii="宋体" w:hAnsi="宋体"/>
          <w:b/>
          <w:sz w:val="24"/>
        </w:rPr>
        <w:t>90</w:t>
      </w:r>
      <w:r>
        <w:rPr>
          <w:rFonts w:hint="eastAsia" w:ascii="宋体" w:hAnsi="宋体"/>
          <w:b/>
          <w:sz w:val="24"/>
        </w:rPr>
        <w:t>％</w:t>
      </w:r>
      <w:r>
        <w:rPr>
          <w:rFonts w:hint="eastAsia" w:ascii="宋体" w:hAnsi="宋体"/>
          <w:sz w:val="24"/>
        </w:rPr>
        <w:t>的环境条件下运输和贮存。</w:t>
      </w:r>
    </w:p>
    <w:p w14:paraId="58D560AA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3.2  适于在电源</w:t>
      </w:r>
      <w:r>
        <w:rPr>
          <w:rFonts w:ascii="宋体" w:hAnsi="宋体"/>
          <w:b/>
          <w:sz w:val="24"/>
        </w:rPr>
        <w:t>220V</w:t>
      </w:r>
      <w:r>
        <w:rPr>
          <w:rFonts w:hint="eastAsia" w:ascii="宋体" w:hAnsi="宋体"/>
          <w:b/>
          <w:sz w:val="24"/>
        </w:rPr>
        <w:t>（</w:t>
      </w:r>
      <w:r>
        <w:rPr>
          <w:rFonts w:ascii="宋体" w:hAnsi="宋体"/>
          <w:b/>
          <w:sz w:val="24"/>
        </w:rPr>
        <w:sym w:font="Symbol" w:char="F0B1"/>
      </w:r>
      <w:r>
        <w:rPr>
          <w:rFonts w:ascii="宋体" w:hAnsi="宋体"/>
          <w:b/>
          <w:sz w:val="24"/>
        </w:rPr>
        <w:t>10</w:t>
      </w:r>
      <w:r>
        <w:rPr>
          <w:rFonts w:hint="eastAsia" w:ascii="宋体" w:hAnsi="宋体"/>
          <w:b/>
          <w:sz w:val="24"/>
        </w:rPr>
        <w:t>％）</w:t>
      </w:r>
      <w:r>
        <w:rPr>
          <w:rFonts w:ascii="宋体" w:hAnsi="宋体"/>
          <w:b/>
          <w:sz w:val="24"/>
        </w:rPr>
        <w:t>/50Hz</w:t>
      </w:r>
      <w:r>
        <w:rPr>
          <w:rFonts w:hint="eastAsia" w:ascii="宋体" w:hAnsi="宋体"/>
          <w:sz w:val="24"/>
        </w:rPr>
        <w:t>、气温摄氏</w:t>
      </w:r>
      <w:r>
        <w:rPr>
          <w:rFonts w:hint="eastAsia" w:ascii="宋体" w:hAnsi="宋体"/>
          <w:b/>
          <w:sz w:val="24"/>
        </w:rPr>
        <w:t>＋1</w:t>
      </w:r>
      <w:r>
        <w:rPr>
          <w:rFonts w:ascii="宋体" w:hAnsi="宋体"/>
          <w:b/>
          <w:sz w:val="24"/>
        </w:rPr>
        <w:t>5</w:t>
      </w:r>
      <w:r>
        <w:rPr>
          <w:rFonts w:hint="eastAsia" w:ascii="宋体" w:hAnsi="宋体"/>
          <w:b/>
          <w:sz w:val="24"/>
        </w:rPr>
        <w:t>℃～＋3</w:t>
      </w:r>
      <w:r>
        <w:rPr>
          <w:rFonts w:ascii="宋体" w:hAnsi="宋体"/>
          <w:b/>
          <w:sz w:val="24"/>
        </w:rPr>
        <w:t>0</w:t>
      </w:r>
      <w:r>
        <w:rPr>
          <w:rFonts w:hint="eastAsia" w:ascii="宋体" w:hAnsi="宋体"/>
          <w:b/>
          <w:sz w:val="24"/>
        </w:rPr>
        <w:t>℃</w:t>
      </w:r>
      <w:r>
        <w:rPr>
          <w:rFonts w:hint="eastAsia" w:ascii="宋体" w:hAnsi="宋体"/>
          <w:sz w:val="24"/>
        </w:rPr>
        <w:t>和相对湿度小于</w:t>
      </w:r>
      <w:r>
        <w:rPr>
          <w:rFonts w:ascii="宋体" w:hAnsi="宋体"/>
          <w:b/>
          <w:sz w:val="24"/>
        </w:rPr>
        <w:t>8</w:t>
      </w:r>
      <w:r>
        <w:rPr>
          <w:rFonts w:hint="eastAsia" w:ascii="宋体" w:hAnsi="宋体"/>
          <w:b/>
          <w:sz w:val="24"/>
        </w:rPr>
        <w:t>0％</w:t>
      </w:r>
      <w:r>
        <w:rPr>
          <w:rFonts w:hint="eastAsia" w:ascii="宋体" w:hAnsi="宋体"/>
          <w:sz w:val="24"/>
        </w:rPr>
        <w:t>的环境条件下运行。</w:t>
      </w:r>
      <w:r>
        <w:rPr>
          <w:rFonts w:hint="eastAsia" w:ascii="宋体" w:hAnsi="宋体"/>
          <w:b/>
          <w:sz w:val="24"/>
        </w:rPr>
        <w:t>能够连续正常工作。</w:t>
      </w:r>
    </w:p>
    <w:p w14:paraId="37C854E4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3.3  配置符合中国有关标准要求的插头，如果没有这样的插头，则需</w:t>
      </w:r>
      <w:r>
        <w:rPr>
          <w:rFonts w:hint="eastAsia" w:ascii="宋体"/>
          <w:sz w:val="24"/>
        </w:rPr>
        <w:t>提供适当的转</w:t>
      </w:r>
      <w:r>
        <w:rPr>
          <w:rFonts w:hint="eastAsia" w:ascii="宋体" w:hAnsi="宋体"/>
          <w:sz w:val="24"/>
        </w:rPr>
        <w:t>换插座。</w:t>
      </w:r>
    </w:p>
    <w:p w14:paraId="0909ACCE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3.4  如产品达不到上述要求，投标人应注明其偏差。如仪器设备需要特殊工作条件（如水、电源、磁场强度、温度、湿度、动强度等）投标人应在投标书中加以说明。</w:t>
      </w:r>
    </w:p>
    <w:p w14:paraId="6346AFAF">
      <w:pPr>
        <w:rPr>
          <w:rFonts w:eastAsia="黑体"/>
          <w:b/>
          <w:bCs/>
          <w:kern w:val="44"/>
          <w:sz w:val="24"/>
        </w:rPr>
      </w:pPr>
    </w:p>
    <w:p w14:paraId="5A6E040C">
      <w:pPr>
        <w:spacing w:before="156" w:beforeLines="50" w:after="156" w:afterLines="50" w:line="360" w:lineRule="auto"/>
        <w:ind w:left="601" w:hanging="601"/>
        <w:rPr>
          <w:rFonts w:hint="eastAsia" w:ascii="宋体" w:hAnsi="宋体"/>
          <w:b/>
          <w:sz w:val="28"/>
        </w:rPr>
      </w:pPr>
      <w:r>
        <w:rPr>
          <w:rFonts w:hint="eastAsia" w:ascii="宋体" w:hAnsi="宋体"/>
          <w:b/>
          <w:sz w:val="28"/>
        </w:rPr>
        <w:t>4、验收标准</w:t>
      </w:r>
    </w:p>
    <w:p w14:paraId="18545573">
      <w:pPr>
        <w:spacing w:after="312" w:afterLines="100"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除非在技术规格中另有说明，所有仪器、设备和系统按下列要求进行验收：</w:t>
      </w:r>
      <w:r>
        <w:rPr>
          <w:rFonts w:ascii="宋体" w:hAnsi="宋体"/>
          <w:sz w:val="24"/>
        </w:rPr>
        <w:t xml:space="preserve"> </w:t>
      </w:r>
    </w:p>
    <w:p w14:paraId="517F4E0C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4.1  仪器设备运抵安装现场后，买方将与卖方共同开箱验收</w:t>
      </w:r>
      <w:r>
        <w:rPr>
          <w:rFonts w:ascii="宋体" w:hAnsi="宋体"/>
          <w:sz w:val="24"/>
        </w:rPr>
        <w:t xml:space="preserve">, </w:t>
      </w:r>
      <w:r>
        <w:rPr>
          <w:rFonts w:hint="eastAsia" w:ascii="宋体" w:hAnsi="宋体"/>
          <w:sz w:val="24"/>
        </w:rPr>
        <w:t>如卖方届时不派人来</w:t>
      </w:r>
      <w:r>
        <w:rPr>
          <w:rFonts w:ascii="宋体" w:hAnsi="宋体"/>
          <w:sz w:val="24"/>
        </w:rPr>
        <w:t xml:space="preserve">, </w:t>
      </w:r>
      <w:r>
        <w:rPr>
          <w:rFonts w:hint="eastAsia" w:ascii="宋体" w:hAnsi="宋体"/>
          <w:sz w:val="24"/>
        </w:rPr>
        <w:t>则验收结果应以买方的验收报告为最终验收结果。验收时发现短缺、破损</w:t>
      </w:r>
      <w:r>
        <w:rPr>
          <w:rFonts w:ascii="宋体" w:hAnsi="宋体"/>
          <w:sz w:val="24"/>
        </w:rPr>
        <w:t xml:space="preserve">, </w:t>
      </w:r>
      <w:r>
        <w:rPr>
          <w:rFonts w:hint="eastAsia" w:ascii="宋体" w:hAnsi="宋体"/>
          <w:sz w:val="24"/>
        </w:rPr>
        <w:t>买方有权要求卖方负责更换。</w:t>
      </w:r>
    </w:p>
    <w:p w14:paraId="417F1B34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4.2  </w:t>
      </w:r>
      <w:r>
        <w:rPr>
          <w:rFonts w:hint="eastAsia"/>
          <w:sz w:val="24"/>
        </w:rPr>
        <w:t>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 w14:paraId="0281515A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4.3  </w:t>
      </w:r>
      <w:r>
        <w:rPr>
          <w:rFonts w:ascii="宋体" w:hAnsi="宋体"/>
          <w:sz w:val="24"/>
        </w:rPr>
        <w:t>验收由采购人、中标人及相关人员依国家有关标准、合同及有关附件要求进行，验收完毕由采购人及中标人在验收报告上签名。</w:t>
      </w:r>
    </w:p>
    <w:p w14:paraId="5300F7E7">
      <w:pPr>
        <w:pStyle w:val="2"/>
        <w:spacing w:line="360" w:lineRule="auto"/>
        <w:ind w:left="410" w:hanging="410" w:hangingChars="170"/>
        <w:rPr>
          <w:rFonts w:hint="eastAsia" w:hAnsi="宋体"/>
          <w:b/>
          <w:sz w:val="24"/>
          <w:szCs w:val="24"/>
        </w:rPr>
      </w:pPr>
    </w:p>
    <w:p w14:paraId="415B9D6A">
      <w:pPr>
        <w:pStyle w:val="2"/>
        <w:spacing w:line="360" w:lineRule="auto"/>
        <w:ind w:left="410" w:hanging="410" w:hangingChars="170"/>
        <w:rPr>
          <w:rFonts w:hint="eastAsia" w:hAnsi="宋体"/>
          <w:b/>
          <w:sz w:val="24"/>
          <w:szCs w:val="24"/>
        </w:rPr>
      </w:pPr>
      <w:r>
        <w:rPr>
          <w:rFonts w:hint="eastAsia" w:hAnsi="宋体"/>
          <w:b/>
          <w:sz w:val="24"/>
          <w:szCs w:val="24"/>
        </w:rPr>
        <w:t>5、本技术规格书中标注“*”号的为实质性要求，不满足其投标将被拒绝。</w:t>
      </w:r>
    </w:p>
    <w:p w14:paraId="0A081B9F">
      <w:pPr>
        <w:pStyle w:val="2"/>
        <w:spacing w:line="360" w:lineRule="auto"/>
        <w:rPr>
          <w:rFonts w:hint="eastAsia" w:hAnsi="宋体"/>
          <w:b/>
          <w:sz w:val="24"/>
          <w:szCs w:val="24"/>
        </w:rPr>
      </w:pPr>
      <w:r>
        <w:rPr>
          <w:rFonts w:hint="eastAsia" w:hAnsi="宋体"/>
          <w:b/>
          <w:sz w:val="24"/>
          <w:szCs w:val="24"/>
        </w:rPr>
        <w:t>6、如在具体技术规格中有本总则不一致之处，以具体技术规格中的要求为准。</w:t>
      </w:r>
    </w:p>
    <w:p w14:paraId="22748AF4">
      <w:pPr>
        <w:spacing w:after="156" w:afterLines="50"/>
        <w:ind w:left="601" w:hanging="601"/>
        <w:rPr>
          <w:rFonts w:hint="eastAsia" w:ascii="宋体" w:hAnsi="宋体"/>
          <w:b/>
          <w:sz w:val="28"/>
        </w:rPr>
      </w:pPr>
      <w:r>
        <w:rPr>
          <w:rFonts w:hint="eastAsia" w:ascii="宋体" w:hAnsi="宋体"/>
          <w:b/>
          <w:sz w:val="28"/>
        </w:rPr>
        <w:t>三、具体技术规格</w:t>
      </w:r>
    </w:p>
    <w:p w14:paraId="504311DB">
      <w:pPr>
        <w:rPr>
          <w:sz w:val="24"/>
        </w:rPr>
      </w:pPr>
    </w:p>
    <w:p w14:paraId="0AF11B1B">
      <w:pPr>
        <w:jc w:val="center"/>
        <w:rPr>
          <w:b/>
          <w:sz w:val="24"/>
        </w:rPr>
      </w:pPr>
      <w:r>
        <w:rPr>
          <w:rFonts w:hint="eastAsia"/>
          <w:b/>
          <w:sz w:val="24"/>
        </w:rPr>
        <w:t>第</w:t>
      </w:r>
      <w:r>
        <w:rPr>
          <w:b/>
          <w:sz w:val="24"/>
        </w:rPr>
        <w:t>1</w:t>
      </w:r>
      <w:r>
        <w:rPr>
          <w:rFonts w:hint="eastAsia"/>
          <w:b/>
          <w:sz w:val="24"/>
        </w:rPr>
        <w:t>包 化学吸附仪</w:t>
      </w:r>
    </w:p>
    <w:p w14:paraId="146F4691">
      <w:pPr>
        <w:rPr>
          <w:b/>
          <w:sz w:val="24"/>
        </w:rPr>
      </w:pPr>
    </w:p>
    <w:p w14:paraId="757A8FDB">
      <w:pPr>
        <w:rPr>
          <w:b/>
          <w:sz w:val="24"/>
        </w:rPr>
      </w:pPr>
    </w:p>
    <w:p w14:paraId="2E17BB98">
      <w:pPr>
        <w:numPr>
          <w:ilvl w:val="0"/>
          <w:numId w:val="1"/>
        </w:numPr>
        <w:rPr>
          <w:b/>
          <w:sz w:val="24"/>
        </w:rPr>
      </w:pPr>
      <w:r>
        <w:rPr>
          <w:rFonts w:hint="eastAsia"/>
          <w:b/>
          <w:sz w:val="24"/>
        </w:rPr>
        <w:t>技术要求：</w:t>
      </w:r>
    </w:p>
    <w:p w14:paraId="5985F57F">
      <w:pPr>
        <w:rPr>
          <w:b/>
          <w:sz w:val="24"/>
        </w:rPr>
      </w:pPr>
    </w:p>
    <w:p w14:paraId="0958C0D3">
      <w:pPr>
        <w:numPr>
          <w:ilvl w:val="0"/>
          <w:numId w:val="2"/>
        </w:num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工作条件：</w:t>
      </w:r>
    </w:p>
    <w:p w14:paraId="420A3EFD">
      <w:pPr>
        <w:snapToGrid w:val="0"/>
        <w:spacing w:line="360" w:lineRule="auto"/>
        <w:rPr>
          <w:sz w:val="24"/>
        </w:rPr>
      </w:pPr>
      <w:r>
        <w:rPr>
          <w:rFonts w:hint="eastAsia"/>
          <w:sz w:val="24"/>
        </w:rPr>
        <w:t>1</w:t>
      </w:r>
      <w:r>
        <w:rPr>
          <w:sz w:val="24"/>
        </w:rPr>
        <w:t>.1</w:t>
      </w:r>
      <w:r>
        <w:rPr>
          <w:rFonts w:hint="eastAsia"/>
          <w:sz w:val="24"/>
        </w:rPr>
        <w:t xml:space="preserve"> 见总则第1条。</w:t>
      </w:r>
    </w:p>
    <w:p w14:paraId="6665F76B">
      <w:pPr>
        <w:tabs>
          <w:tab w:val="left" w:pos="0"/>
        </w:tabs>
        <w:spacing w:line="360" w:lineRule="auto"/>
        <w:rPr>
          <w:sz w:val="24"/>
        </w:rPr>
      </w:pPr>
    </w:p>
    <w:p w14:paraId="658DBFEB">
      <w:pPr>
        <w:numPr>
          <w:ilvl w:val="0"/>
          <w:numId w:val="2"/>
        </w:num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设备用途：</w:t>
      </w:r>
    </w:p>
    <w:p w14:paraId="31164845">
      <w:pPr>
        <w:spacing w:line="360" w:lineRule="auto"/>
        <w:ind w:firstLine="480" w:firstLineChars="200"/>
        <w:rPr>
          <w:bCs/>
          <w:sz w:val="24"/>
        </w:rPr>
      </w:pPr>
      <w:r>
        <w:rPr>
          <w:rFonts w:hint="eastAsia"/>
          <w:bCs/>
          <w:sz w:val="24"/>
        </w:rPr>
        <w:t>该仪器用于催化剂吸附特性（化学反应）的分析研究，全自动执行程序升温还原 (TPR)、程序升温氧化 (TPO)、程序升温脱附 (TPD)、程序升温反应 (TPx)、脉冲化学滴定、脉冲校准、动态 BET测试（单点和多点）分析</w:t>
      </w:r>
    </w:p>
    <w:p w14:paraId="57E531B2">
      <w:pPr>
        <w:spacing w:line="360" w:lineRule="auto"/>
        <w:ind w:firstLine="480" w:firstLineChars="200"/>
        <w:rPr>
          <w:bCs/>
          <w:sz w:val="24"/>
        </w:rPr>
      </w:pPr>
    </w:p>
    <w:p w14:paraId="184364D8">
      <w:pPr>
        <w:numPr>
          <w:ilvl w:val="0"/>
          <w:numId w:val="2"/>
        </w:num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技术规格：</w:t>
      </w:r>
    </w:p>
    <w:p w14:paraId="54FD7F53">
      <w:pPr>
        <w:snapToGrid w:val="0"/>
        <w:spacing w:line="360" w:lineRule="auto"/>
        <w:rPr>
          <w:rFonts w:hint="eastAsia"/>
          <w:b/>
          <w:bCs/>
          <w:sz w:val="24"/>
        </w:rPr>
      </w:pPr>
      <w:r>
        <w:rPr>
          <w:rFonts w:hint="eastAsia"/>
          <w:b/>
          <w:bCs/>
          <w:sz w:val="24"/>
        </w:rPr>
        <w:t xml:space="preserve">3.1、化学吸附仪 </w:t>
      </w:r>
    </w:p>
    <w:p w14:paraId="3E13D53D">
      <w:pPr>
        <w:snapToGrid w:val="0"/>
        <w:spacing w:line="360" w:lineRule="auto"/>
        <w:rPr>
          <w:sz w:val="24"/>
        </w:rPr>
      </w:pPr>
      <w:r>
        <w:rPr>
          <w:rFonts w:hint="eastAsia"/>
          <w:sz w:val="24"/>
        </w:rPr>
        <w:t>3.1.1进气系统</w:t>
      </w:r>
    </w:p>
    <w:p w14:paraId="2D0070B1">
      <w:pPr>
        <w:numPr>
          <w:ilvl w:val="0"/>
          <w:numId w:val="3"/>
        </w:numPr>
        <w:snapToGrid w:val="0"/>
        <w:spacing w:line="360" w:lineRule="auto"/>
        <w:ind w:left="0" w:firstLine="420" w:firstLineChars="200"/>
        <w:rPr>
          <w:sz w:val="24"/>
        </w:rPr>
      </w:pPr>
      <w:r>
        <w:rPr>
          <w:rFonts w:hint="eastAsia" w:ascii="宋体" w:hAnsi="宋体" w:cs="宋体"/>
          <w:bCs/>
          <w:color w:val="000000"/>
        </w:rPr>
        <w:t>＃</w:t>
      </w:r>
      <w:r>
        <w:rPr>
          <w:rFonts w:hint="eastAsia"/>
          <w:sz w:val="24"/>
        </w:rPr>
        <w:t xml:space="preserve">至少具备10路气体进气口，分别是4路载气，4路处理气，2路混气； </w:t>
      </w:r>
    </w:p>
    <w:p w14:paraId="2CAF5C9B">
      <w:pPr>
        <w:numPr>
          <w:ilvl w:val="0"/>
          <w:numId w:val="3"/>
        </w:numPr>
        <w:snapToGrid w:val="0"/>
        <w:spacing w:line="360" w:lineRule="auto"/>
        <w:ind w:left="0" w:firstLine="420" w:firstLineChars="200"/>
        <w:rPr>
          <w:sz w:val="24"/>
        </w:rPr>
      </w:pPr>
      <w:r>
        <w:rPr>
          <w:rFonts w:hint="eastAsia" w:ascii="宋体" w:hAnsi="宋体" w:cs="宋体"/>
          <w:bCs/>
          <w:color w:val="000000"/>
        </w:rPr>
        <w:t>＃</w:t>
      </w:r>
      <w:r>
        <w:rPr>
          <w:rFonts w:hint="eastAsia"/>
          <w:sz w:val="24"/>
        </w:rPr>
        <w:t>仪器内部管线采用空气浴加热，一体式整体箱体加热保温设计，最高温度150℃，确保仪器不锈钢管线、阀门和TCD检测器无“冷点”；</w:t>
      </w:r>
    </w:p>
    <w:p w14:paraId="10417241">
      <w:pPr>
        <w:numPr>
          <w:ilvl w:val="0"/>
          <w:numId w:val="3"/>
        </w:numPr>
        <w:snapToGrid w:val="0"/>
        <w:spacing w:line="360" w:lineRule="auto"/>
        <w:ind w:left="0" w:firstLine="420" w:firstLineChars="200"/>
        <w:rPr>
          <w:sz w:val="24"/>
        </w:rPr>
      </w:pPr>
      <w:r>
        <w:rPr>
          <w:rFonts w:hint="eastAsia" w:ascii="宋体" w:hAnsi="宋体" w:cs="宋体"/>
          <w:bCs/>
          <w:color w:val="000000"/>
        </w:rPr>
        <w:t>＃</w:t>
      </w:r>
      <w:r>
        <w:rPr>
          <w:rFonts w:hint="eastAsia"/>
          <w:sz w:val="24"/>
        </w:rPr>
        <w:t>配备3个原装进口高精度质量流量计MFCs控制流量，流量范围2-100SCCM，精度+/- 1% FS.;</w:t>
      </w:r>
    </w:p>
    <w:p w14:paraId="169502A0">
      <w:pPr>
        <w:numPr>
          <w:ilvl w:val="0"/>
          <w:numId w:val="3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*仪器可选在线混气功能，内置混气罐体积75ml，可根据实验要求配制不同浓度气体;</w:t>
      </w:r>
    </w:p>
    <w:p w14:paraId="5791DCDE">
      <w:pPr>
        <w:numPr>
          <w:ilvl w:val="0"/>
          <w:numId w:val="3"/>
        </w:numPr>
        <w:snapToGrid w:val="0"/>
        <w:spacing w:line="360" w:lineRule="auto"/>
        <w:ind w:left="0" w:firstLine="420" w:firstLineChars="200"/>
        <w:rPr>
          <w:sz w:val="24"/>
        </w:rPr>
      </w:pPr>
      <w:r>
        <w:rPr>
          <w:rFonts w:hint="eastAsia" w:ascii="宋体" w:hAnsi="宋体" w:cs="宋体"/>
          <w:bCs/>
          <w:color w:val="000000"/>
        </w:rPr>
        <w:t>＃</w:t>
      </w:r>
      <w:r>
        <w:rPr>
          <w:rFonts w:hint="eastAsia"/>
          <w:sz w:val="24"/>
        </w:rPr>
        <w:t>1/16 英寸的316SS不锈钢管路，仪器必须配备不少于3个自动气动六通阀，电脑自动控制气路转换，阀门区域可在不小于150℃范围具有保温与控温功能；</w:t>
      </w:r>
    </w:p>
    <w:p w14:paraId="38441FB4">
      <w:pPr>
        <w:numPr>
          <w:ilvl w:val="0"/>
          <w:numId w:val="3"/>
        </w:numPr>
        <w:snapToGrid w:val="0"/>
        <w:spacing w:line="360" w:lineRule="auto"/>
        <w:ind w:left="0" w:firstLine="420" w:firstLineChars="200"/>
        <w:rPr>
          <w:sz w:val="24"/>
        </w:rPr>
      </w:pPr>
      <w:r>
        <w:rPr>
          <w:rFonts w:hint="eastAsia" w:ascii="宋体" w:hAnsi="宋体" w:cs="宋体"/>
          <w:bCs/>
          <w:color w:val="000000"/>
        </w:rPr>
        <w:t>＃</w:t>
      </w:r>
      <w:r>
        <w:rPr>
          <w:rFonts w:hint="eastAsia"/>
          <w:sz w:val="24"/>
        </w:rPr>
        <w:t>配置脉冲LOOP环，至少要有13种LOOP环可供用户选择配置，微升级的有5 uL, 10 uL, 15 uL, 20 uL, 23 uL, 50 uL, 100 uL, 250 uL, 500uL。毫升级的有1mL, 2 mL, 5 mL,和10mL；</w:t>
      </w:r>
    </w:p>
    <w:p w14:paraId="48D27D07">
      <w:pPr>
        <w:numPr>
          <w:ilvl w:val="0"/>
          <w:numId w:val="3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管路密封：采用Kalrez全氟醚防腐蚀橡胶密封圈，长期耐温可在250ºC至320ºC；</w:t>
      </w:r>
    </w:p>
    <w:p w14:paraId="7BA6C877">
      <w:pPr>
        <w:numPr>
          <w:ilvl w:val="0"/>
          <w:numId w:val="3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各气路均装配气体单向阀，确保气体不会发生回流；</w:t>
      </w:r>
    </w:p>
    <w:p w14:paraId="66B027B5">
      <w:pPr>
        <w:numPr>
          <w:ilvl w:val="0"/>
          <w:numId w:val="3"/>
        </w:numPr>
        <w:snapToGrid w:val="0"/>
        <w:spacing w:line="360" w:lineRule="auto"/>
        <w:ind w:left="0" w:firstLine="420" w:firstLineChars="200"/>
        <w:rPr>
          <w:sz w:val="24"/>
        </w:rPr>
      </w:pPr>
      <w:r>
        <w:rPr>
          <w:rFonts w:hint="eastAsia" w:ascii="宋体" w:hAnsi="宋体" w:cs="宋体"/>
          <w:bCs/>
          <w:color w:val="000000"/>
        </w:rPr>
        <w:t>＃</w:t>
      </w:r>
      <w:r>
        <w:rPr>
          <w:rFonts w:hint="eastAsia"/>
          <w:sz w:val="24"/>
        </w:rPr>
        <w:t>蒸汽吸附系统，蒸汽发生饱和器的温度由软件控制，最高温度75 ºC，可进行饱和浓度蒸汽定量脉冲吸附，也可进行饱和浓度蒸汽连续吸附从而进行气固液三相反应；</w:t>
      </w:r>
    </w:p>
    <w:p w14:paraId="0EF478C9">
      <w:pPr>
        <w:numPr>
          <w:ilvl w:val="0"/>
          <w:numId w:val="3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*空站：仪器内置一个与样品管等体积的空站，用于系统校正</w:t>
      </w:r>
    </w:p>
    <w:p w14:paraId="5CC98429">
      <w:pPr>
        <w:snapToGrid w:val="0"/>
        <w:spacing w:line="360" w:lineRule="auto"/>
        <w:rPr>
          <w:sz w:val="24"/>
        </w:rPr>
      </w:pPr>
      <w:r>
        <w:rPr>
          <w:rFonts w:hint="eastAsia"/>
          <w:sz w:val="24"/>
        </w:rPr>
        <w:t>3.1.2样品制备及反应系统</w:t>
      </w:r>
    </w:p>
    <w:p w14:paraId="72013F6E">
      <w:pPr>
        <w:numPr>
          <w:ilvl w:val="0"/>
          <w:numId w:val="4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*配置程序升温高温炉，八角式贝壳开合炉体，配合升降滑轨，反应床可轻松装卸；</w:t>
      </w:r>
    </w:p>
    <w:p w14:paraId="14E887B1">
      <w:pPr>
        <w:numPr>
          <w:ilvl w:val="0"/>
          <w:numId w:val="4"/>
        </w:numPr>
        <w:snapToGrid w:val="0"/>
        <w:spacing w:line="360" w:lineRule="auto"/>
        <w:ind w:left="0" w:firstLine="420" w:firstLineChars="200"/>
        <w:rPr>
          <w:sz w:val="24"/>
        </w:rPr>
      </w:pPr>
      <w:r>
        <w:rPr>
          <w:rFonts w:hint="eastAsia" w:ascii="宋体" w:hAnsi="宋体" w:cs="宋体"/>
          <w:bCs/>
          <w:color w:val="000000"/>
        </w:rPr>
        <w:t>＃</w:t>
      </w:r>
      <w:r>
        <w:rPr>
          <w:rFonts w:hint="eastAsia"/>
          <w:sz w:val="24"/>
        </w:rPr>
        <w:t>高温炉温度范围：室温至1200℃，温度精度0.1℃，线性程序升温，温度控制采用“床温”和“炉温”双重控制。</w:t>
      </w:r>
    </w:p>
    <w:p w14:paraId="5C00769D">
      <w:pPr>
        <w:numPr>
          <w:ilvl w:val="0"/>
          <w:numId w:val="4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升温速率：常温~500 ℃：最高升温速率30°C/min；500 ℃~1200 ℃：最高升温速率30°C/min；</w:t>
      </w:r>
    </w:p>
    <w:p w14:paraId="0AB4041D">
      <w:pPr>
        <w:numPr>
          <w:ilvl w:val="0"/>
          <w:numId w:val="4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反应床和高温炉共配置三个热电偶，三点测温，高温炉具有TSS超温断电保护功能。床层热电偶可实时读取和记录床层温度，也可控制升温速率；</w:t>
      </w:r>
    </w:p>
    <w:p w14:paraId="62DB352F">
      <w:pPr>
        <w:numPr>
          <w:ilvl w:val="0"/>
          <w:numId w:val="4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配有“自动空冷组件”可使高温炉降温更迅速，减少实验时间；</w:t>
      </w:r>
    </w:p>
    <w:p w14:paraId="08945C6E">
      <w:pPr>
        <w:numPr>
          <w:ilvl w:val="0"/>
          <w:numId w:val="4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多种型号反应床如1/4”U型、1/2”泡型、3/8”泡型、BET专用等可供用户选择配置，根据装样量不同选用不同型号，可减小系统死体积；</w:t>
      </w:r>
    </w:p>
    <w:p w14:paraId="1C5B87A1">
      <w:pPr>
        <w:numPr>
          <w:ilvl w:val="0"/>
          <w:numId w:val="4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样品管的下游配有专用冷肼，内装填满干燥剂，用于在流经TCD之前除去可冷凝物。</w:t>
      </w:r>
    </w:p>
    <w:p w14:paraId="6B2094DB">
      <w:pPr>
        <w:numPr>
          <w:ilvl w:val="0"/>
          <w:numId w:val="4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样品装填量：0.1—1g</w:t>
      </w:r>
    </w:p>
    <w:p w14:paraId="25D5E21D">
      <w:pPr>
        <w:snapToGrid w:val="0"/>
        <w:spacing w:line="360" w:lineRule="auto"/>
        <w:rPr>
          <w:sz w:val="24"/>
        </w:rPr>
      </w:pPr>
      <w:r>
        <w:rPr>
          <w:rFonts w:hint="eastAsia"/>
          <w:sz w:val="24"/>
        </w:rPr>
        <w:t>3.1.3检测系统</w:t>
      </w:r>
    </w:p>
    <w:p w14:paraId="6D107DE0">
      <w:pPr>
        <w:numPr>
          <w:ilvl w:val="0"/>
          <w:numId w:val="5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*热导池TCD结构设计，参比测量双气路串联式热导池，4根热导丝设计，高灵敏铼钨合金灯丝，具有高分辨率、高线性度、高准确性和稳定性的优势；配置有安全防干烧系统。</w:t>
      </w:r>
    </w:p>
    <w:p w14:paraId="3F9B715D">
      <w:pPr>
        <w:numPr>
          <w:ilvl w:val="0"/>
          <w:numId w:val="5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热导检测器灵敏度：0.1µV；</w:t>
      </w:r>
    </w:p>
    <w:p w14:paraId="4C1B47BB">
      <w:pPr>
        <w:numPr>
          <w:ilvl w:val="0"/>
          <w:numId w:val="5"/>
        </w:numPr>
        <w:snapToGrid w:val="0"/>
        <w:spacing w:line="360" w:lineRule="auto"/>
        <w:ind w:left="0" w:firstLine="420" w:firstLineChars="200"/>
        <w:rPr>
          <w:sz w:val="24"/>
        </w:rPr>
      </w:pPr>
      <w:r>
        <w:rPr>
          <w:rFonts w:hint="eastAsia" w:ascii="宋体" w:hAnsi="宋体" w:cs="宋体"/>
          <w:bCs/>
          <w:color w:val="000000"/>
        </w:rPr>
        <w:t>＃</w:t>
      </w:r>
      <w:r>
        <w:rPr>
          <w:rFonts w:hint="eastAsia"/>
          <w:sz w:val="24"/>
        </w:rPr>
        <w:t>该仪器气体出口可以实现和气相色谱、在线质谱联用</w:t>
      </w:r>
      <w:r>
        <w:rPr>
          <w:sz w:val="24"/>
        </w:rPr>
        <w:t>，</w:t>
      </w:r>
      <w:r>
        <w:rPr>
          <w:rFonts w:hint="eastAsia"/>
          <w:sz w:val="24"/>
        </w:rPr>
        <w:t>配制相应的接口，并完成连接；（需提供</w:t>
      </w:r>
      <w:r>
        <w:rPr>
          <w:rFonts w:hint="eastAsia"/>
          <w:sz w:val="24"/>
          <w:lang w:eastAsia="zh-Hans"/>
        </w:rPr>
        <w:t>厂家承诺</w:t>
      </w:r>
      <w:r>
        <w:rPr>
          <w:rFonts w:hint="eastAsia"/>
          <w:sz w:val="24"/>
        </w:rPr>
        <w:t>）</w:t>
      </w:r>
    </w:p>
    <w:p w14:paraId="5339ED54">
      <w:pPr>
        <w:numPr>
          <w:ilvl w:val="0"/>
          <w:numId w:val="5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＃</w:t>
      </w:r>
      <w:r>
        <w:rPr>
          <w:rFonts w:hint="eastAsia"/>
          <w:sz w:val="24"/>
          <w:lang w:eastAsia="zh-Hans"/>
        </w:rPr>
        <w:t>预留</w:t>
      </w:r>
      <w:r>
        <w:rPr>
          <w:rFonts w:hint="eastAsia"/>
          <w:sz w:val="24"/>
        </w:rPr>
        <w:t>原位红外池</w:t>
      </w:r>
      <w:r>
        <w:rPr>
          <w:rFonts w:hint="eastAsia"/>
          <w:sz w:val="24"/>
          <w:lang w:eastAsia="zh-Hans"/>
        </w:rPr>
        <w:t>接口</w:t>
      </w:r>
      <w:r>
        <w:rPr>
          <w:rFonts w:hint="eastAsia"/>
          <w:sz w:val="24"/>
        </w:rPr>
        <w:t>，以便实现吸附剂在升温过程中</w:t>
      </w:r>
      <w:r>
        <w:rPr>
          <w:rFonts w:hint="eastAsia"/>
          <w:sz w:val="24"/>
          <w:lang w:eastAsia="zh-Hans"/>
        </w:rPr>
        <w:t>对</w:t>
      </w:r>
      <w:r>
        <w:rPr>
          <w:rFonts w:hint="eastAsia"/>
          <w:sz w:val="24"/>
        </w:rPr>
        <w:t>官能团的吸氧能力和变化过程</w:t>
      </w:r>
      <w:r>
        <w:rPr>
          <w:rFonts w:hint="eastAsia"/>
          <w:sz w:val="24"/>
          <w:lang w:eastAsia="zh-Hans"/>
        </w:rPr>
        <w:t>进行</w:t>
      </w:r>
      <w:r>
        <w:rPr>
          <w:rFonts w:hint="eastAsia"/>
          <w:sz w:val="24"/>
        </w:rPr>
        <w:t>分析。（需提供</w:t>
      </w:r>
      <w:r>
        <w:rPr>
          <w:rFonts w:hint="eastAsia"/>
          <w:sz w:val="24"/>
          <w:lang w:eastAsia="zh-Hans"/>
        </w:rPr>
        <w:t>厂家承诺</w:t>
      </w:r>
      <w:r>
        <w:rPr>
          <w:rFonts w:hint="eastAsia"/>
          <w:sz w:val="24"/>
        </w:rPr>
        <w:t>）</w:t>
      </w:r>
    </w:p>
    <w:p w14:paraId="0FBE75DE">
      <w:pPr>
        <w:snapToGrid w:val="0"/>
        <w:spacing w:line="360" w:lineRule="auto"/>
        <w:rPr>
          <w:sz w:val="24"/>
        </w:rPr>
      </w:pPr>
      <w:r>
        <w:rPr>
          <w:rFonts w:hint="eastAsia"/>
          <w:sz w:val="24"/>
        </w:rPr>
        <w:t>3.1.4 软件控制及分析系统</w:t>
      </w:r>
    </w:p>
    <w:p w14:paraId="0088A665">
      <w:pPr>
        <w:numPr>
          <w:ilvl w:val="0"/>
          <w:numId w:val="6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可视化操作软件系统，可实时显示气体种类、气体流量及流向、阀门开关状态、程序升温速率、实时温度等参数信息；</w:t>
      </w:r>
    </w:p>
    <w:p w14:paraId="5DF60F7A">
      <w:pPr>
        <w:numPr>
          <w:ilvl w:val="0"/>
          <w:numId w:val="6"/>
        </w:numPr>
        <w:snapToGrid w:val="0"/>
        <w:spacing w:line="360" w:lineRule="auto"/>
        <w:ind w:left="0" w:firstLine="420" w:firstLineChars="200"/>
        <w:rPr>
          <w:sz w:val="24"/>
        </w:rPr>
      </w:pPr>
      <w:r>
        <w:rPr>
          <w:rFonts w:hint="eastAsia" w:ascii="宋体" w:hAnsi="宋体" w:cs="宋体"/>
          <w:bCs/>
          <w:color w:val="000000"/>
        </w:rPr>
        <w:t>＃</w:t>
      </w:r>
      <w:r>
        <w:rPr>
          <w:rFonts w:hint="eastAsia"/>
          <w:sz w:val="24"/>
        </w:rPr>
        <w:t>用户可灵活选择或编辑TPD、TPO、TPR、TPSR、脉冲化学吸附、定量环校准实验等程序，可设置多达33个程序；</w:t>
      </w:r>
    </w:p>
    <w:p w14:paraId="2FE0927B">
      <w:pPr>
        <w:numPr>
          <w:ilvl w:val="0"/>
          <w:numId w:val="6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软件自动记录实验过程中所有参数的变化，包括流量、温度、阀的切换、检测器数据等等；</w:t>
      </w:r>
    </w:p>
    <w:p w14:paraId="4B54B418">
      <w:pPr>
        <w:numPr>
          <w:ilvl w:val="0"/>
          <w:numId w:val="6"/>
        </w:numPr>
        <w:snapToGrid w:val="0"/>
        <w:spacing w:line="360" w:lineRule="auto"/>
        <w:ind w:left="0" w:firstLine="420" w:firstLineChars="200"/>
        <w:rPr>
          <w:sz w:val="24"/>
        </w:rPr>
      </w:pPr>
      <w:r>
        <w:rPr>
          <w:rFonts w:hint="eastAsia" w:ascii="宋体" w:hAnsi="宋体" w:cs="宋体"/>
          <w:bCs/>
          <w:color w:val="000000"/>
        </w:rPr>
        <w:t>＃</w:t>
      </w:r>
      <w:r>
        <w:rPr>
          <w:rFonts w:hint="eastAsia"/>
          <w:sz w:val="24"/>
        </w:rPr>
        <w:t>数据处理软件能完成信号峰的拟合、分峰、积分、微分和叠加处理，从而获取样品的特征信息，包括催化剂的表面特征、表面酸性／碱性位点分布、活化能、反应动力学数据等；</w:t>
      </w:r>
    </w:p>
    <w:p w14:paraId="04E131FF">
      <w:pPr>
        <w:numPr>
          <w:ilvl w:val="0"/>
          <w:numId w:val="6"/>
        </w:numPr>
        <w:snapToGrid w:val="0"/>
        <w:spacing w:line="360" w:lineRule="auto"/>
        <w:ind w:left="0" w:firstLine="420" w:firstLineChars="200"/>
        <w:rPr>
          <w:sz w:val="24"/>
        </w:rPr>
      </w:pPr>
      <w:r>
        <w:rPr>
          <w:rFonts w:hint="eastAsia" w:ascii="宋体" w:hAnsi="宋体" w:cs="宋体"/>
          <w:bCs/>
          <w:color w:val="000000"/>
        </w:rPr>
        <w:t>＃</w:t>
      </w:r>
      <w:r>
        <w:rPr>
          <w:rFonts w:hint="eastAsia"/>
          <w:sz w:val="24"/>
        </w:rPr>
        <w:t>软件可实现多种安全保护机制设置：化学反应测试全程进行所有温度监控并记录，对气体流速全程监控并记录，内置安全报警软件，内置温度安全限制</w:t>
      </w:r>
      <w:r>
        <w:rPr>
          <w:sz w:val="24"/>
        </w:rPr>
        <w:t>，</w:t>
      </w:r>
      <w:r>
        <w:rPr>
          <w:rFonts w:hint="eastAsia"/>
          <w:sz w:val="24"/>
        </w:rPr>
        <w:t>用户自定义设置功能等。</w:t>
      </w:r>
    </w:p>
    <w:p w14:paraId="475D4A8A">
      <w:pPr>
        <w:snapToGrid w:val="0"/>
        <w:spacing w:line="360" w:lineRule="auto"/>
        <w:rPr>
          <w:b/>
          <w:bCs/>
          <w:sz w:val="24"/>
        </w:rPr>
      </w:pPr>
      <w:r>
        <w:rPr>
          <w:rFonts w:hint="eastAsia"/>
          <w:b/>
          <w:bCs/>
          <w:sz w:val="24"/>
        </w:rPr>
        <w:t xml:space="preserve">3.2化学吸附仪 </w:t>
      </w:r>
    </w:p>
    <w:p w14:paraId="29A170C1">
      <w:pPr>
        <w:numPr>
          <w:ilvl w:val="0"/>
          <w:numId w:val="7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实现功能：具备程序升温氧化（TPO）、程序升温还原（TPR）、程序升温脱附（TPD）、程序升温化（TPS）、催化表面反应等测试功能。</w:t>
      </w:r>
    </w:p>
    <w:p w14:paraId="7438C5C2">
      <w:pPr>
        <w:numPr>
          <w:ilvl w:val="0"/>
          <w:numId w:val="7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*气路控制：至少6路进气，每路进气都配置气体单向阀</w:t>
      </w:r>
      <w:r>
        <w:rPr>
          <w:sz w:val="24"/>
        </w:rPr>
        <w:t>。</w:t>
      </w:r>
    </w:p>
    <w:p w14:paraId="48479367">
      <w:pPr>
        <w:snapToGrid w:val="0"/>
        <w:spacing w:line="360" w:lineRule="auto"/>
        <w:rPr>
          <w:sz w:val="24"/>
        </w:rPr>
      </w:pPr>
      <w:r>
        <w:rPr>
          <w:rFonts w:hint="eastAsia"/>
          <w:sz w:val="24"/>
        </w:rPr>
        <w:t>3.2.1程序升温电炉</w:t>
      </w:r>
    </w:p>
    <w:p w14:paraId="10B81540">
      <w:pPr>
        <w:numPr>
          <w:ilvl w:val="0"/>
          <w:numId w:val="8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炉体结构：加热炉为闭合式炉体，加热丝螺旋缠绕；炉壁有安全隔热外罩；炉体为非固定式安装，方便拆装。炉体恒温区长，并设计小腔体，反应器及样品受热更均匀；加热炉底部配有强风冷系统，实现快速降温。</w:t>
      </w:r>
    </w:p>
    <w:p w14:paraId="38E0F530">
      <w:pPr>
        <w:numPr>
          <w:ilvl w:val="0"/>
          <w:numId w:val="8"/>
        </w:numPr>
        <w:snapToGrid w:val="0"/>
        <w:spacing w:line="360" w:lineRule="auto"/>
        <w:ind w:left="0" w:firstLine="420" w:firstLineChars="200"/>
        <w:rPr>
          <w:sz w:val="24"/>
        </w:rPr>
      </w:pPr>
      <w:r>
        <w:rPr>
          <w:rFonts w:hint="eastAsia" w:ascii="宋体" w:hAnsi="宋体" w:cs="宋体"/>
          <w:bCs/>
          <w:color w:val="000000"/>
        </w:rPr>
        <w:t>＃</w:t>
      </w:r>
      <w:r>
        <w:rPr>
          <w:rFonts w:hint="eastAsia"/>
          <w:sz w:val="24"/>
        </w:rPr>
        <w:t>电炉控温范围为室温～1200℃，由软件自动控温，炉子控温精度：0.2%FS</w:t>
      </w:r>
      <w:r>
        <w:rPr>
          <w:sz w:val="24"/>
        </w:rPr>
        <w:t>。</w:t>
      </w:r>
    </w:p>
    <w:p w14:paraId="544BAEE2">
      <w:pPr>
        <w:numPr>
          <w:ilvl w:val="0"/>
          <w:numId w:val="8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炉体保护措施：电炉升降系统顶部设计温度探测器及自动防热风扇，保证样品管密封接口处不受炉体高温影响</w:t>
      </w:r>
      <w:r>
        <w:rPr>
          <w:sz w:val="24"/>
        </w:rPr>
        <w:t>。</w:t>
      </w:r>
    </w:p>
    <w:p w14:paraId="1A05004C">
      <w:pPr>
        <w:numPr>
          <w:ilvl w:val="0"/>
          <w:numId w:val="8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#反应器：耐高温U型歧路石英反应器，使用温度上限1200℃； U型石英歧路反应器，可充分预热反应气体，独立的热电偶内置口可准确获得床层温度、反应炉内温度，提高温度控制精度</w:t>
      </w:r>
      <w:r>
        <w:rPr>
          <w:sz w:val="24"/>
        </w:rPr>
        <w:t>。</w:t>
      </w:r>
    </w:p>
    <w:p w14:paraId="32F98C76">
      <w:pPr>
        <w:snapToGrid w:val="0"/>
        <w:spacing w:line="360" w:lineRule="auto"/>
        <w:rPr>
          <w:sz w:val="24"/>
        </w:rPr>
      </w:pPr>
      <w:r>
        <w:rPr>
          <w:rFonts w:hint="eastAsia"/>
          <w:sz w:val="24"/>
        </w:rPr>
        <w:t>3.2.2 检测器</w:t>
      </w:r>
    </w:p>
    <w:p w14:paraId="47D04976">
      <w:pPr>
        <w:numPr>
          <w:ilvl w:val="0"/>
          <w:numId w:val="9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四壁PT镀金铼钨TCD检测器，具有极强的抗氧化和抗氨腐蚀的能力，可长期使用，参比和测试口均有质量流量计独立控制，稳定的电流控制保证了基线稳定性和测试重现性信号</w:t>
      </w:r>
      <w:r>
        <w:rPr>
          <w:sz w:val="24"/>
        </w:rPr>
        <w:t>。</w:t>
      </w:r>
    </w:p>
    <w:p w14:paraId="337A4B8F">
      <w:pPr>
        <w:numPr>
          <w:ilvl w:val="0"/>
          <w:numId w:val="9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TCD独立控制：仪器面板应设有指示灯，软件控制开启和关闭，并且TCD极性可调，保证所有样品峰为“正峰”</w:t>
      </w:r>
      <w:r>
        <w:rPr>
          <w:sz w:val="24"/>
        </w:rPr>
        <w:t>。</w:t>
      </w:r>
    </w:p>
    <w:p w14:paraId="0AD42C17">
      <w:pPr>
        <w:numPr>
          <w:ilvl w:val="0"/>
          <w:numId w:val="9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#基线漂移：＜0.05mv/30min；噪声＜0.02mv(20μV)</w:t>
      </w:r>
      <w:r>
        <w:rPr>
          <w:sz w:val="24"/>
        </w:rPr>
        <w:t>。</w:t>
      </w:r>
    </w:p>
    <w:p w14:paraId="58553FBE">
      <w:pPr>
        <w:numPr>
          <w:ilvl w:val="0"/>
          <w:numId w:val="9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流量控制：至少2组高精度数字式质量流量控制器，可自动调节零点</w:t>
      </w:r>
      <w:r>
        <w:rPr>
          <w:sz w:val="24"/>
        </w:rPr>
        <w:t>。</w:t>
      </w:r>
    </w:p>
    <w:p w14:paraId="521CFDDB">
      <w:pPr>
        <w:numPr>
          <w:ilvl w:val="0"/>
          <w:numId w:val="9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气路系统：高精度十二位一体脉冲式电磁阀控制模块，可通过软件进行流量设定和气体系数转换，避免多通路窜气，电磁阀数量至少8个。</w:t>
      </w:r>
    </w:p>
    <w:p w14:paraId="403E784B">
      <w:pPr>
        <w:numPr>
          <w:ilvl w:val="0"/>
          <w:numId w:val="9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#仪器面板上为处理气气路安装转子流量计，方便对通气状态进行实时把控；并为载气气路设计压力表，方便对载气的进气压力进行实时把控。</w:t>
      </w:r>
    </w:p>
    <w:p w14:paraId="4B31FF25">
      <w:pPr>
        <w:numPr>
          <w:ilvl w:val="0"/>
          <w:numId w:val="9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安全报警：仪器主板集成安全报警系统，可“蜂鸣”警示，报警极限浓度1ppm</w:t>
      </w:r>
    </w:p>
    <w:p w14:paraId="3EDDCDA6">
      <w:pPr>
        <w:numPr>
          <w:ilvl w:val="0"/>
          <w:numId w:val="9"/>
        </w:numPr>
        <w:snapToGrid w:val="0"/>
        <w:spacing w:line="360" w:lineRule="auto"/>
        <w:ind w:left="0" w:firstLine="480" w:firstLineChars="200"/>
        <w:rPr>
          <w:sz w:val="24"/>
        </w:rPr>
      </w:pPr>
      <w:r>
        <w:rPr>
          <w:rFonts w:hint="eastAsia"/>
          <w:sz w:val="24"/>
        </w:rPr>
        <w:t>数据处理：需采用USB通讯方式，软件可直观显示每个操作流程，软件植入常规测试流程指导。界面可显示时间、温度和信号输出，实现对反应的实时监控；提供峰选择、编辑、积分和数据平滑处理，并能手动标注相关数据。</w:t>
      </w:r>
    </w:p>
    <w:p w14:paraId="025F7FFB">
      <w:pPr>
        <w:snapToGrid w:val="0"/>
        <w:spacing w:line="360" w:lineRule="auto"/>
        <w:ind w:firstLine="480" w:firstLineChars="200"/>
        <w:rPr>
          <w:sz w:val="24"/>
        </w:rPr>
      </w:pPr>
    </w:p>
    <w:p w14:paraId="1174C298">
      <w:pPr>
        <w:numPr>
          <w:ilvl w:val="0"/>
          <w:numId w:val="2"/>
        </w:num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产品配置要求</w:t>
      </w:r>
    </w:p>
    <w:p w14:paraId="0CDB1F3D">
      <w:pPr>
        <w:snapToGrid w:val="0"/>
        <w:spacing w:line="360" w:lineRule="auto"/>
        <w:rPr>
          <w:sz w:val="24"/>
        </w:rPr>
      </w:pPr>
      <w:r>
        <w:rPr>
          <w:rFonts w:hint="eastAsia"/>
          <w:sz w:val="24"/>
        </w:rPr>
        <w:t>4.1 产品主体部分说明</w:t>
      </w:r>
    </w:p>
    <w:p w14:paraId="557D5324">
      <w:pPr>
        <w:snapToGrid w:val="0"/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4.1.1 化学吸附仪2台、测试软件2套</w:t>
      </w:r>
    </w:p>
    <w:p w14:paraId="09088301">
      <w:pPr>
        <w:snapToGrid w:val="0"/>
        <w:spacing w:line="360" w:lineRule="auto"/>
        <w:rPr>
          <w:rFonts w:hint="eastAsia" w:ascii="宋体" w:hAnsi="宋体"/>
        </w:rPr>
      </w:pPr>
      <w:r>
        <w:rPr>
          <w:rFonts w:hint="eastAsia"/>
          <w:sz w:val="24"/>
        </w:rPr>
        <w:t>4.3其它保证仪器设备的正常运行和常规保养所需的附件、专用工具和消耗品。</w:t>
      </w:r>
      <w:r>
        <w:rPr>
          <w:rFonts w:hint="eastAsia" w:ascii="宋体" w:hAnsi="宋体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92E5E9A">
      <w:pPr>
        <w:spacing w:line="360" w:lineRule="auto"/>
        <w:rPr>
          <w:sz w:val="24"/>
        </w:rPr>
      </w:pPr>
    </w:p>
    <w:p w14:paraId="6FE634E6"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（二）质保及售后服务：</w:t>
      </w:r>
    </w:p>
    <w:p w14:paraId="52B07715">
      <w:pPr>
        <w:spacing w:line="360" w:lineRule="auto"/>
        <w:rPr>
          <w:sz w:val="24"/>
        </w:rPr>
      </w:pPr>
      <w:r>
        <w:rPr>
          <w:rFonts w:hint="eastAsia"/>
          <w:sz w:val="24"/>
        </w:rPr>
        <w:t>1.1 设备安装调试：货物到达后7个工作内安装调试完毕</w:t>
      </w:r>
      <w:r>
        <w:rPr>
          <w:sz w:val="24"/>
        </w:rPr>
        <w:t>。</w:t>
      </w:r>
    </w:p>
    <w:p w14:paraId="1642179A">
      <w:pPr>
        <w:spacing w:line="360" w:lineRule="auto"/>
        <w:rPr>
          <w:sz w:val="24"/>
        </w:rPr>
      </w:pPr>
      <w:r>
        <w:rPr>
          <w:rFonts w:hint="eastAsia"/>
          <w:sz w:val="24"/>
        </w:rPr>
        <w:t>1.2  技术培训 ：供方派至少1名专业工程师到买方负责安装调试培训，培训时间至少1天</w:t>
      </w:r>
      <w:r>
        <w:rPr>
          <w:sz w:val="24"/>
        </w:rPr>
        <w:t>。</w:t>
      </w:r>
    </w:p>
    <w:p w14:paraId="55FA13A4">
      <w:pPr>
        <w:spacing w:line="360" w:lineRule="auto"/>
        <w:rPr>
          <w:sz w:val="24"/>
          <w:lang w:eastAsia="zh-Hans"/>
        </w:rPr>
      </w:pPr>
      <w:r>
        <w:rPr>
          <w:rFonts w:hint="eastAsia"/>
          <w:sz w:val="24"/>
        </w:rPr>
        <w:t xml:space="preserve">1.3 </w:t>
      </w:r>
      <w:r>
        <w:rPr>
          <w:rFonts w:hint="eastAsia"/>
          <w:sz w:val="24"/>
          <w:lang w:eastAsia="zh-Hans"/>
        </w:rPr>
        <w:t>质保</w:t>
      </w:r>
      <w:r>
        <w:rPr>
          <w:rFonts w:hint="eastAsia"/>
          <w:sz w:val="24"/>
        </w:rPr>
        <w:t>期：</w:t>
      </w:r>
      <w:r>
        <w:rPr>
          <w:sz w:val="24"/>
        </w:rPr>
        <w:t>3</w:t>
      </w:r>
      <w:r>
        <w:rPr>
          <w:rFonts w:hint="eastAsia"/>
          <w:sz w:val="24"/>
          <w:lang w:eastAsia="zh-Hans"/>
        </w:rPr>
        <w:t>年</w:t>
      </w:r>
      <w:r>
        <w:rPr>
          <w:sz w:val="24"/>
          <w:lang w:eastAsia="zh-Hans"/>
        </w:rPr>
        <w:t>。</w:t>
      </w:r>
    </w:p>
    <w:p w14:paraId="29FA491F">
      <w:pPr>
        <w:spacing w:line="360" w:lineRule="auto"/>
        <w:rPr>
          <w:sz w:val="24"/>
        </w:rPr>
      </w:pPr>
      <w:r>
        <w:rPr>
          <w:rFonts w:hint="eastAsia"/>
          <w:sz w:val="24"/>
        </w:rPr>
        <w:t>1.4 维修响应时间：接到报修电话2小时内响应</w:t>
      </w:r>
      <w:r>
        <w:rPr>
          <w:sz w:val="24"/>
        </w:rPr>
        <w:t>。</w:t>
      </w:r>
    </w:p>
    <w:p w14:paraId="1242A08E">
      <w:pPr>
        <w:spacing w:line="360" w:lineRule="auto"/>
        <w:rPr>
          <w:sz w:val="24"/>
        </w:rPr>
      </w:pPr>
      <w:r>
        <w:rPr>
          <w:rFonts w:hint="eastAsia"/>
          <w:sz w:val="24"/>
        </w:rPr>
        <w:t>1.5 要求卖方提供的其它技术服务内容：软件终身免费升级</w:t>
      </w:r>
      <w:r>
        <w:rPr>
          <w:sz w:val="24"/>
        </w:rPr>
        <w:t>。</w:t>
      </w:r>
    </w:p>
    <w:p w14:paraId="6B0F91BC">
      <w:pPr>
        <w:spacing w:line="360" w:lineRule="auto"/>
        <w:rPr>
          <w:sz w:val="24"/>
        </w:rPr>
      </w:pPr>
    </w:p>
    <w:p w14:paraId="75E9D951"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（三） 订货数量：</w:t>
      </w:r>
    </w:p>
    <w:p w14:paraId="13AB3151">
      <w:pPr>
        <w:spacing w:line="360" w:lineRule="auto"/>
        <w:ind w:firstLine="240" w:firstLineChars="100"/>
        <w:rPr>
          <w:sz w:val="24"/>
        </w:rPr>
      </w:pPr>
      <w:r>
        <w:rPr>
          <w:rFonts w:hint="eastAsia"/>
          <w:sz w:val="24"/>
        </w:rPr>
        <w:t xml:space="preserve"> 2台</w:t>
      </w:r>
    </w:p>
    <w:p w14:paraId="083FBAF2">
      <w:pPr>
        <w:spacing w:line="360" w:lineRule="auto"/>
        <w:rPr>
          <w:sz w:val="24"/>
        </w:rPr>
      </w:pPr>
    </w:p>
    <w:p w14:paraId="35CE0B14"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（四） 交货地：</w:t>
      </w:r>
    </w:p>
    <w:p w14:paraId="5750D8E7">
      <w:pPr>
        <w:spacing w:line="360" w:lineRule="auto"/>
        <w:ind w:firstLine="240"/>
        <w:rPr>
          <w:sz w:val="24"/>
        </w:rPr>
      </w:pPr>
      <w:r>
        <w:rPr>
          <w:rFonts w:hint="eastAsia"/>
          <w:sz w:val="24"/>
        </w:rPr>
        <w:t xml:space="preserve"> 中国石油大学（北京）</w:t>
      </w:r>
    </w:p>
    <w:p w14:paraId="3F329F09">
      <w:pPr>
        <w:spacing w:line="360" w:lineRule="auto"/>
        <w:rPr>
          <w:sz w:val="24"/>
        </w:rPr>
      </w:pPr>
    </w:p>
    <w:p w14:paraId="549035A6">
      <w:pPr>
        <w:numPr>
          <w:ilvl w:val="0"/>
          <w:numId w:val="10"/>
        </w:num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交货日期：</w:t>
      </w:r>
    </w:p>
    <w:p w14:paraId="0F834BB1">
      <w:pPr>
        <w:spacing w:line="360" w:lineRule="auto"/>
        <w:rPr>
          <w:rFonts w:hint="eastAsia" w:ascii="宋体" w:hAnsi="宋体"/>
          <w:b/>
          <w:sz w:val="30"/>
          <w:szCs w:val="30"/>
        </w:rPr>
      </w:pPr>
      <w:r>
        <w:rPr>
          <w:rFonts w:hint="eastAsia"/>
          <w:sz w:val="24"/>
        </w:rPr>
        <w:t xml:space="preserve">  合同生效后60个工作日到达现场 </w:t>
      </w:r>
    </w:p>
    <w:p w14:paraId="740C1AA0">
      <w:pPr>
        <w:widowControl/>
        <w:spacing w:line="360" w:lineRule="atLeast"/>
        <w:rPr>
          <w:rFonts w:hint="eastAsia" w:ascii="宋体" w:hAnsi="宋体"/>
          <w:b/>
          <w:sz w:val="30"/>
          <w:szCs w:val="30"/>
        </w:rPr>
      </w:pPr>
    </w:p>
    <w:p w14:paraId="24E4ED11"/>
    <w:sectPr>
      <w:footerReference r:id="rId5" w:type="first"/>
      <w:headerReference r:id="rId3" w:type="default"/>
      <w:footerReference r:id="rId4" w:type="default"/>
      <w:pgSz w:w="11906" w:h="16838"/>
      <w:pgMar w:top="1418" w:right="1418" w:bottom="1418" w:left="1418" w:header="851" w:footer="992" w:gutter="0"/>
      <w:pgNumType w:start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5DEC5D">
    <w:pPr>
      <w:pStyle w:val="3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26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B6E5A1D">
    <w:pPr>
      <w:pStyle w:val="3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F9B61E">
    <w:pPr>
      <w:pStyle w:val="4"/>
      <w:jc w:val="both"/>
    </w:pPr>
    <w:r>
      <w:rPr>
        <w:rFonts w:hint="eastAsia"/>
        <w:i/>
      </w:rPr>
      <w:t>东方国际招标有限责任公司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CCEBC8C"/>
    <w:multiLevelType w:val="multilevel"/>
    <w:tmpl w:val="8CCEBC8C"/>
    <w:lvl w:ilvl="0" w:tentative="0">
      <w:start w:val="1"/>
      <w:numFmt w:val="decimal"/>
      <w:suff w:val="space"/>
      <w:lvlText w:val="（%1)"/>
      <w:lvlJc w:val="left"/>
      <w:pPr>
        <w:ind w:left="420" w:hanging="420"/>
      </w:pPr>
      <w:rPr>
        <w:rFonts w:hint="default"/>
      </w:rPr>
    </w:lvl>
    <w:lvl w:ilvl="1" w:tentative="0">
      <w:start w:val="4"/>
      <w:numFmt w:val="decimal"/>
      <w:lvlText w:val="%2、"/>
      <w:lvlJc w:val="left"/>
      <w:pPr>
        <w:tabs>
          <w:tab w:val="left" w:pos="780"/>
        </w:tabs>
        <w:ind w:left="78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AA3E494D"/>
    <w:multiLevelType w:val="singleLevel"/>
    <w:tmpl w:val="AA3E494D"/>
    <w:lvl w:ilvl="0" w:tentative="0">
      <w:start w:val="5"/>
      <w:numFmt w:val="chineseCounting"/>
      <w:suff w:val="space"/>
      <w:lvlText w:val="（%1）"/>
      <w:lvlJc w:val="left"/>
      <w:rPr>
        <w:rFonts w:hint="eastAsia"/>
      </w:rPr>
    </w:lvl>
  </w:abstractNum>
  <w:abstractNum w:abstractNumId="2">
    <w:nsid w:val="BA2A2D36"/>
    <w:multiLevelType w:val="multilevel"/>
    <w:tmpl w:val="BA2A2D36"/>
    <w:lvl w:ilvl="0" w:tentative="0">
      <w:start w:val="1"/>
      <w:numFmt w:val="decimal"/>
      <w:suff w:val="space"/>
      <w:lvlText w:val="（%1)"/>
      <w:lvlJc w:val="left"/>
      <w:pPr>
        <w:ind w:left="420" w:hanging="420"/>
      </w:pPr>
      <w:rPr>
        <w:rFonts w:hint="default"/>
      </w:rPr>
    </w:lvl>
    <w:lvl w:ilvl="1" w:tentative="0">
      <w:start w:val="4"/>
      <w:numFmt w:val="decimal"/>
      <w:lvlText w:val="%2、"/>
      <w:lvlJc w:val="left"/>
      <w:pPr>
        <w:tabs>
          <w:tab w:val="left" w:pos="780"/>
        </w:tabs>
        <w:ind w:left="78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3">
    <w:nsid w:val="C4B42F15"/>
    <w:multiLevelType w:val="multilevel"/>
    <w:tmpl w:val="C4B42F15"/>
    <w:lvl w:ilvl="0" w:tentative="0">
      <w:start w:val="1"/>
      <w:numFmt w:val="decimal"/>
      <w:suff w:val="space"/>
      <w:lvlText w:val="（%1)"/>
      <w:lvlJc w:val="left"/>
      <w:pPr>
        <w:ind w:left="420" w:hanging="420"/>
      </w:pPr>
      <w:rPr>
        <w:rFonts w:hint="default"/>
      </w:rPr>
    </w:lvl>
    <w:lvl w:ilvl="1" w:tentative="0">
      <w:start w:val="4"/>
      <w:numFmt w:val="decimal"/>
      <w:lvlText w:val="%2、"/>
      <w:lvlJc w:val="left"/>
      <w:pPr>
        <w:tabs>
          <w:tab w:val="left" w:pos="780"/>
        </w:tabs>
        <w:ind w:left="78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4">
    <w:nsid w:val="C50E6EC9"/>
    <w:multiLevelType w:val="multilevel"/>
    <w:tmpl w:val="C50E6EC9"/>
    <w:lvl w:ilvl="0" w:tentative="0">
      <w:start w:val="1"/>
      <w:numFmt w:val="decimal"/>
      <w:suff w:val="space"/>
      <w:lvlText w:val="（%1)"/>
      <w:lvlJc w:val="left"/>
      <w:pPr>
        <w:ind w:left="420" w:hanging="420"/>
      </w:pPr>
      <w:rPr>
        <w:rFonts w:hint="default"/>
      </w:rPr>
    </w:lvl>
    <w:lvl w:ilvl="1" w:tentative="0">
      <w:start w:val="4"/>
      <w:numFmt w:val="decimal"/>
      <w:lvlText w:val="%2、"/>
      <w:lvlJc w:val="left"/>
      <w:pPr>
        <w:tabs>
          <w:tab w:val="left" w:pos="780"/>
        </w:tabs>
        <w:ind w:left="78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5">
    <w:nsid w:val="E7361D3D"/>
    <w:multiLevelType w:val="singleLevel"/>
    <w:tmpl w:val="E7361D3D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6">
    <w:nsid w:val="F797CE84"/>
    <w:multiLevelType w:val="multilevel"/>
    <w:tmpl w:val="F797CE84"/>
    <w:lvl w:ilvl="0" w:tentative="0">
      <w:start w:val="1"/>
      <w:numFmt w:val="decimal"/>
      <w:suff w:val="space"/>
      <w:lvlText w:val="（%1)"/>
      <w:lvlJc w:val="left"/>
      <w:pPr>
        <w:ind w:left="420" w:hanging="420"/>
      </w:pPr>
      <w:rPr>
        <w:rFonts w:hint="default"/>
      </w:rPr>
    </w:lvl>
    <w:lvl w:ilvl="1" w:tentative="0">
      <w:start w:val="4"/>
      <w:numFmt w:val="decimal"/>
      <w:lvlText w:val="%2、"/>
      <w:lvlJc w:val="left"/>
      <w:pPr>
        <w:tabs>
          <w:tab w:val="left" w:pos="780"/>
        </w:tabs>
        <w:ind w:left="78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7">
    <w:nsid w:val="12DA9A47"/>
    <w:multiLevelType w:val="multilevel"/>
    <w:tmpl w:val="12DA9A47"/>
    <w:lvl w:ilvl="0" w:tentative="0">
      <w:start w:val="1"/>
      <w:numFmt w:val="decimal"/>
      <w:suff w:val="space"/>
      <w:lvlText w:val="（%1)"/>
      <w:lvlJc w:val="left"/>
      <w:pPr>
        <w:ind w:left="420" w:hanging="420"/>
      </w:pPr>
      <w:rPr>
        <w:rFonts w:hint="default"/>
      </w:rPr>
    </w:lvl>
    <w:lvl w:ilvl="1" w:tentative="0">
      <w:start w:val="4"/>
      <w:numFmt w:val="decimal"/>
      <w:lvlText w:val="%2、"/>
      <w:lvlJc w:val="left"/>
      <w:pPr>
        <w:tabs>
          <w:tab w:val="left" w:pos="780"/>
        </w:tabs>
        <w:ind w:left="78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8">
    <w:nsid w:val="1459574B"/>
    <w:multiLevelType w:val="multilevel"/>
    <w:tmpl w:val="1459574B"/>
    <w:lvl w:ilvl="0" w:tentative="0">
      <w:start w:val="1"/>
      <w:numFmt w:val="decimal"/>
      <w:suff w:val="space"/>
      <w:lvlText w:val="（%1)"/>
      <w:lvlJc w:val="left"/>
      <w:pPr>
        <w:ind w:left="420" w:hanging="420"/>
      </w:pPr>
      <w:rPr>
        <w:rFonts w:hint="default"/>
      </w:rPr>
    </w:lvl>
    <w:lvl w:ilvl="1" w:tentative="0">
      <w:start w:val="4"/>
      <w:numFmt w:val="decimal"/>
      <w:lvlText w:val="%2、"/>
      <w:lvlJc w:val="left"/>
      <w:pPr>
        <w:tabs>
          <w:tab w:val="left" w:pos="780"/>
        </w:tabs>
        <w:ind w:left="78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9">
    <w:nsid w:val="6194D2EC"/>
    <w:multiLevelType w:val="multilevel"/>
    <w:tmpl w:val="6194D2EC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3"/>
  </w:num>
  <w:num w:numId="5">
    <w:abstractNumId w:val="8"/>
  </w:num>
  <w:num w:numId="6">
    <w:abstractNumId w:val="2"/>
  </w:num>
  <w:num w:numId="7">
    <w:abstractNumId w:val="4"/>
  </w:num>
  <w:num w:numId="8">
    <w:abstractNumId w:val="7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6B0377"/>
    <w:rsid w:val="04F82EB6"/>
    <w:rsid w:val="686B0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qFormat="1" w:unhideWhenUsed="0" w:uiPriority="99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next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next w:val="5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toc 4"/>
    <w:basedOn w:val="1"/>
    <w:next w:val="1"/>
    <w:qFormat/>
    <w:uiPriority w:val="99"/>
    <w:pPr>
      <w:ind w:left="1260" w:leftChars="6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3949</Words>
  <Characters>4268</Characters>
  <Lines>0</Lines>
  <Paragraphs>0</Paragraphs>
  <TotalTime>0</TotalTime>
  <ScaleCrop>false</ScaleCrop>
  <LinksUpToDate>false</LinksUpToDate>
  <CharactersWithSpaces>5241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2024-11-29T15:25:00Z</dcterms:created>
  <dc:creator>godjiao</dc:creator>
  <cp:lastModifiedBy>清</cp:lastModifiedBy>
  <dcterms:modified xsi:type="dcterms:W3CDTF">2024-12-02T06:11:07Z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AAFE0547F72C455D89A5C743C6B2B060_13</vt:lpwstr>
  </property>
</Properties>
</file>