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1D9CE">
      <w:pPr>
        <w:adjustRightInd w:val="0"/>
        <w:snapToGrid w:val="0"/>
        <w:jc w:val="center"/>
        <w:rPr>
          <w:rFonts w:hint="eastAsia" w:ascii="宋体" w:hAnsi="宋体"/>
          <w:b/>
          <w:color w:val="auto"/>
          <w:sz w:val="24"/>
          <w:highlight w:val="none"/>
        </w:rPr>
      </w:pPr>
      <w:bookmarkStart w:id="9" w:name="_GoBack"/>
      <w:bookmarkEnd w:id="9"/>
      <w:bookmarkStart w:id="0" w:name="_Toc512937852"/>
    </w:p>
    <w:p w14:paraId="578BA403">
      <w:pPr>
        <w:adjustRightInd w:val="0"/>
        <w:snapToGrid w:val="0"/>
        <w:jc w:val="center"/>
        <w:rPr>
          <w:rFonts w:hint="eastAsia" w:ascii="宋体" w:hAnsi="宋体"/>
          <w:b/>
          <w:color w:val="auto"/>
          <w:sz w:val="24"/>
          <w:highlight w:val="none"/>
        </w:rPr>
      </w:pPr>
    </w:p>
    <w:p w14:paraId="275206F3">
      <w:pPr>
        <w:adjustRightInd w:val="0"/>
        <w:snapToGrid w:val="0"/>
        <w:jc w:val="center"/>
        <w:rPr>
          <w:rFonts w:hint="eastAsia" w:ascii="宋体" w:hAnsi="宋体"/>
          <w:b/>
          <w:color w:val="auto"/>
          <w:sz w:val="24"/>
          <w:highlight w:val="none"/>
        </w:rPr>
      </w:pPr>
    </w:p>
    <w:p w14:paraId="47090603">
      <w:pPr>
        <w:adjustRightInd w:val="0"/>
        <w:snapToGrid w:val="0"/>
        <w:jc w:val="center"/>
        <w:rPr>
          <w:rFonts w:hint="eastAsia" w:ascii="宋体" w:hAnsi="宋体"/>
          <w:b/>
          <w:color w:val="auto"/>
          <w:sz w:val="24"/>
          <w:highlight w:val="none"/>
        </w:rPr>
      </w:pPr>
    </w:p>
    <w:p w14:paraId="1FA6F706">
      <w:pPr>
        <w:adjustRightInd w:val="0"/>
        <w:snapToGrid w:val="0"/>
        <w:jc w:val="center"/>
        <w:rPr>
          <w:rFonts w:hint="eastAsia" w:ascii="宋体" w:hAnsi="宋体"/>
          <w:b/>
          <w:color w:val="auto"/>
          <w:sz w:val="24"/>
          <w:highlight w:val="none"/>
        </w:rPr>
      </w:pPr>
    </w:p>
    <w:p w14:paraId="1AEE9D08">
      <w:pPr>
        <w:adjustRightInd w:val="0"/>
        <w:snapToGrid w:val="0"/>
        <w:jc w:val="center"/>
        <w:rPr>
          <w:rFonts w:hint="eastAsia" w:ascii="宋体" w:hAnsi="宋体"/>
          <w:b/>
          <w:color w:val="auto"/>
          <w:sz w:val="24"/>
          <w:highlight w:val="none"/>
        </w:rPr>
      </w:pPr>
    </w:p>
    <w:p w14:paraId="247DF8A7">
      <w:pPr>
        <w:adjustRightInd w:val="0"/>
        <w:snapToGrid w:val="0"/>
        <w:jc w:val="center"/>
        <w:rPr>
          <w:rFonts w:hint="eastAsia" w:ascii="宋体" w:hAnsi="宋体"/>
          <w:b/>
          <w:color w:val="auto"/>
          <w:sz w:val="24"/>
          <w:highlight w:val="none"/>
        </w:rPr>
      </w:pPr>
    </w:p>
    <w:p w14:paraId="1AEBF965">
      <w:pPr>
        <w:adjustRightInd w:val="0"/>
        <w:snapToGrid w:val="0"/>
        <w:jc w:val="center"/>
        <w:rPr>
          <w:rFonts w:hint="eastAsia" w:ascii="宋体" w:hAnsi="宋体"/>
          <w:b/>
          <w:color w:val="auto"/>
          <w:sz w:val="24"/>
          <w:highlight w:val="none"/>
        </w:rPr>
      </w:pPr>
    </w:p>
    <w:p w14:paraId="651ED2F2">
      <w:pPr>
        <w:adjustRightInd w:val="0"/>
        <w:snapToGrid w:val="0"/>
        <w:jc w:val="center"/>
        <w:rPr>
          <w:rFonts w:hint="eastAsia" w:ascii="宋体" w:hAnsi="宋体"/>
          <w:b/>
          <w:color w:val="auto"/>
          <w:sz w:val="24"/>
          <w:highlight w:val="none"/>
        </w:rPr>
      </w:pPr>
    </w:p>
    <w:p w14:paraId="3A545832">
      <w:pPr>
        <w:adjustRightInd w:val="0"/>
        <w:snapToGrid w:val="0"/>
        <w:jc w:val="center"/>
        <w:rPr>
          <w:rFonts w:hint="eastAsia" w:ascii="宋体" w:hAnsi="宋体"/>
          <w:b/>
          <w:color w:val="auto"/>
          <w:sz w:val="24"/>
          <w:highlight w:val="none"/>
        </w:rPr>
      </w:pPr>
    </w:p>
    <w:p w14:paraId="7C4ABC2B">
      <w:pPr>
        <w:adjustRightInd w:val="0"/>
        <w:snapToGrid w:val="0"/>
        <w:jc w:val="center"/>
        <w:rPr>
          <w:rFonts w:hint="eastAsia" w:ascii="宋体" w:hAnsi="宋体"/>
          <w:b/>
          <w:color w:val="auto"/>
          <w:sz w:val="24"/>
          <w:highlight w:val="none"/>
        </w:rPr>
      </w:pPr>
    </w:p>
    <w:p w14:paraId="27CC913A">
      <w:pPr>
        <w:adjustRightInd w:val="0"/>
        <w:snapToGrid w:val="0"/>
        <w:spacing w:before="936" w:beforeLines="300"/>
        <w:jc w:val="center"/>
        <w:rPr>
          <w:rFonts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bookmarkEnd w:id="0"/>
    <w:p w14:paraId="39B5FFCA">
      <w:p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一、货物需求一览表</w:t>
      </w:r>
    </w:p>
    <w:p w14:paraId="70A26805">
      <w:pPr>
        <w:adjustRightInd w:val="0"/>
        <w:snapToGrid w:val="0"/>
        <w:jc w:val="center"/>
        <w:rPr>
          <w:rFonts w:hint="eastAsia" w:ascii="宋体" w:hAnsi="宋体"/>
          <w:b/>
          <w:color w:val="auto"/>
          <w:sz w:val="30"/>
          <w:szCs w:val="30"/>
          <w:highlight w:val="none"/>
        </w:rPr>
      </w:pPr>
    </w:p>
    <w:tbl>
      <w:tblPr>
        <w:tblStyle w:val="2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14:paraId="0E764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14:paraId="640B3779">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1878" w:type="dxa"/>
            <w:vAlign w:val="center"/>
          </w:tcPr>
          <w:p w14:paraId="63C01D8D">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vAlign w:val="center"/>
          </w:tcPr>
          <w:p w14:paraId="2A6E6754">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vAlign w:val="center"/>
          </w:tcPr>
          <w:p w14:paraId="7EB8DF54">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vAlign w:val="center"/>
          </w:tcPr>
          <w:p w14:paraId="0757FC7A">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459" w:type="dxa"/>
            <w:vAlign w:val="center"/>
          </w:tcPr>
          <w:p w14:paraId="35525AC5">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14:paraId="66721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Align w:val="center"/>
          </w:tcPr>
          <w:p w14:paraId="26D04F17">
            <w:pPr>
              <w:jc w:val="center"/>
              <w:rPr>
                <w:rFonts w:ascii="宋体"/>
                <w:color w:val="auto"/>
                <w:sz w:val="24"/>
                <w:highlight w:val="none"/>
              </w:rPr>
            </w:pPr>
            <w:r>
              <w:rPr>
                <w:rFonts w:hint="eastAsia" w:ascii="宋体"/>
                <w:color w:val="auto"/>
                <w:sz w:val="24"/>
                <w:highlight w:val="none"/>
              </w:rPr>
              <w:t>1</w:t>
            </w:r>
          </w:p>
        </w:tc>
        <w:tc>
          <w:tcPr>
            <w:tcW w:w="1878" w:type="dxa"/>
            <w:vAlign w:val="center"/>
          </w:tcPr>
          <w:p w14:paraId="1577F770">
            <w:pPr>
              <w:jc w:val="center"/>
              <w:rPr>
                <w:rFonts w:ascii="Bookman Old Style" w:hAnsi="Bookman Old Style"/>
                <w:color w:val="auto"/>
                <w:sz w:val="24"/>
                <w:highlight w:val="none"/>
              </w:rPr>
            </w:pPr>
            <w:r>
              <w:rPr>
                <w:rFonts w:hint="eastAsia" w:ascii="宋体" w:hAnsi="宋体" w:cs="宋体"/>
                <w:color w:val="auto"/>
                <w:kern w:val="0"/>
                <w:sz w:val="24"/>
                <w:highlight w:val="none"/>
              </w:rPr>
              <w:t>激光干涉仪</w:t>
            </w:r>
          </w:p>
        </w:tc>
        <w:tc>
          <w:tcPr>
            <w:tcW w:w="1122" w:type="dxa"/>
            <w:vAlign w:val="center"/>
          </w:tcPr>
          <w:p w14:paraId="6DB651A5">
            <w:pPr>
              <w:jc w:val="center"/>
              <w:rPr>
                <w:rFonts w:ascii="宋体" w:hAnsi="Bookman Old Style"/>
                <w:color w:val="auto"/>
                <w:sz w:val="24"/>
                <w:highlight w:val="none"/>
              </w:rPr>
            </w:pPr>
            <w:r>
              <w:rPr>
                <w:rFonts w:ascii="宋体" w:hAnsi="宋体"/>
                <w:color w:val="auto"/>
                <w:sz w:val="24"/>
                <w:highlight w:val="none"/>
              </w:rPr>
              <w:t>1</w:t>
            </w:r>
            <w:r>
              <w:rPr>
                <w:rFonts w:hint="eastAsia" w:ascii="宋体" w:hAnsi="宋体"/>
                <w:color w:val="auto"/>
                <w:sz w:val="24"/>
                <w:highlight w:val="none"/>
              </w:rPr>
              <w:t>套</w:t>
            </w:r>
          </w:p>
        </w:tc>
        <w:tc>
          <w:tcPr>
            <w:tcW w:w="5037" w:type="dxa"/>
            <w:gridSpan w:val="3"/>
            <w:vAlign w:val="center"/>
          </w:tcPr>
          <w:p w14:paraId="7EF4A4BB">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14:paraId="441F08EC">
      <w:pPr>
        <w:adjustRightInd w:val="0"/>
        <w:snapToGrid w:val="0"/>
        <w:jc w:val="center"/>
        <w:rPr>
          <w:rFonts w:hint="eastAsia" w:ascii="宋体" w:hAnsi="宋体"/>
          <w:b/>
          <w:color w:val="auto"/>
          <w:sz w:val="30"/>
          <w:szCs w:val="30"/>
          <w:highlight w:val="none"/>
        </w:rPr>
      </w:pPr>
    </w:p>
    <w:p w14:paraId="6E39E19E">
      <w:pPr>
        <w:adjustRightInd w:val="0"/>
        <w:snapToGrid w:val="0"/>
        <w:jc w:val="center"/>
        <w:rPr>
          <w:rFonts w:hint="eastAsia" w:ascii="宋体" w:hAnsi="宋体"/>
          <w:b/>
          <w:color w:val="auto"/>
          <w:sz w:val="30"/>
          <w:szCs w:val="30"/>
          <w:highlight w:val="none"/>
        </w:rPr>
      </w:pPr>
    </w:p>
    <w:p w14:paraId="1E7758AA">
      <w:pPr>
        <w:adjustRightInd w:val="0"/>
        <w:snapToGrid w:val="0"/>
        <w:jc w:val="center"/>
        <w:rPr>
          <w:rFonts w:hint="eastAsia" w:ascii="宋体" w:hAnsi="宋体"/>
          <w:b/>
          <w:color w:val="auto"/>
          <w:sz w:val="30"/>
          <w:szCs w:val="30"/>
          <w:highlight w:val="none"/>
        </w:rPr>
      </w:pPr>
    </w:p>
    <w:p w14:paraId="3116BE09">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3F12AB3E">
      <w:pPr>
        <w:adjustRightInd w:val="0"/>
        <w:snapToGrid w:val="0"/>
        <w:rPr>
          <w:rFonts w:hint="eastAsia" w:ascii="宋体" w:hAnsi="宋体"/>
          <w:color w:val="auto"/>
          <w:szCs w:val="21"/>
          <w:highlight w:val="none"/>
        </w:rPr>
      </w:pPr>
    </w:p>
    <w:p w14:paraId="0CD0031C">
      <w:pPr>
        <w:adjustRightInd w:val="0"/>
        <w:snapToGrid w:val="0"/>
        <w:rPr>
          <w:rFonts w:hint="eastAsia" w:ascii="宋体" w:hAnsi="宋体"/>
          <w:color w:val="auto"/>
          <w:szCs w:val="21"/>
          <w:highlight w:val="none"/>
        </w:rPr>
      </w:pPr>
    </w:p>
    <w:p w14:paraId="4E60631A">
      <w:pPr>
        <w:adjustRightInd w:val="0"/>
        <w:snapToGrid w:val="0"/>
        <w:rPr>
          <w:rFonts w:hint="eastAsia" w:ascii="宋体" w:hAnsi="宋体"/>
          <w:color w:val="auto"/>
          <w:szCs w:val="21"/>
          <w:highlight w:val="none"/>
        </w:rPr>
      </w:pPr>
    </w:p>
    <w:p w14:paraId="4EABB6E0">
      <w:pPr>
        <w:adjustRightInd w:val="0"/>
        <w:snapToGrid w:val="0"/>
        <w:rPr>
          <w:rFonts w:hint="eastAsia" w:ascii="宋体" w:hAnsi="宋体"/>
          <w:color w:val="auto"/>
          <w:szCs w:val="21"/>
          <w:highlight w:val="none"/>
        </w:rPr>
      </w:pPr>
    </w:p>
    <w:p w14:paraId="71414C4D">
      <w:pPr>
        <w:adjustRightInd w:val="0"/>
        <w:snapToGrid w:val="0"/>
        <w:rPr>
          <w:rFonts w:hint="eastAsia" w:ascii="宋体" w:hAnsi="宋体"/>
          <w:color w:val="auto"/>
          <w:szCs w:val="21"/>
          <w:highlight w:val="none"/>
        </w:rPr>
      </w:pPr>
    </w:p>
    <w:p w14:paraId="566161A9">
      <w:pPr>
        <w:adjustRightInd w:val="0"/>
        <w:snapToGrid w:val="0"/>
        <w:rPr>
          <w:rFonts w:hint="eastAsia" w:ascii="宋体" w:hAnsi="宋体"/>
          <w:color w:val="auto"/>
          <w:szCs w:val="21"/>
          <w:highlight w:val="none"/>
        </w:rPr>
      </w:pPr>
    </w:p>
    <w:p w14:paraId="3C9AE029">
      <w:pPr>
        <w:adjustRightInd w:val="0"/>
        <w:snapToGrid w:val="0"/>
        <w:rPr>
          <w:rFonts w:hint="eastAsia" w:ascii="宋体" w:hAnsi="宋体"/>
          <w:color w:val="auto"/>
          <w:szCs w:val="21"/>
          <w:highlight w:val="none"/>
        </w:rPr>
      </w:pPr>
    </w:p>
    <w:p w14:paraId="0D657C02">
      <w:pPr>
        <w:adjustRightInd w:val="0"/>
        <w:snapToGrid w:val="0"/>
        <w:rPr>
          <w:rFonts w:hint="eastAsia" w:ascii="宋体" w:hAnsi="宋体"/>
          <w:color w:val="auto"/>
          <w:szCs w:val="21"/>
          <w:highlight w:val="none"/>
        </w:rPr>
      </w:pPr>
    </w:p>
    <w:p w14:paraId="5B4BA88F">
      <w:pPr>
        <w:adjustRightInd w:val="0"/>
        <w:snapToGrid w:val="0"/>
        <w:rPr>
          <w:rFonts w:hint="eastAsia" w:ascii="宋体" w:hAnsi="宋体"/>
          <w:color w:val="auto"/>
          <w:szCs w:val="21"/>
          <w:highlight w:val="none"/>
        </w:rPr>
      </w:pPr>
    </w:p>
    <w:p w14:paraId="14DAF50A">
      <w:pPr>
        <w:adjustRightInd w:val="0"/>
        <w:snapToGrid w:val="0"/>
        <w:rPr>
          <w:rFonts w:hint="eastAsia" w:ascii="宋体" w:hAnsi="宋体"/>
          <w:color w:val="auto"/>
          <w:szCs w:val="21"/>
          <w:highlight w:val="none"/>
        </w:rPr>
      </w:pPr>
    </w:p>
    <w:p w14:paraId="3F323B3D">
      <w:pPr>
        <w:adjustRightInd w:val="0"/>
        <w:snapToGrid w:val="0"/>
        <w:rPr>
          <w:rFonts w:hint="eastAsia" w:ascii="宋体" w:hAnsi="宋体"/>
          <w:color w:val="auto"/>
          <w:szCs w:val="21"/>
          <w:highlight w:val="none"/>
        </w:rPr>
      </w:pPr>
    </w:p>
    <w:p w14:paraId="7583B32F">
      <w:pPr>
        <w:adjustRightInd w:val="0"/>
        <w:snapToGrid w:val="0"/>
        <w:rPr>
          <w:rFonts w:hint="eastAsia" w:ascii="宋体" w:hAnsi="宋体"/>
          <w:color w:val="auto"/>
          <w:szCs w:val="21"/>
          <w:highlight w:val="none"/>
        </w:rPr>
      </w:pPr>
    </w:p>
    <w:p w14:paraId="26FFDEB0">
      <w:pPr>
        <w:tabs>
          <w:tab w:val="left" w:pos="720"/>
        </w:tabs>
        <w:adjustRightInd w:val="0"/>
        <w:snapToGrid w:val="0"/>
        <w:jc w:val="center"/>
        <w:rPr>
          <w:rFonts w:hint="eastAsia"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14:paraId="76721F11">
      <w:pPr>
        <w:spacing w:before="156" w:beforeLines="50" w:after="156" w:afterLines="50" w:line="360" w:lineRule="auto"/>
        <w:ind w:left="601" w:hanging="601"/>
        <w:rPr>
          <w:rFonts w:hint="eastAsia"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14:paraId="51793A26">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7F1D497A">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02FA8A2">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14:paraId="0B6CD93D">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6854612">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2、评标标准</w:t>
      </w:r>
    </w:p>
    <w:p w14:paraId="742EEF2C">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41B72C23">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2D9AE37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40425FD5">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5F72464D">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22B1C416">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14:paraId="46B0EC04">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4D87C4A6">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179EDBF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54418FA2">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335ACCE9">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3BCCB4B0">
      <w:pPr>
        <w:rPr>
          <w:rFonts w:eastAsia="黑体"/>
          <w:b/>
          <w:bCs/>
          <w:color w:val="auto"/>
          <w:kern w:val="44"/>
          <w:sz w:val="24"/>
          <w:highlight w:val="none"/>
        </w:rPr>
      </w:pPr>
    </w:p>
    <w:p w14:paraId="695D4BB8">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14:paraId="4A0BF19A">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31E1301B">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10A6EEEF">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3AB6DFA6">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7A952FBF">
      <w:pPr>
        <w:pStyle w:val="17"/>
        <w:spacing w:line="360" w:lineRule="auto"/>
        <w:ind w:left="410" w:hanging="410" w:hangingChars="170"/>
        <w:rPr>
          <w:rFonts w:hint="eastAsia" w:hAnsi="宋体"/>
          <w:b/>
          <w:color w:val="auto"/>
          <w:sz w:val="24"/>
          <w:szCs w:val="24"/>
          <w:highlight w:val="none"/>
        </w:rPr>
      </w:pPr>
    </w:p>
    <w:p w14:paraId="6FA611AF">
      <w:pPr>
        <w:pStyle w:val="17"/>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14:paraId="280624E5">
      <w:pPr>
        <w:pStyle w:val="17"/>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14:paraId="323C90C0">
      <w:pPr>
        <w:spacing w:after="156" w:afterLines="50"/>
        <w:ind w:left="601" w:hanging="601"/>
        <w:rPr>
          <w:rFonts w:hint="eastAsia" w:ascii="宋体" w:hAnsi="宋体"/>
          <w:b/>
          <w:color w:val="auto"/>
          <w:sz w:val="28"/>
          <w:highlight w:val="none"/>
        </w:rPr>
      </w:pPr>
      <w:r>
        <w:rPr>
          <w:rFonts w:hint="eastAsia" w:ascii="宋体" w:hAnsi="宋体"/>
          <w:b/>
          <w:color w:val="auto"/>
          <w:sz w:val="28"/>
          <w:highlight w:val="none"/>
        </w:rPr>
        <w:t>三、具体技术规格</w:t>
      </w:r>
    </w:p>
    <w:p w14:paraId="0409BC4E">
      <w:pPr>
        <w:rPr>
          <w:color w:val="auto"/>
          <w:sz w:val="24"/>
          <w:highlight w:val="none"/>
        </w:rPr>
      </w:pPr>
    </w:p>
    <w:p w14:paraId="3FBBE495">
      <w:pPr>
        <w:jc w:val="center"/>
        <w:rPr>
          <w:b/>
          <w:color w:val="auto"/>
          <w:sz w:val="24"/>
          <w:highlight w:val="none"/>
        </w:rPr>
      </w:pPr>
      <w:r>
        <w:rPr>
          <w:rFonts w:hint="eastAsia"/>
          <w:b/>
          <w:color w:val="auto"/>
          <w:sz w:val="24"/>
          <w:highlight w:val="none"/>
        </w:rPr>
        <w:t xml:space="preserve">第1包 </w:t>
      </w:r>
      <w:r>
        <w:rPr>
          <w:rFonts w:hint="eastAsia" w:ascii="宋体" w:hAnsi="宋体" w:cs="宋体"/>
          <w:b/>
          <w:bCs/>
          <w:color w:val="auto"/>
          <w:kern w:val="0"/>
          <w:sz w:val="24"/>
          <w:highlight w:val="none"/>
        </w:rPr>
        <w:t>激光干涉仪</w:t>
      </w:r>
    </w:p>
    <w:p w14:paraId="72410489">
      <w:pPr>
        <w:rPr>
          <w:b/>
          <w:color w:val="auto"/>
          <w:sz w:val="24"/>
          <w:highlight w:val="none"/>
        </w:rPr>
      </w:pPr>
    </w:p>
    <w:p w14:paraId="480ABC1E">
      <w:pPr>
        <w:rPr>
          <w:b/>
          <w:color w:val="auto"/>
          <w:sz w:val="24"/>
          <w:highlight w:val="none"/>
        </w:rPr>
      </w:pPr>
    </w:p>
    <w:p w14:paraId="2BB8CA09">
      <w:pPr>
        <w:numPr>
          <w:ilvl w:val="0"/>
          <w:numId w:val="1"/>
        </w:numPr>
        <w:rPr>
          <w:b/>
          <w:color w:val="auto"/>
          <w:sz w:val="24"/>
          <w:highlight w:val="none"/>
        </w:rPr>
      </w:pPr>
      <w:r>
        <w:rPr>
          <w:rFonts w:hint="eastAsia"/>
          <w:b/>
          <w:color w:val="auto"/>
          <w:sz w:val="24"/>
          <w:highlight w:val="none"/>
        </w:rPr>
        <w:t>技术要求：</w:t>
      </w:r>
    </w:p>
    <w:p w14:paraId="7C2D845E">
      <w:pPr>
        <w:rPr>
          <w:b/>
          <w:color w:val="auto"/>
          <w:sz w:val="24"/>
          <w:highlight w:val="none"/>
        </w:rPr>
      </w:pPr>
    </w:p>
    <w:p w14:paraId="1D11478B">
      <w:pPr>
        <w:numPr>
          <w:ilvl w:val="0"/>
          <w:numId w:val="2"/>
        </w:numPr>
        <w:adjustRightInd w:val="0"/>
        <w:snapToGrid w:val="0"/>
        <w:spacing w:line="360" w:lineRule="auto"/>
        <w:rPr>
          <w:b/>
          <w:color w:val="auto"/>
          <w:sz w:val="24"/>
          <w:highlight w:val="none"/>
        </w:rPr>
      </w:pPr>
      <w:r>
        <w:rPr>
          <w:rFonts w:hint="eastAsia"/>
          <w:b/>
          <w:color w:val="auto"/>
          <w:sz w:val="24"/>
          <w:highlight w:val="none"/>
        </w:rPr>
        <w:t>工作条件：</w:t>
      </w:r>
    </w:p>
    <w:p w14:paraId="3AF24EC7">
      <w:pPr>
        <w:numPr>
          <w:ilvl w:val="1"/>
          <w:numId w:val="0"/>
        </w:numPr>
        <w:adjustRightInd w:val="0"/>
        <w:snapToGrid w:val="0"/>
        <w:spacing w:line="360" w:lineRule="auto"/>
        <w:rPr>
          <w:color w:val="auto"/>
          <w:sz w:val="24"/>
          <w:highlight w:val="none"/>
        </w:rPr>
      </w:pPr>
      <w:r>
        <w:rPr>
          <w:color w:val="auto"/>
          <w:sz w:val="24"/>
          <w:highlight w:val="none"/>
        </w:rPr>
        <w:t>1.1</w:t>
      </w:r>
      <w:r>
        <w:rPr>
          <w:rFonts w:hint="eastAsia"/>
          <w:color w:val="auto"/>
          <w:sz w:val="24"/>
          <w:highlight w:val="none"/>
        </w:rPr>
        <w:t xml:space="preserve"> 环境温度：15℃～40℃ </w:t>
      </w:r>
    </w:p>
    <w:p w14:paraId="7CC4F35E">
      <w:pPr>
        <w:adjustRightInd w:val="0"/>
        <w:snapToGrid w:val="0"/>
        <w:spacing w:line="360" w:lineRule="auto"/>
        <w:rPr>
          <w:color w:val="auto"/>
          <w:sz w:val="24"/>
          <w:highlight w:val="none"/>
        </w:rPr>
      </w:pPr>
      <w:r>
        <w:rPr>
          <w:rFonts w:hint="eastAsia"/>
          <w:color w:val="auto"/>
          <w:sz w:val="24"/>
          <w:highlight w:val="none"/>
        </w:rPr>
        <w:t>1.2 相对湿度：≤80%</w:t>
      </w:r>
    </w:p>
    <w:p w14:paraId="2AB95D81">
      <w:pPr>
        <w:adjustRightInd w:val="0"/>
        <w:snapToGrid w:val="0"/>
        <w:spacing w:line="360" w:lineRule="auto"/>
        <w:rPr>
          <w:color w:val="auto"/>
          <w:sz w:val="24"/>
          <w:highlight w:val="none"/>
        </w:rPr>
      </w:pPr>
      <w:r>
        <w:rPr>
          <w:rFonts w:hint="eastAsia"/>
          <w:color w:val="auto"/>
          <w:sz w:val="24"/>
          <w:highlight w:val="none"/>
        </w:rPr>
        <w:t>1.3 使用电源：AC220 V±22 V，50 Hz±1 Hz</w:t>
      </w:r>
    </w:p>
    <w:p w14:paraId="7FFFFE30">
      <w:pPr>
        <w:adjustRightInd w:val="0"/>
        <w:snapToGrid w:val="0"/>
        <w:spacing w:line="360" w:lineRule="auto"/>
        <w:rPr>
          <w:color w:val="auto"/>
          <w:sz w:val="24"/>
          <w:highlight w:val="none"/>
        </w:rPr>
      </w:pPr>
    </w:p>
    <w:p w14:paraId="1AC768A8">
      <w:pPr>
        <w:numPr>
          <w:ilvl w:val="0"/>
          <w:numId w:val="2"/>
        </w:numPr>
        <w:adjustRightInd w:val="0"/>
        <w:snapToGrid w:val="0"/>
        <w:spacing w:line="360" w:lineRule="auto"/>
        <w:rPr>
          <w:b/>
          <w:color w:val="auto"/>
          <w:sz w:val="24"/>
          <w:highlight w:val="none"/>
        </w:rPr>
      </w:pPr>
      <w:r>
        <w:rPr>
          <w:rFonts w:hint="eastAsia"/>
          <w:b/>
          <w:color w:val="auto"/>
          <w:sz w:val="24"/>
          <w:highlight w:val="none"/>
        </w:rPr>
        <w:t>设备用途：</w:t>
      </w:r>
    </w:p>
    <w:p w14:paraId="6F06BA30">
      <w:pPr>
        <w:adjustRightInd w:val="0"/>
        <w:snapToGrid w:val="0"/>
        <w:spacing w:line="360" w:lineRule="auto"/>
        <w:ind w:firstLine="480" w:firstLineChars="200"/>
        <w:rPr>
          <w:color w:val="auto"/>
          <w:sz w:val="24"/>
          <w:highlight w:val="none"/>
        </w:rPr>
      </w:pPr>
      <w:r>
        <w:rPr>
          <w:rFonts w:hint="eastAsia"/>
          <w:color w:val="auto"/>
          <w:sz w:val="24"/>
          <w:highlight w:val="none"/>
        </w:rPr>
        <w:t>激光干涉仪主要用于检测和测量各种光学元件的表面形貌和波前误差，包括反射面或光学面的形貌表征，以及材料表面形貌、透光材料内部光学均匀性的测试表征。</w:t>
      </w:r>
    </w:p>
    <w:p w14:paraId="7021B660">
      <w:pPr>
        <w:adjustRightInd w:val="0"/>
        <w:snapToGrid w:val="0"/>
        <w:spacing w:line="360" w:lineRule="auto"/>
        <w:rPr>
          <w:color w:val="auto"/>
          <w:sz w:val="24"/>
          <w:highlight w:val="none"/>
        </w:rPr>
      </w:pPr>
    </w:p>
    <w:p w14:paraId="585E734A">
      <w:pPr>
        <w:numPr>
          <w:ilvl w:val="0"/>
          <w:numId w:val="2"/>
        </w:numPr>
        <w:adjustRightInd w:val="0"/>
        <w:snapToGrid w:val="0"/>
        <w:spacing w:line="360" w:lineRule="auto"/>
        <w:rPr>
          <w:b/>
          <w:color w:val="auto"/>
          <w:sz w:val="24"/>
          <w:highlight w:val="none"/>
        </w:rPr>
      </w:pPr>
      <w:r>
        <w:rPr>
          <w:rFonts w:hint="eastAsia"/>
          <w:b/>
          <w:color w:val="auto"/>
          <w:sz w:val="24"/>
          <w:highlight w:val="none"/>
        </w:rPr>
        <w:t>技术规格：</w:t>
      </w:r>
    </w:p>
    <w:p w14:paraId="3A79C5CF">
      <w:pPr>
        <w:adjustRightInd w:val="0"/>
        <w:snapToGrid w:val="0"/>
        <w:spacing w:line="360" w:lineRule="auto"/>
        <w:rPr>
          <w:color w:val="auto"/>
          <w:sz w:val="24"/>
          <w:highlight w:val="none"/>
        </w:rPr>
      </w:pPr>
      <w:r>
        <w:rPr>
          <w:rFonts w:hint="eastAsia"/>
          <w:color w:val="auto"/>
          <w:sz w:val="24"/>
          <w:highlight w:val="none"/>
        </w:rPr>
        <w:t>#</w:t>
      </w:r>
      <w:r>
        <w:rPr>
          <w:color w:val="auto"/>
          <w:sz w:val="24"/>
          <w:highlight w:val="none"/>
        </w:rPr>
        <w:t xml:space="preserve">3.1 </w:t>
      </w:r>
      <w:r>
        <w:rPr>
          <w:rFonts w:hint="eastAsia"/>
          <w:color w:val="auto"/>
          <w:kern w:val="0"/>
          <w:sz w:val="24"/>
          <w:highlight w:val="none"/>
        </w:rPr>
        <w:t>类型</w:t>
      </w:r>
      <w:r>
        <w:rPr>
          <w:color w:val="auto"/>
          <w:kern w:val="0"/>
          <w:sz w:val="24"/>
          <w:highlight w:val="none"/>
        </w:rPr>
        <w:t>：斐索型光路、移相式、抗震型；</w:t>
      </w:r>
    </w:p>
    <w:p w14:paraId="6CA66D90">
      <w:pPr>
        <w:adjustRightInd w:val="0"/>
        <w:snapToGrid w:val="0"/>
        <w:spacing w:line="360" w:lineRule="auto"/>
        <w:rPr>
          <w:color w:val="auto"/>
          <w:kern w:val="0"/>
          <w:sz w:val="24"/>
          <w:highlight w:val="none"/>
        </w:rPr>
      </w:pPr>
      <w:r>
        <w:rPr>
          <w:color w:val="auto"/>
          <w:sz w:val="24"/>
          <w:highlight w:val="none"/>
        </w:rPr>
        <w:t>*3.2 测试</w:t>
      </w:r>
      <w:r>
        <w:rPr>
          <w:color w:val="auto"/>
          <w:kern w:val="0"/>
          <w:sz w:val="24"/>
          <w:highlight w:val="none"/>
        </w:rPr>
        <w:t>口径：4英寸或≥100mm；</w:t>
      </w:r>
    </w:p>
    <w:p w14:paraId="47C62592">
      <w:pPr>
        <w:adjustRightInd w:val="0"/>
        <w:snapToGrid w:val="0"/>
        <w:spacing w:line="360" w:lineRule="auto"/>
        <w:rPr>
          <w:color w:val="auto"/>
          <w:kern w:val="0"/>
          <w:sz w:val="24"/>
          <w:highlight w:val="none"/>
        </w:rPr>
      </w:pPr>
      <w:r>
        <w:rPr>
          <w:color w:val="auto"/>
          <w:sz w:val="24"/>
          <w:highlight w:val="none"/>
        </w:rPr>
        <w:t xml:space="preserve">3.3 </w:t>
      </w:r>
      <w:r>
        <w:rPr>
          <w:color w:val="auto"/>
          <w:kern w:val="0"/>
          <w:sz w:val="24"/>
          <w:highlight w:val="none"/>
        </w:rPr>
        <w:t>测试波长：633nm</w:t>
      </w:r>
      <w:r>
        <w:rPr>
          <w:rFonts w:hint="eastAsia"/>
          <w:color w:val="auto"/>
          <w:kern w:val="0"/>
          <w:sz w:val="24"/>
          <w:highlight w:val="none"/>
        </w:rPr>
        <w:t>；</w:t>
      </w:r>
    </w:p>
    <w:p w14:paraId="0DBEDA1F">
      <w:pPr>
        <w:adjustRightInd w:val="0"/>
        <w:snapToGrid w:val="0"/>
        <w:spacing w:line="360" w:lineRule="auto"/>
        <w:rPr>
          <w:color w:val="auto"/>
          <w:kern w:val="0"/>
          <w:sz w:val="24"/>
          <w:highlight w:val="none"/>
        </w:rPr>
      </w:pPr>
      <w:r>
        <w:rPr>
          <w:rFonts w:hint="eastAsia"/>
          <w:color w:val="auto"/>
          <w:sz w:val="24"/>
          <w:highlight w:val="none"/>
        </w:rPr>
        <w:t>#</w:t>
      </w:r>
      <w:r>
        <w:rPr>
          <w:color w:val="auto"/>
          <w:sz w:val="24"/>
          <w:highlight w:val="none"/>
        </w:rPr>
        <w:t xml:space="preserve">3.4 </w:t>
      </w:r>
      <w:r>
        <w:rPr>
          <w:color w:val="auto"/>
          <w:kern w:val="0"/>
          <w:sz w:val="24"/>
          <w:highlight w:val="none"/>
        </w:rPr>
        <w:t>光源频率稳定度达到0.0001nm</w:t>
      </w:r>
      <w:r>
        <w:rPr>
          <w:rFonts w:hint="eastAsia"/>
          <w:color w:val="auto"/>
          <w:kern w:val="0"/>
          <w:sz w:val="24"/>
          <w:highlight w:val="none"/>
        </w:rPr>
        <w:t>；</w:t>
      </w:r>
    </w:p>
    <w:p w14:paraId="4E38001A">
      <w:pPr>
        <w:adjustRightInd w:val="0"/>
        <w:snapToGrid w:val="0"/>
        <w:spacing w:line="360" w:lineRule="auto"/>
        <w:rPr>
          <w:color w:val="auto"/>
          <w:kern w:val="0"/>
          <w:sz w:val="24"/>
          <w:highlight w:val="none"/>
        </w:rPr>
      </w:pPr>
      <w:r>
        <w:rPr>
          <w:color w:val="auto"/>
          <w:sz w:val="24"/>
          <w:highlight w:val="none"/>
        </w:rPr>
        <w:t xml:space="preserve">3.5 </w:t>
      </w:r>
      <w:r>
        <w:rPr>
          <w:color w:val="auto"/>
          <w:kern w:val="0"/>
          <w:sz w:val="24"/>
          <w:highlight w:val="none"/>
        </w:rPr>
        <w:t>光瞳调焦范围：≥ ±5.5m；</w:t>
      </w:r>
    </w:p>
    <w:p w14:paraId="254534E5">
      <w:pPr>
        <w:adjustRightInd w:val="0"/>
        <w:snapToGrid w:val="0"/>
        <w:spacing w:line="360" w:lineRule="auto"/>
        <w:rPr>
          <w:color w:val="auto"/>
          <w:kern w:val="0"/>
          <w:sz w:val="24"/>
          <w:highlight w:val="none"/>
        </w:rPr>
      </w:pPr>
      <w:r>
        <w:rPr>
          <w:color w:val="auto"/>
          <w:sz w:val="24"/>
          <w:highlight w:val="none"/>
        </w:rPr>
        <w:t>3.</w:t>
      </w:r>
      <w:r>
        <w:rPr>
          <w:rFonts w:hint="eastAsia"/>
          <w:color w:val="auto"/>
          <w:sz w:val="24"/>
          <w:highlight w:val="none"/>
          <w:lang w:val="en-US" w:eastAsia="zh-CN"/>
        </w:rPr>
        <w:t>6</w:t>
      </w:r>
      <w:r>
        <w:rPr>
          <w:color w:val="auto"/>
          <w:sz w:val="24"/>
          <w:highlight w:val="none"/>
        </w:rPr>
        <w:t xml:space="preserve"> </w:t>
      </w:r>
      <w:r>
        <w:rPr>
          <w:color w:val="auto"/>
          <w:kern w:val="0"/>
          <w:sz w:val="24"/>
          <w:highlight w:val="none"/>
        </w:rPr>
        <w:t>校准系统：快速条纹采样系统，双光点定位于十字线；视场校准范围：≥ ±2°；</w:t>
      </w:r>
    </w:p>
    <w:p w14:paraId="6B0AFB3F">
      <w:pPr>
        <w:adjustRightInd w:val="0"/>
        <w:snapToGrid w:val="0"/>
        <w:spacing w:line="360" w:lineRule="auto"/>
        <w:rPr>
          <w:color w:val="auto"/>
          <w:kern w:val="0"/>
          <w:sz w:val="24"/>
          <w:highlight w:val="none"/>
        </w:rPr>
      </w:pPr>
      <w:r>
        <w:rPr>
          <w:rFonts w:hint="eastAsia"/>
          <w:color w:val="auto"/>
          <w:sz w:val="24"/>
          <w:highlight w:val="none"/>
        </w:rPr>
        <w:t>#</w:t>
      </w:r>
      <w:r>
        <w:rPr>
          <w:color w:val="auto"/>
          <w:sz w:val="24"/>
          <w:highlight w:val="none"/>
        </w:rPr>
        <w:t>3.</w:t>
      </w:r>
      <w:r>
        <w:rPr>
          <w:rFonts w:hint="eastAsia"/>
          <w:color w:val="auto"/>
          <w:sz w:val="24"/>
          <w:highlight w:val="none"/>
          <w:lang w:val="en-US" w:eastAsia="zh-CN"/>
        </w:rPr>
        <w:t>7</w:t>
      </w:r>
      <w:r>
        <w:rPr>
          <w:color w:val="auto"/>
          <w:sz w:val="24"/>
          <w:highlight w:val="none"/>
        </w:rPr>
        <w:t xml:space="preserve"> </w:t>
      </w:r>
      <w:r>
        <w:rPr>
          <w:color w:val="auto"/>
          <w:kern w:val="0"/>
          <w:sz w:val="24"/>
          <w:highlight w:val="none"/>
        </w:rPr>
        <w:t>均方根值（RMS）重复性：&lt;λ/10,000（2σ）</w:t>
      </w:r>
      <w:r>
        <w:rPr>
          <w:rFonts w:hint="eastAsia"/>
          <w:color w:val="auto"/>
          <w:kern w:val="0"/>
          <w:sz w:val="24"/>
          <w:highlight w:val="none"/>
        </w:rPr>
        <w:t>；</w:t>
      </w:r>
      <w:r>
        <w:rPr>
          <w:color w:val="auto"/>
          <w:kern w:val="0"/>
          <w:sz w:val="24"/>
          <w:highlight w:val="none"/>
        </w:rPr>
        <w:t>波前重复性&lt;λ/1800（mean+2σ）</w:t>
      </w:r>
      <w:r>
        <w:rPr>
          <w:rFonts w:hint="eastAsia"/>
          <w:color w:val="auto"/>
          <w:kern w:val="0"/>
          <w:sz w:val="24"/>
          <w:highlight w:val="none"/>
        </w:rPr>
        <w:t>；</w:t>
      </w:r>
    </w:p>
    <w:p w14:paraId="1F5599B9">
      <w:pPr>
        <w:adjustRightInd w:val="0"/>
        <w:snapToGrid w:val="0"/>
        <w:spacing w:line="360" w:lineRule="auto"/>
        <w:rPr>
          <w:color w:val="auto"/>
          <w:kern w:val="0"/>
          <w:sz w:val="24"/>
          <w:highlight w:val="none"/>
        </w:rPr>
      </w:pPr>
      <w:r>
        <w:rPr>
          <w:rFonts w:hint="eastAsia"/>
          <w:color w:val="auto"/>
          <w:sz w:val="24"/>
          <w:highlight w:val="none"/>
        </w:rPr>
        <w:t>#</w:t>
      </w:r>
      <w:r>
        <w:rPr>
          <w:color w:val="auto"/>
          <w:sz w:val="24"/>
          <w:highlight w:val="none"/>
        </w:rPr>
        <w:t>3.</w:t>
      </w:r>
      <w:r>
        <w:rPr>
          <w:rFonts w:hint="eastAsia"/>
          <w:color w:val="auto"/>
          <w:sz w:val="24"/>
          <w:highlight w:val="none"/>
          <w:lang w:val="en-US" w:eastAsia="zh-CN"/>
        </w:rPr>
        <w:t>8</w:t>
      </w:r>
      <w:r>
        <w:rPr>
          <w:color w:val="auto"/>
          <w:sz w:val="24"/>
          <w:highlight w:val="none"/>
        </w:rPr>
        <w:t xml:space="preserve"> 成像</w:t>
      </w:r>
      <w:r>
        <w:rPr>
          <w:color w:val="auto"/>
          <w:kern w:val="0"/>
          <w:sz w:val="24"/>
          <w:highlight w:val="none"/>
        </w:rPr>
        <w:t>分辨率：1200×1200像素</w:t>
      </w:r>
      <w:r>
        <w:rPr>
          <w:rFonts w:hint="eastAsia"/>
          <w:color w:val="auto"/>
          <w:kern w:val="0"/>
          <w:sz w:val="24"/>
          <w:highlight w:val="none"/>
        </w:rPr>
        <w:t>，</w:t>
      </w:r>
      <w:r>
        <w:rPr>
          <w:color w:val="auto"/>
          <w:kern w:val="0"/>
          <w:sz w:val="24"/>
          <w:highlight w:val="none"/>
        </w:rPr>
        <w:t>帧速≥160Hz</w:t>
      </w:r>
      <w:r>
        <w:rPr>
          <w:rFonts w:hint="eastAsia"/>
          <w:color w:val="auto"/>
          <w:kern w:val="0"/>
          <w:sz w:val="24"/>
          <w:highlight w:val="none"/>
        </w:rPr>
        <w:t>；</w:t>
      </w:r>
    </w:p>
    <w:p w14:paraId="179C4069">
      <w:pPr>
        <w:adjustRightInd w:val="0"/>
        <w:snapToGrid w:val="0"/>
        <w:spacing w:line="360" w:lineRule="auto"/>
        <w:rPr>
          <w:color w:val="auto"/>
          <w:sz w:val="24"/>
          <w:highlight w:val="none"/>
        </w:rPr>
      </w:pPr>
      <w:r>
        <w:rPr>
          <w:rFonts w:hint="eastAsia"/>
          <w:color w:val="auto"/>
          <w:sz w:val="24"/>
          <w:highlight w:val="none"/>
        </w:rPr>
        <w:t>#</w:t>
      </w:r>
      <w:r>
        <w:rPr>
          <w:color w:val="auto"/>
          <w:sz w:val="24"/>
          <w:highlight w:val="none"/>
        </w:rPr>
        <w:t>3.</w:t>
      </w:r>
      <w:r>
        <w:rPr>
          <w:rFonts w:hint="eastAsia"/>
          <w:color w:val="auto"/>
          <w:sz w:val="24"/>
          <w:highlight w:val="none"/>
          <w:lang w:val="en-US" w:eastAsia="zh-CN"/>
        </w:rPr>
        <w:t>9</w:t>
      </w:r>
      <w:r>
        <w:rPr>
          <w:color w:val="auto"/>
          <w:sz w:val="24"/>
          <w:highlight w:val="none"/>
        </w:rPr>
        <w:t xml:space="preserve"> </w:t>
      </w:r>
      <w:r>
        <w:rPr>
          <w:color w:val="auto"/>
          <w:kern w:val="0"/>
          <w:sz w:val="24"/>
          <w:highlight w:val="none"/>
        </w:rPr>
        <w:t>光学变焦</w:t>
      </w:r>
      <w:r>
        <w:rPr>
          <w:rFonts w:hint="eastAsia"/>
          <w:color w:val="auto"/>
          <w:kern w:val="0"/>
          <w:sz w:val="24"/>
          <w:highlight w:val="none"/>
        </w:rPr>
        <w:t>：</w:t>
      </w:r>
      <w:r>
        <w:rPr>
          <w:color w:val="auto"/>
          <w:kern w:val="0"/>
          <w:sz w:val="24"/>
          <w:highlight w:val="none"/>
        </w:rPr>
        <w:t>1倍到5倍连续变焦</w:t>
      </w:r>
      <w:r>
        <w:rPr>
          <w:rFonts w:hint="eastAsia"/>
          <w:color w:val="auto"/>
          <w:kern w:val="0"/>
          <w:sz w:val="24"/>
          <w:highlight w:val="none"/>
        </w:rPr>
        <w:t>；</w:t>
      </w:r>
    </w:p>
    <w:p w14:paraId="605FC4F9">
      <w:pPr>
        <w:adjustRightInd w:val="0"/>
        <w:snapToGrid w:val="0"/>
        <w:spacing w:line="360" w:lineRule="auto"/>
        <w:rPr>
          <w:color w:val="auto"/>
          <w:sz w:val="24"/>
          <w:highlight w:val="none"/>
        </w:rPr>
      </w:pPr>
      <w:r>
        <w:rPr>
          <w:rFonts w:hint="eastAsia"/>
          <w:color w:val="auto"/>
          <w:sz w:val="24"/>
          <w:highlight w:val="none"/>
        </w:rPr>
        <w:t>#</w:t>
      </w:r>
      <w:r>
        <w:rPr>
          <w:color w:val="auto"/>
          <w:sz w:val="24"/>
          <w:highlight w:val="none"/>
        </w:rPr>
        <w:t>3.</w:t>
      </w:r>
      <w:r>
        <w:rPr>
          <w:rFonts w:hint="eastAsia"/>
          <w:color w:val="auto"/>
          <w:sz w:val="24"/>
          <w:highlight w:val="none"/>
          <w:lang w:val="en-US" w:eastAsia="zh-CN"/>
        </w:rPr>
        <w:t>10</w:t>
      </w:r>
      <w:r>
        <w:rPr>
          <w:rFonts w:hint="eastAsia"/>
          <w:color w:val="auto"/>
          <w:sz w:val="24"/>
          <w:highlight w:val="none"/>
        </w:rPr>
        <w:t xml:space="preserve"> 配备4英寸透射平面镜（面型PV值：优于λ/20；反射率4%）；</w:t>
      </w:r>
    </w:p>
    <w:p w14:paraId="55147393">
      <w:pPr>
        <w:adjustRightInd w:val="0"/>
        <w:snapToGrid w:val="0"/>
        <w:spacing w:line="360" w:lineRule="auto"/>
        <w:rPr>
          <w:color w:val="auto"/>
          <w:kern w:val="0"/>
          <w:sz w:val="24"/>
          <w:highlight w:val="none"/>
        </w:rPr>
      </w:pPr>
      <w:r>
        <w:rPr>
          <w:rFonts w:hint="eastAsia"/>
          <w:color w:val="auto"/>
          <w:sz w:val="24"/>
          <w:highlight w:val="none"/>
        </w:rPr>
        <w:t>#</w:t>
      </w:r>
      <w:r>
        <w:rPr>
          <w:color w:val="auto"/>
          <w:sz w:val="24"/>
          <w:highlight w:val="none"/>
        </w:rPr>
        <w:t>3.1</w:t>
      </w:r>
      <w:r>
        <w:rPr>
          <w:rFonts w:hint="eastAsia"/>
          <w:color w:val="auto"/>
          <w:sz w:val="24"/>
          <w:highlight w:val="none"/>
          <w:lang w:val="en-US" w:eastAsia="zh-CN"/>
        </w:rPr>
        <w:t>1</w:t>
      </w:r>
      <w:r>
        <w:rPr>
          <w:color w:val="auto"/>
          <w:sz w:val="24"/>
          <w:highlight w:val="none"/>
        </w:rPr>
        <w:t xml:space="preserve"> </w:t>
      </w:r>
      <w:r>
        <w:rPr>
          <w:rFonts w:hint="eastAsia"/>
          <w:color w:val="auto"/>
          <w:sz w:val="24"/>
          <w:highlight w:val="none"/>
        </w:rPr>
        <w:t>配备33mm透射平面镜，带自适应薄膜能够适应不同反射率的样品（面型PV值：优于λ/20；反射率4%）；</w:t>
      </w:r>
    </w:p>
    <w:p w14:paraId="3DD60961">
      <w:pPr>
        <w:adjustRightInd w:val="0"/>
        <w:snapToGrid w:val="0"/>
        <w:spacing w:line="360" w:lineRule="auto"/>
        <w:rPr>
          <w:color w:val="auto"/>
          <w:sz w:val="24"/>
          <w:highlight w:val="none"/>
        </w:rPr>
      </w:pPr>
      <w:r>
        <w:rPr>
          <w:color w:val="auto"/>
          <w:sz w:val="24"/>
          <w:highlight w:val="none"/>
        </w:rPr>
        <w:t>*</w:t>
      </w:r>
      <w:r>
        <w:rPr>
          <w:rFonts w:hint="eastAsia"/>
          <w:color w:val="auto"/>
          <w:sz w:val="24"/>
          <w:highlight w:val="none"/>
        </w:rPr>
        <w:t>3.1</w:t>
      </w:r>
      <w:r>
        <w:rPr>
          <w:rFonts w:hint="eastAsia"/>
          <w:color w:val="auto"/>
          <w:sz w:val="24"/>
          <w:highlight w:val="none"/>
          <w:lang w:val="en-US" w:eastAsia="zh-CN"/>
        </w:rPr>
        <w:t>2</w:t>
      </w:r>
      <w:r>
        <w:rPr>
          <w:rFonts w:hint="eastAsia"/>
          <w:color w:val="auto"/>
          <w:sz w:val="24"/>
          <w:highlight w:val="none"/>
        </w:rPr>
        <w:t xml:space="preserve"> 配置缩束系统实现从100mm缩束至25mm，实现对微小尺寸样品的高精密测量；</w:t>
      </w:r>
    </w:p>
    <w:p w14:paraId="110D9766">
      <w:pPr>
        <w:adjustRightInd w:val="0"/>
        <w:snapToGrid w:val="0"/>
        <w:spacing w:line="360" w:lineRule="auto"/>
        <w:rPr>
          <w:color w:val="auto"/>
          <w:sz w:val="24"/>
          <w:highlight w:val="none"/>
        </w:rPr>
      </w:pPr>
      <w:r>
        <w:rPr>
          <w:rFonts w:hint="eastAsia"/>
          <w:color w:val="auto"/>
          <w:sz w:val="24"/>
          <w:highlight w:val="none"/>
        </w:rPr>
        <w:t>3.1</w:t>
      </w:r>
      <w:r>
        <w:rPr>
          <w:rFonts w:hint="eastAsia"/>
          <w:color w:val="auto"/>
          <w:sz w:val="24"/>
          <w:highlight w:val="none"/>
          <w:lang w:val="en-US" w:eastAsia="zh-CN"/>
        </w:rPr>
        <w:t>3</w:t>
      </w:r>
      <w:r>
        <w:rPr>
          <w:rFonts w:hint="eastAsia"/>
          <w:color w:val="auto"/>
          <w:sz w:val="24"/>
          <w:highlight w:val="none"/>
        </w:rPr>
        <w:t xml:space="preserve"> 配置样品二维调整架及自中心夹具实现对样品自由调节测量；</w:t>
      </w:r>
    </w:p>
    <w:p w14:paraId="31D4CB8A">
      <w:pPr>
        <w:adjustRightInd w:val="0"/>
        <w:snapToGrid w:val="0"/>
        <w:spacing w:line="360" w:lineRule="auto"/>
        <w:rPr>
          <w:rFonts w:hint="eastAsia" w:eastAsia="宋体"/>
          <w:color w:val="auto"/>
          <w:sz w:val="24"/>
          <w:highlight w:val="none"/>
          <w:lang w:val="en-US" w:eastAsia="zh-CN"/>
        </w:rPr>
      </w:pPr>
      <w:r>
        <w:rPr>
          <w:color w:val="auto"/>
          <w:sz w:val="24"/>
          <w:highlight w:val="none"/>
        </w:rPr>
        <w:t>3.1</w:t>
      </w:r>
      <w:r>
        <w:rPr>
          <w:rFonts w:hint="eastAsia"/>
          <w:color w:val="auto"/>
          <w:sz w:val="24"/>
          <w:highlight w:val="none"/>
          <w:lang w:val="en-US" w:eastAsia="zh-CN"/>
        </w:rPr>
        <w:t>4</w:t>
      </w:r>
      <w:r>
        <w:rPr>
          <w:color w:val="auto"/>
          <w:sz w:val="24"/>
          <w:highlight w:val="none"/>
        </w:rPr>
        <w:t xml:space="preserve"> 需随机配置分析测试软件，适用于Windows操作系统</w:t>
      </w:r>
      <w:r>
        <w:rPr>
          <w:rFonts w:hint="eastAsia"/>
          <w:color w:val="auto"/>
          <w:sz w:val="24"/>
          <w:highlight w:val="none"/>
          <w:lang w:eastAsia="zh-CN"/>
        </w:rPr>
        <w:t>；</w:t>
      </w:r>
    </w:p>
    <w:p w14:paraId="6978C6E7">
      <w:pPr>
        <w:adjustRightInd w:val="0"/>
        <w:snapToGrid w:val="0"/>
        <w:spacing w:line="360" w:lineRule="auto"/>
        <w:rPr>
          <w:rFonts w:hint="eastAsia" w:eastAsia="宋体"/>
          <w:color w:val="auto"/>
          <w:kern w:val="0"/>
          <w:sz w:val="24"/>
          <w:highlight w:val="none"/>
          <w:lang w:eastAsia="zh-CN"/>
        </w:rPr>
      </w:pPr>
      <w:r>
        <w:rPr>
          <w:color w:val="auto"/>
          <w:kern w:val="0"/>
          <w:sz w:val="24"/>
          <w:highlight w:val="none"/>
        </w:rPr>
        <w:t>3.1</w:t>
      </w:r>
      <w:r>
        <w:rPr>
          <w:rFonts w:hint="eastAsia"/>
          <w:color w:val="auto"/>
          <w:kern w:val="0"/>
          <w:sz w:val="24"/>
          <w:highlight w:val="none"/>
          <w:lang w:val="en-US" w:eastAsia="zh-CN"/>
        </w:rPr>
        <w:t>5</w:t>
      </w:r>
      <w:r>
        <w:rPr>
          <w:color w:val="auto"/>
          <w:kern w:val="0"/>
          <w:sz w:val="24"/>
          <w:highlight w:val="none"/>
        </w:rPr>
        <w:t xml:space="preserve"> 具有抗震算法，在震动环境下，和无需抗震平台的情况下可以实现高精度测量</w:t>
      </w:r>
      <w:r>
        <w:rPr>
          <w:rFonts w:hint="eastAsia"/>
          <w:color w:val="auto"/>
          <w:kern w:val="0"/>
          <w:sz w:val="24"/>
          <w:highlight w:val="none"/>
          <w:lang w:eastAsia="zh-CN"/>
        </w:rPr>
        <w:t>。</w:t>
      </w:r>
    </w:p>
    <w:p w14:paraId="57599340">
      <w:pPr>
        <w:adjustRightInd w:val="0"/>
        <w:snapToGrid w:val="0"/>
        <w:spacing w:line="360" w:lineRule="auto"/>
        <w:rPr>
          <w:color w:val="auto"/>
          <w:kern w:val="0"/>
          <w:sz w:val="24"/>
          <w:highlight w:val="none"/>
        </w:rPr>
      </w:pPr>
    </w:p>
    <w:p w14:paraId="1FEF2989">
      <w:pPr>
        <w:numPr>
          <w:ilvl w:val="0"/>
          <w:numId w:val="2"/>
        </w:numPr>
        <w:adjustRightInd w:val="0"/>
        <w:snapToGrid w:val="0"/>
        <w:spacing w:line="360" w:lineRule="auto"/>
        <w:rPr>
          <w:b/>
          <w:color w:val="auto"/>
          <w:sz w:val="24"/>
          <w:highlight w:val="none"/>
        </w:rPr>
      </w:pPr>
      <w:r>
        <w:rPr>
          <w:rFonts w:hint="eastAsia"/>
          <w:b/>
          <w:color w:val="auto"/>
          <w:sz w:val="24"/>
          <w:highlight w:val="none"/>
        </w:rPr>
        <w:t>产品配置要求</w:t>
      </w:r>
    </w:p>
    <w:p w14:paraId="351933CD">
      <w:pPr>
        <w:adjustRightInd w:val="0"/>
        <w:snapToGrid w:val="0"/>
        <w:spacing w:line="360" w:lineRule="auto"/>
        <w:rPr>
          <w:color w:val="auto"/>
          <w:sz w:val="24"/>
          <w:highlight w:val="none"/>
        </w:rPr>
      </w:pPr>
      <w:r>
        <w:rPr>
          <w:rFonts w:hint="eastAsia"/>
          <w:color w:val="auto"/>
          <w:sz w:val="24"/>
          <w:highlight w:val="none"/>
        </w:rPr>
        <w:t>4.1 要求的附件、专用工具和消耗品</w:t>
      </w:r>
    </w:p>
    <w:p w14:paraId="6E8936BC">
      <w:pPr>
        <w:adjustRightInd w:val="0"/>
        <w:snapToGrid w:val="0"/>
        <w:spacing w:line="360" w:lineRule="auto"/>
        <w:rPr>
          <w:color w:val="auto"/>
          <w:kern w:val="0"/>
          <w:sz w:val="24"/>
          <w:highlight w:val="none"/>
        </w:rPr>
      </w:pPr>
      <w:r>
        <w:rPr>
          <w:rFonts w:hint="eastAsia"/>
          <w:color w:val="auto"/>
          <w:sz w:val="24"/>
          <w:highlight w:val="none"/>
        </w:rPr>
        <w:t xml:space="preserve">4.1.1 </w:t>
      </w:r>
      <w:r>
        <w:rPr>
          <w:rFonts w:hint="eastAsia"/>
          <w:color w:val="auto"/>
          <w:kern w:val="0"/>
          <w:sz w:val="24"/>
          <w:highlight w:val="none"/>
        </w:rPr>
        <w:t>测量功能：提供可旋转的3维图像，等轴图，等高线图，斜率图，线状曲线图。这些图像可以在显示器上显示，也可以通过彩色或黑白打印机输出；自动控制照射在摄像机上的光强，以保证最佳的测量信噪比；每次测量都可以同时显示在显示器上；软件提供以下数据剪辑：矩形，椭圆，正方形，圆，多边形以及曲线连接（自由形态）。</w:t>
      </w:r>
    </w:p>
    <w:p w14:paraId="22E520CE">
      <w:pPr>
        <w:adjustRightInd w:val="0"/>
        <w:snapToGrid w:val="0"/>
        <w:spacing w:line="360" w:lineRule="auto"/>
        <w:rPr>
          <w:color w:val="auto"/>
          <w:sz w:val="24"/>
          <w:highlight w:val="none"/>
        </w:rPr>
      </w:pPr>
      <w:r>
        <w:rPr>
          <w:rFonts w:hint="eastAsia"/>
          <w:color w:val="auto"/>
          <w:kern w:val="0"/>
          <w:sz w:val="24"/>
          <w:highlight w:val="none"/>
        </w:rPr>
        <w:t>4.1.2 软件有计算以下参数的分析功能：36个Zernike系数、峰—谷值、标准偏差、Strehl系数（比率）、方差、rms误差和rms剩余误差（残差）；Zernike 系数（多项式系数）的编辑，包括：输入各项，产生，删除,存储，倒转，旋转,相加和相减；可计算PSF，MTF，环绕能</w:t>
      </w:r>
      <w:r>
        <w:rPr>
          <w:rFonts w:hint="eastAsia"/>
          <w:color w:val="auto"/>
          <w:sz w:val="24"/>
          <w:highlight w:val="none"/>
        </w:rPr>
        <w:t>。</w:t>
      </w:r>
    </w:p>
    <w:p w14:paraId="4B2856CD">
      <w:pPr>
        <w:adjustRightInd w:val="0"/>
        <w:snapToGrid w:val="0"/>
        <w:spacing w:line="360" w:lineRule="auto"/>
        <w:rPr>
          <w:rFonts w:ascii="宋体"/>
          <w:color w:val="auto"/>
          <w:sz w:val="24"/>
          <w:highlight w:val="none"/>
        </w:rPr>
      </w:pPr>
      <w:r>
        <w:rPr>
          <w:rFonts w:hint="eastAsia"/>
          <w:color w:val="auto"/>
          <w:sz w:val="24"/>
          <w:highlight w:val="none"/>
        </w:rPr>
        <w:t>4.2 其它保证仪器设备的正常运行和常规保养所需的附件、专用工具和消耗品。(由投标人提供，请参考总则第2.1条)</w:t>
      </w:r>
    </w:p>
    <w:p w14:paraId="6596D9C0">
      <w:pPr>
        <w:tabs>
          <w:tab w:val="left" w:pos="540"/>
        </w:tabs>
        <w:adjustRightInd w:val="0"/>
        <w:snapToGrid w:val="0"/>
        <w:spacing w:line="360" w:lineRule="auto"/>
        <w:rPr>
          <w:b/>
          <w:color w:val="auto"/>
          <w:sz w:val="24"/>
          <w:highlight w:val="none"/>
        </w:rPr>
      </w:pPr>
    </w:p>
    <w:p w14:paraId="672C8E70">
      <w:pPr>
        <w:tabs>
          <w:tab w:val="left" w:pos="540"/>
        </w:tabs>
        <w:adjustRightInd w:val="0"/>
        <w:snapToGrid w:val="0"/>
        <w:spacing w:line="360" w:lineRule="auto"/>
        <w:rPr>
          <w:b/>
          <w:color w:val="auto"/>
          <w:sz w:val="24"/>
          <w:highlight w:val="none"/>
        </w:rPr>
      </w:pPr>
      <w:r>
        <w:rPr>
          <w:rFonts w:hint="eastAsia"/>
          <w:b/>
          <w:color w:val="auto"/>
          <w:sz w:val="24"/>
          <w:highlight w:val="none"/>
        </w:rPr>
        <w:t>5.  技术文件：</w:t>
      </w:r>
    </w:p>
    <w:p w14:paraId="336149E9">
      <w:pPr>
        <w:adjustRightInd w:val="0"/>
        <w:snapToGrid w:val="0"/>
        <w:spacing w:line="360" w:lineRule="auto"/>
        <w:rPr>
          <w:color w:val="auto"/>
          <w:sz w:val="24"/>
          <w:highlight w:val="none"/>
        </w:rPr>
      </w:pPr>
      <w:r>
        <w:rPr>
          <w:rFonts w:hint="eastAsia"/>
          <w:color w:val="auto"/>
          <w:sz w:val="24"/>
          <w:highlight w:val="none"/>
        </w:rPr>
        <w:t>5.1 请参考总则第1.2条。</w:t>
      </w:r>
    </w:p>
    <w:p w14:paraId="365D46B6">
      <w:pPr>
        <w:adjustRightInd w:val="0"/>
        <w:snapToGrid w:val="0"/>
        <w:spacing w:line="360" w:lineRule="auto"/>
        <w:rPr>
          <w:color w:val="auto"/>
          <w:sz w:val="24"/>
          <w:highlight w:val="none"/>
        </w:rPr>
      </w:pPr>
      <w:r>
        <w:rPr>
          <w:rFonts w:hint="eastAsia"/>
          <w:color w:val="auto"/>
          <w:sz w:val="24"/>
          <w:highlight w:val="none"/>
        </w:rPr>
        <w:t>5.2 请参考总则第2.3条。</w:t>
      </w:r>
    </w:p>
    <w:p w14:paraId="336E9081">
      <w:pPr>
        <w:adjustRightInd w:val="0"/>
        <w:snapToGrid w:val="0"/>
        <w:spacing w:line="360" w:lineRule="auto"/>
        <w:rPr>
          <w:color w:val="auto"/>
          <w:sz w:val="24"/>
          <w:highlight w:val="none"/>
        </w:rPr>
      </w:pPr>
    </w:p>
    <w:p w14:paraId="33AA7D48">
      <w:pPr>
        <w:adjustRightInd w:val="0"/>
        <w:snapToGrid w:val="0"/>
        <w:spacing w:line="360" w:lineRule="auto"/>
        <w:rPr>
          <w:b/>
          <w:color w:val="auto"/>
          <w:sz w:val="24"/>
          <w:highlight w:val="none"/>
        </w:rPr>
      </w:pPr>
      <w:r>
        <w:rPr>
          <w:rFonts w:hint="eastAsia"/>
          <w:b/>
          <w:color w:val="auto"/>
          <w:sz w:val="24"/>
          <w:highlight w:val="none"/>
        </w:rPr>
        <w:t>（二）质保及售后服务：</w:t>
      </w:r>
    </w:p>
    <w:p w14:paraId="3684ADE2">
      <w:pPr>
        <w:adjustRightInd w:val="0"/>
        <w:snapToGrid w:val="0"/>
        <w:spacing w:line="360" w:lineRule="auto"/>
        <w:rPr>
          <w:color w:val="auto"/>
          <w:sz w:val="24"/>
          <w:highlight w:val="none"/>
        </w:rPr>
      </w:pPr>
      <w:r>
        <w:rPr>
          <w:rFonts w:hint="eastAsia"/>
          <w:color w:val="auto"/>
          <w:sz w:val="24"/>
          <w:highlight w:val="none"/>
        </w:rPr>
        <w:t>1.1 设备安装调试：设备到货后3个工作日内完成现场安装。</w:t>
      </w:r>
    </w:p>
    <w:p w14:paraId="5A007A6C">
      <w:pPr>
        <w:adjustRightInd w:val="0"/>
        <w:snapToGrid w:val="0"/>
        <w:spacing w:line="360" w:lineRule="auto"/>
        <w:rPr>
          <w:rFonts w:ascii="宋体"/>
          <w:color w:val="auto"/>
          <w:sz w:val="24"/>
          <w:highlight w:val="none"/>
        </w:rPr>
      </w:pPr>
      <w:bookmarkStart w:id="1" w:name="_Hlk182583229"/>
      <w:r>
        <w:rPr>
          <w:rFonts w:hint="eastAsia"/>
          <w:color w:val="auto"/>
          <w:sz w:val="24"/>
          <w:highlight w:val="none"/>
        </w:rPr>
        <w:t>1.2 技术培训：设备安装完成后</w:t>
      </w:r>
      <w:r>
        <w:rPr>
          <w:rFonts w:hint="eastAsia"/>
          <w:color w:val="auto"/>
          <w:sz w:val="24"/>
          <w:szCs w:val="22"/>
          <w:highlight w:val="none"/>
        </w:rPr>
        <w:t>5个工作日内</w:t>
      </w:r>
      <w:r>
        <w:rPr>
          <w:rFonts w:hint="eastAsia"/>
          <w:color w:val="auto"/>
          <w:sz w:val="24"/>
          <w:highlight w:val="none"/>
        </w:rPr>
        <w:t>对采购方的2~3名技术人员进行现场免费技术培训，包括并不限于仪器的基本操作和日常维护的现场培训，内容含仪器原理，使用方法和维护方法等。</w:t>
      </w:r>
      <w:r>
        <w:rPr>
          <w:rFonts w:hint="eastAsia"/>
          <w:color w:val="auto"/>
          <w:sz w:val="24"/>
          <w:szCs w:val="22"/>
          <w:highlight w:val="none"/>
        </w:rPr>
        <w:t>保证每个人具备独立操作的能力；</w:t>
      </w:r>
      <w:bookmarkStart w:id="2" w:name="_Hlk182583121"/>
      <w:r>
        <w:rPr>
          <w:rFonts w:hint="eastAsia"/>
          <w:color w:val="auto"/>
          <w:sz w:val="24"/>
          <w:szCs w:val="22"/>
          <w:highlight w:val="none"/>
        </w:rPr>
        <w:t>并在保质期内进行技术指导及使用和维护的第二次免费培训。</w:t>
      </w:r>
      <w:bookmarkEnd w:id="2"/>
      <w:r>
        <w:rPr>
          <w:rFonts w:hint="eastAsia"/>
          <w:color w:val="auto"/>
          <w:sz w:val="24"/>
          <w:highlight w:val="none"/>
        </w:rPr>
        <w:t>投标供应商须承诺提供该货物的技术培训、技术支持和维修巡检等服务，并在投标文件中提供相应书面方案。</w:t>
      </w:r>
      <w:bookmarkEnd w:id="1"/>
    </w:p>
    <w:p w14:paraId="5F6564F6">
      <w:pPr>
        <w:adjustRightInd w:val="0"/>
        <w:snapToGrid w:val="0"/>
        <w:spacing w:line="360" w:lineRule="auto"/>
        <w:rPr>
          <w:color w:val="auto"/>
          <w:sz w:val="24"/>
          <w:highlight w:val="none"/>
        </w:rPr>
      </w:pPr>
      <w:bookmarkStart w:id="3" w:name="_Hlk182583272"/>
      <w:r>
        <w:rPr>
          <w:rFonts w:hint="eastAsia"/>
          <w:color w:val="auto"/>
          <w:sz w:val="24"/>
          <w:highlight w:val="none"/>
        </w:rPr>
        <w:t>1.3 保修期：</w:t>
      </w:r>
    </w:p>
    <w:p w14:paraId="4FDF2881">
      <w:pPr>
        <w:adjustRightInd w:val="0"/>
        <w:snapToGrid w:val="0"/>
        <w:spacing w:line="360" w:lineRule="auto"/>
        <w:ind w:firstLine="480" w:firstLineChars="200"/>
        <w:rPr>
          <w:color w:val="auto"/>
          <w:sz w:val="24"/>
          <w:highlight w:val="none"/>
        </w:rPr>
      </w:pPr>
      <w:r>
        <w:rPr>
          <w:rFonts w:hint="eastAsia"/>
          <w:color w:val="auto"/>
          <w:sz w:val="24"/>
          <w:highlight w:val="none"/>
        </w:rPr>
        <w:t>1.3.1 质量保证期：</w:t>
      </w:r>
      <w:bookmarkStart w:id="4" w:name="_Hlk182570739"/>
      <w:bookmarkStart w:id="5" w:name="_Hlk182570775"/>
      <w:r>
        <w:rPr>
          <w:rFonts w:hint="eastAsia"/>
          <w:color w:val="auto"/>
          <w:sz w:val="24"/>
          <w:highlight w:val="none"/>
        </w:rPr>
        <w:t>自交货验收完毕之日算起，</w:t>
      </w:r>
      <w:bookmarkEnd w:id="4"/>
      <w:r>
        <w:rPr>
          <w:rFonts w:hint="eastAsia"/>
          <w:color w:val="auto"/>
          <w:sz w:val="24"/>
          <w:highlight w:val="none"/>
        </w:rPr>
        <w:t>设备质保1年。投标供应商对提供的货物及服务在质量保证期内，因设备质量而导致的缺陷，必须免费提供包修、包换、包退服务；因此导致的损失，采购单位有权向成交供应商追偿。</w:t>
      </w:r>
      <w:bookmarkEnd w:id="5"/>
    </w:p>
    <w:p w14:paraId="3F21AF5C">
      <w:pPr>
        <w:adjustRightInd w:val="0"/>
        <w:snapToGrid w:val="0"/>
        <w:spacing w:line="360" w:lineRule="auto"/>
        <w:ind w:firstLine="480" w:firstLineChars="200"/>
        <w:rPr>
          <w:color w:val="auto"/>
          <w:sz w:val="24"/>
          <w:highlight w:val="none"/>
        </w:rPr>
      </w:pPr>
      <w:r>
        <w:rPr>
          <w:rFonts w:hint="eastAsia"/>
          <w:color w:val="auto"/>
          <w:sz w:val="24"/>
          <w:highlight w:val="none"/>
        </w:rPr>
        <w:t>1.3.2 所有设备产品</w:t>
      </w:r>
      <w:bookmarkStart w:id="6" w:name="_Hlk182570832"/>
      <w:r>
        <w:rPr>
          <w:rFonts w:hint="eastAsia"/>
          <w:color w:val="auto"/>
          <w:sz w:val="24"/>
          <w:highlight w:val="none"/>
        </w:rPr>
        <w:t>提供全寿命维修，质保期之后按照市场价格由采购单位支付维修所产生的费用。</w:t>
      </w:r>
      <w:bookmarkEnd w:id="3"/>
      <w:bookmarkEnd w:id="6"/>
    </w:p>
    <w:p w14:paraId="0A5135BD">
      <w:pPr>
        <w:adjustRightInd w:val="0"/>
        <w:snapToGrid w:val="0"/>
        <w:spacing w:line="360" w:lineRule="auto"/>
        <w:rPr>
          <w:color w:val="auto"/>
          <w:sz w:val="24"/>
          <w:highlight w:val="none"/>
        </w:rPr>
      </w:pPr>
      <w:r>
        <w:rPr>
          <w:rFonts w:hint="eastAsia"/>
          <w:color w:val="auto"/>
          <w:sz w:val="24"/>
          <w:highlight w:val="none"/>
        </w:rPr>
        <w:t>1.4 维修响应时间：</w:t>
      </w:r>
      <w:bookmarkStart w:id="7" w:name="_Hlk182570644"/>
      <w:r>
        <w:rPr>
          <w:rFonts w:hint="eastAsia"/>
          <w:color w:val="auto"/>
          <w:sz w:val="24"/>
          <w:highlight w:val="none"/>
        </w:rPr>
        <w:t>投标供应商须承诺，对售后服务需提供 7x24 小时响应，</w:t>
      </w:r>
      <w:bookmarkEnd w:id="7"/>
      <w:bookmarkStart w:id="8" w:name="_Hlk182570696"/>
      <w:r>
        <w:rPr>
          <w:rFonts w:hint="eastAsia"/>
          <w:color w:val="auto"/>
          <w:sz w:val="24"/>
          <w:highlight w:val="none"/>
        </w:rPr>
        <w:t>48小时内到达现场实施维修。48小时仍未排除故障、恢复正常运转的，由投标供应商提供同类型备品、备件等。</w:t>
      </w:r>
      <w:bookmarkEnd w:id="8"/>
    </w:p>
    <w:p w14:paraId="68875AEA">
      <w:pPr>
        <w:adjustRightInd w:val="0"/>
        <w:snapToGrid w:val="0"/>
        <w:spacing w:line="360" w:lineRule="auto"/>
        <w:rPr>
          <w:color w:val="auto"/>
          <w:sz w:val="24"/>
          <w:highlight w:val="none"/>
        </w:rPr>
      </w:pPr>
      <w:r>
        <w:rPr>
          <w:rFonts w:hint="eastAsia"/>
          <w:color w:val="auto"/>
          <w:sz w:val="24"/>
          <w:highlight w:val="none"/>
        </w:rPr>
        <w:t>1.5 本系统所有元器件不得存在国外禁用、产权纠纷等问题，具有稳定的供货渠道和质量保证。</w:t>
      </w:r>
    </w:p>
    <w:p w14:paraId="2BB7B93F">
      <w:pPr>
        <w:adjustRightInd w:val="0"/>
        <w:snapToGrid w:val="0"/>
        <w:spacing w:line="360" w:lineRule="auto"/>
        <w:rPr>
          <w:color w:val="auto"/>
          <w:sz w:val="24"/>
          <w:highlight w:val="none"/>
        </w:rPr>
      </w:pPr>
      <w:r>
        <w:rPr>
          <w:rFonts w:hint="eastAsia"/>
          <w:color w:val="auto"/>
          <w:sz w:val="24"/>
          <w:highlight w:val="none"/>
        </w:rPr>
        <w:t>1.6 在中国境内有专门负责的经验丰富的维修工程师和在中国境内应有专门的技术应用支持工程师。保修期后，保证长期供应零备件和正常的售后服务。在国内的技术服务中心（包括维修中心）或消耗品代理商应当提供所有的服务，包括备用零配件及消耗品。</w:t>
      </w:r>
    </w:p>
    <w:p w14:paraId="424A717D">
      <w:pPr>
        <w:adjustRightInd w:val="0"/>
        <w:snapToGrid w:val="0"/>
        <w:spacing w:line="360" w:lineRule="auto"/>
        <w:rPr>
          <w:b/>
          <w:color w:val="auto"/>
          <w:sz w:val="24"/>
          <w:highlight w:val="none"/>
        </w:rPr>
      </w:pPr>
    </w:p>
    <w:p w14:paraId="3CF0ACD1">
      <w:pPr>
        <w:adjustRightInd w:val="0"/>
        <w:snapToGrid w:val="0"/>
        <w:spacing w:line="360" w:lineRule="auto"/>
        <w:rPr>
          <w:b/>
          <w:color w:val="auto"/>
          <w:sz w:val="24"/>
          <w:highlight w:val="none"/>
        </w:rPr>
      </w:pPr>
      <w:r>
        <w:rPr>
          <w:rFonts w:hint="eastAsia"/>
          <w:b/>
          <w:color w:val="auto"/>
          <w:sz w:val="24"/>
          <w:highlight w:val="none"/>
        </w:rPr>
        <w:t>（三） 订货数量：</w:t>
      </w:r>
    </w:p>
    <w:p w14:paraId="782290AF">
      <w:pPr>
        <w:adjustRightInd w:val="0"/>
        <w:snapToGrid w:val="0"/>
        <w:spacing w:line="360" w:lineRule="auto"/>
        <w:ind w:firstLine="480" w:firstLineChars="200"/>
        <w:rPr>
          <w:color w:val="auto"/>
          <w:sz w:val="24"/>
          <w:highlight w:val="none"/>
        </w:rPr>
      </w:pPr>
      <w:r>
        <w:rPr>
          <w:rFonts w:hint="eastAsia"/>
          <w:color w:val="auto"/>
          <w:sz w:val="24"/>
          <w:highlight w:val="none"/>
        </w:rPr>
        <w:t>1套</w:t>
      </w:r>
    </w:p>
    <w:p w14:paraId="611583B5">
      <w:pPr>
        <w:adjustRightInd w:val="0"/>
        <w:snapToGrid w:val="0"/>
        <w:spacing w:line="360" w:lineRule="auto"/>
        <w:rPr>
          <w:color w:val="auto"/>
          <w:sz w:val="24"/>
          <w:highlight w:val="none"/>
        </w:rPr>
      </w:pPr>
    </w:p>
    <w:p w14:paraId="116A9398">
      <w:pPr>
        <w:adjustRightInd w:val="0"/>
        <w:snapToGrid w:val="0"/>
        <w:spacing w:line="360" w:lineRule="auto"/>
        <w:rPr>
          <w:b/>
          <w:color w:val="auto"/>
          <w:sz w:val="24"/>
          <w:highlight w:val="none"/>
        </w:rPr>
      </w:pPr>
      <w:r>
        <w:rPr>
          <w:rFonts w:hint="eastAsia"/>
          <w:b/>
          <w:color w:val="auto"/>
          <w:sz w:val="24"/>
          <w:highlight w:val="none"/>
        </w:rPr>
        <w:t>（四） 交货地：</w:t>
      </w:r>
    </w:p>
    <w:p w14:paraId="40ACE3B8">
      <w:pPr>
        <w:adjustRightInd w:val="0"/>
        <w:snapToGrid w:val="0"/>
        <w:spacing w:line="360" w:lineRule="auto"/>
        <w:ind w:firstLine="480" w:firstLineChars="200"/>
        <w:rPr>
          <w:color w:val="auto"/>
          <w:sz w:val="24"/>
          <w:highlight w:val="none"/>
        </w:rPr>
      </w:pPr>
      <w:r>
        <w:rPr>
          <w:rFonts w:hint="eastAsia"/>
          <w:color w:val="auto"/>
          <w:sz w:val="24"/>
          <w:highlight w:val="none"/>
        </w:rPr>
        <w:t>用户指定地点。</w:t>
      </w:r>
    </w:p>
    <w:p w14:paraId="43A8D7D8">
      <w:pPr>
        <w:adjustRightInd w:val="0"/>
        <w:snapToGrid w:val="0"/>
        <w:spacing w:line="360" w:lineRule="auto"/>
        <w:rPr>
          <w:color w:val="auto"/>
          <w:sz w:val="24"/>
          <w:highlight w:val="none"/>
        </w:rPr>
      </w:pPr>
    </w:p>
    <w:p w14:paraId="3F6D56AE">
      <w:pPr>
        <w:numPr>
          <w:ilvl w:val="0"/>
          <w:numId w:val="3"/>
        </w:numPr>
        <w:adjustRightInd w:val="0"/>
        <w:snapToGrid w:val="0"/>
        <w:spacing w:line="360" w:lineRule="auto"/>
        <w:rPr>
          <w:b/>
          <w:color w:val="auto"/>
          <w:sz w:val="24"/>
          <w:highlight w:val="none"/>
        </w:rPr>
      </w:pPr>
      <w:r>
        <w:rPr>
          <w:rFonts w:hint="eastAsia"/>
          <w:b/>
          <w:color w:val="auto"/>
          <w:sz w:val="24"/>
          <w:highlight w:val="none"/>
        </w:rPr>
        <w:t>交货日期：</w:t>
      </w:r>
    </w:p>
    <w:p w14:paraId="605092AC">
      <w:pPr>
        <w:adjustRightInd w:val="0"/>
        <w:snapToGrid w:val="0"/>
        <w:spacing w:line="360" w:lineRule="auto"/>
        <w:ind w:firstLine="480" w:firstLineChars="200"/>
        <w:rPr>
          <w:color w:val="auto"/>
          <w:sz w:val="24"/>
          <w:highlight w:val="none"/>
        </w:rPr>
      </w:pPr>
      <w:r>
        <w:rPr>
          <w:rFonts w:hint="eastAsia"/>
          <w:color w:val="auto"/>
          <w:sz w:val="24"/>
          <w:highlight w:val="none"/>
        </w:rPr>
        <w:t>合同签订后6个月内到货。</w:t>
      </w: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80FCF">
    <w:pPr>
      <w:pStyle w:val="21"/>
      <w:jc w:val="center"/>
    </w:pPr>
    <w:r>
      <w:fldChar w:fldCharType="begin"/>
    </w:r>
    <w:r>
      <w:instrText xml:space="preserve">PAGE   \* MERGEFORMAT</w:instrText>
    </w:r>
    <w:r>
      <w:fldChar w:fldCharType="separate"/>
    </w:r>
    <w:r>
      <w:rPr>
        <w:lang w:val="zh-CN"/>
      </w:rPr>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F4A53">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C7C0A">
    <w:pPr>
      <w:pStyle w:val="22"/>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E494D"/>
    <w:multiLevelType w:val="singleLevel"/>
    <w:tmpl w:val="AA3E494D"/>
    <w:lvl w:ilvl="0" w:tentative="0">
      <w:start w:val="5"/>
      <w:numFmt w:val="chineseCounting"/>
      <w:suff w:val="space"/>
      <w:lvlText w:val="（%1）"/>
      <w:lvlJc w:val="left"/>
      <w:rPr>
        <w:rFonts w:hint="eastAsia"/>
      </w:rPr>
    </w:lvl>
  </w:abstractNum>
  <w:abstractNum w:abstractNumId="1">
    <w:nsid w:val="D785B104"/>
    <w:multiLevelType w:val="singleLevel"/>
    <w:tmpl w:val="D785B104"/>
    <w:lvl w:ilvl="0" w:tentative="0">
      <w:start w:val="1"/>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7U0tbCwMDAyNDc0NTRV0lEKTi0uzszPAykwrAUARWmcfSwAAAA="/>
    <w:docVar w:name="commondata" w:val="eyJoZGlkIjoiZWJmOWQwMzYxYTkyYjVkZDNkNTlmOTYwNDE3NzJmYWQifQ=="/>
  </w:docVars>
  <w:rsids>
    <w:rsidRoot w:val="00FA3835"/>
    <w:rsid w:val="000050A2"/>
    <w:rsid w:val="000206C1"/>
    <w:rsid w:val="00027C8D"/>
    <w:rsid w:val="00040005"/>
    <w:rsid w:val="000543E7"/>
    <w:rsid w:val="0006010D"/>
    <w:rsid w:val="000668DC"/>
    <w:rsid w:val="00081ADD"/>
    <w:rsid w:val="00085052"/>
    <w:rsid w:val="000922AF"/>
    <w:rsid w:val="000969BB"/>
    <w:rsid w:val="000973D2"/>
    <w:rsid w:val="000B12EC"/>
    <w:rsid w:val="000B59FC"/>
    <w:rsid w:val="000B636A"/>
    <w:rsid w:val="000B76CA"/>
    <w:rsid w:val="000C1F98"/>
    <w:rsid w:val="000C325D"/>
    <w:rsid w:val="000C505C"/>
    <w:rsid w:val="000D1A3C"/>
    <w:rsid w:val="000E0B0C"/>
    <w:rsid w:val="000E17D4"/>
    <w:rsid w:val="000E4DA9"/>
    <w:rsid w:val="000F0512"/>
    <w:rsid w:val="000F4571"/>
    <w:rsid w:val="00103352"/>
    <w:rsid w:val="00105333"/>
    <w:rsid w:val="00105949"/>
    <w:rsid w:val="00107AF4"/>
    <w:rsid w:val="001140D0"/>
    <w:rsid w:val="001235CA"/>
    <w:rsid w:val="00137D93"/>
    <w:rsid w:val="001437EA"/>
    <w:rsid w:val="00144505"/>
    <w:rsid w:val="00144DDA"/>
    <w:rsid w:val="0014761F"/>
    <w:rsid w:val="00153F11"/>
    <w:rsid w:val="00154F47"/>
    <w:rsid w:val="00155A34"/>
    <w:rsid w:val="00164E27"/>
    <w:rsid w:val="00187304"/>
    <w:rsid w:val="001921CA"/>
    <w:rsid w:val="00194900"/>
    <w:rsid w:val="001A0E56"/>
    <w:rsid w:val="001A6E63"/>
    <w:rsid w:val="001B195C"/>
    <w:rsid w:val="001B5C65"/>
    <w:rsid w:val="001B62CC"/>
    <w:rsid w:val="001B66E1"/>
    <w:rsid w:val="001B6E57"/>
    <w:rsid w:val="001D67C6"/>
    <w:rsid w:val="001D7301"/>
    <w:rsid w:val="001E1467"/>
    <w:rsid w:val="001E152C"/>
    <w:rsid w:val="001E3480"/>
    <w:rsid w:val="001F18B7"/>
    <w:rsid w:val="001F1D2B"/>
    <w:rsid w:val="001F5FAD"/>
    <w:rsid w:val="001F79B6"/>
    <w:rsid w:val="002024C7"/>
    <w:rsid w:val="00206639"/>
    <w:rsid w:val="0021259E"/>
    <w:rsid w:val="00213C28"/>
    <w:rsid w:val="002208E1"/>
    <w:rsid w:val="00224FE7"/>
    <w:rsid w:val="0023013E"/>
    <w:rsid w:val="00233C8A"/>
    <w:rsid w:val="0023407F"/>
    <w:rsid w:val="00240E7B"/>
    <w:rsid w:val="00247ED0"/>
    <w:rsid w:val="00251DB7"/>
    <w:rsid w:val="00275598"/>
    <w:rsid w:val="002761A3"/>
    <w:rsid w:val="0028124D"/>
    <w:rsid w:val="00282A80"/>
    <w:rsid w:val="00282F14"/>
    <w:rsid w:val="00292E0B"/>
    <w:rsid w:val="00293D1D"/>
    <w:rsid w:val="002A05BB"/>
    <w:rsid w:val="002A6B95"/>
    <w:rsid w:val="002B44BD"/>
    <w:rsid w:val="002B6E7A"/>
    <w:rsid w:val="002B7380"/>
    <w:rsid w:val="002D5C47"/>
    <w:rsid w:val="002E03AA"/>
    <w:rsid w:val="002E6A76"/>
    <w:rsid w:val="002F1704"/>
    <w:rsid w:val="002F6FCA"/>
    <w:rsid w:val="002F7EF8"/>
    <w:rsid w:val="00301191"/>
    <w:rsid w:val="00316BEC"/>
    <w:rsid w:val="00322611"/>
    <w:rsid w:val="003248D5"/>
    <w:rsid w:val="00326D72"/>
    <w:rsid w:val="0033189B"/>
    <w:rsid w:val="003442AE"/>
    <w:rsid w:val="0034443A"/>
    <w:rsid w:val="003474B8"/>
    <w:rsid w:val="00353E66"/>
    <w:rsid w:val="00357C16"/>
    <w:rsid w:val="003637C6"/>
    <w:rsid w:val="003654F9"/>
    <w:rsid w:val="003725C3"/>
    <w:rsid w:val="003732CC"/>
    <w:rsid w:val="00373B63"/>
    <w:rsid w:val="00374F9A"/>
    <w:rsid w:val="003752C8"/>
    <w:rsid w:val="00382C0C"/>
    <w:rsid w:val="00384D29"/>
    <w:rsid w:val="00397F24"/>
    <w:rsid w:val="003A298A"/>
    <w:rsid w:val="003B4F45"/>
    <w:rsid w:val="003B6193"/>
    <w:rsid w:val="003C172D"/>
    <w:rsid w:val="003C7092"/>
    <w:rsid w:val="003C785A"/>
    <w:rsid w:val="003D2B81"/>
    <w:rsid w:val="003E1B49"/>
    <w:rsid w:val="003F5F7A"/>
    <w:rsid w:val="003F76EE"/>
    <w:rsid w:val="004043A2"/>
    <w:rsid w:val="00404EA5"/>
    <w:rsid w:val="00415144"/>
    <w:rsid w:val="00420D92"/>
    <w:rsid w:val="0042297A"/>
    <w:rsid w:val="004362C7"/>
    <w:rsid w:val="0044106E"/>
    <w:rsid w:val="00446E68"/>
    <w:rsid w:val="00447503"/>
    <w:rsid w:val="00456B20"/>
    <w:rsid w:val="0046038A"/>
    <w:rsid w:val="00471176"/>
    <w:rsid w:val="00484FF8"/>
    <w:rsid w:val="00491CC1"/>
    <w:rsid w:val="00494102"/>
    <w:rsid w:val="004A0EB1"/>
    <w:rsid w:val="004A3B49"/>
    <w:rsid w:val="004A5C14"/>
    <w:rsid w:val="004B3476"/>
    <w:rsid w:val="004B36B8"/>
    <w:rsid w:val="004B7C30"/>
    <w:rsid w:val="004C387C"/>
    <w:rsid w:val="004D0AB9"/>
    <w:rsid w:val="004D175F"/>
    <w:rsid w:val="004E042A"/>
    <w:rsid w:val="004E4504"/>
    <w:rsid w:val="004F0FDE"/>
    <w:rsid w:val="004F3E07"/>
    <w:rsid w:val="00504FD3"/>
    <w:rsid w:val="00512882"/>
    <w:rsid w:val="005134AD"/>
    <w:rsid w:val="005143FF"/>
    <w:rsid w:val="00516FEB"/>
    <w:rsid w:val="005244F5"/>
    <w:rsid w:val="00524665"/>
    <w:rsid w:val="005333F9"/>
    <w:rsid w:val="00543C0A"/>
    <w:rsid w:val="0054699B"/>
    <w:rsid w:val="005515EB"/>
    <w:rsid w:val="0055226E"/>
    <w:rsid w:val="00552E7C"/>
    <w:rsid w:val="005601D0"/>
    <w:rsid w:val="005613B2"/>
    <w:rsid w:val="0056304A"/>
    <w:rsid w:val="005656BB"/>
    <w:rsid w:val="0057066D"/>
    <w:rsid w:val="00572671"/>
    <w:rsid w:val="00590BEF"/>
    <w:rsid w:val="00591688"/>
    <w:rsid w:val="005916DF"/>
    <w:rsid w:val="00595627"/>
    <w:rsid w:val="00595D3F"/>
    <w:rsid w:val="00595EAC"/>
    <w:rsid w:val="005A2F5B"/>
    <w:rsid w:val="005A52D6"/>
    <w:rsid w:val="005C2959"/>
    <w:rsid w:val="005C574A"/>
    <w:rsid w:val="005D09A0"/>
    <w:rsid w:val="005D479D"/>
    <w:rsid w:val="005E416B"/>
    <w:rsid w:val="005E7A21"/>
    <w:rsid w:val="005F24B2"/>
    <w:rsid w:val="0060103A"/>
    <w:rsid w:val="00601EE6"/>
    <w:rsid w:val="00602911"/>
    <w:rsid w:val="00602A7A"/>
    <w:rsid w:val="0060509A"/>
    <w:rsid w:val="006125F5"/>
    <w:rsid w:val="00612A9B"/>
    <w:rsid w:val="00614D00"/>
    <w:rsid w:val="006225E2"/>
    <w:rsid w:val="0062676A"/>
    <w:rsid w:val="006311C4"/>
    <w:rsid w:val="00640DB1"/>
    <w:rsid w:val="006416E9"/>
    <w:rsid w:val="0064545D"/>
    <w:rsid w:val="00646C82"/>
    <w:rsid w:val="00647CD5"/>
    <w:rsid w:val="006548A6"/>
    <w:rsid w:val="00655478"/>
    <w:rsid w:val="00655B80"/>
    <w:rsid w:val="00660515"/>
    <w:rsid w:val="00664D7F"/>
    <w:rsid w:val="006713CD"/>
    <w:rsid w:val="00673E97"/>
    <w:rsid w:val="006810E3"/>
    <w:rsid w:val="00681C84"/>
    <w:rsid w:val="006A377B"/>
    <w:rsid w:val="006A6511"/>
    <w:rsid w:val="006B0930"/>
    <w:rsid w:val="006C1EC0"/>
    <w:rsid w:val="006C4384"/>
    <w:rsid w:val="006C5135"/>
    <w:rsid w:val="006C546E"/>
    <w:rsid w:val="006D29F2"/>
    <w:rsid w:val="006E2DE0"/>
    <w:rsid w:val="006E5A8E"/>
    <w:rsid w:val="006E7CE4"/>
    <w:rsid w:val="0070081C"/>
    <w:rsid w:val="0071653B"/>
    <w:rsid w:val="00721985"/>
    <w:rsid w:val="00724C84"/>
    <w:rsid w:val="007252A8"/>
    <w:rsid w:val="00725C0A"/>
    <w:rsid w:val="00726300"/>
    <w:rsid w:val="0073119D"/>
    <w:rsid w:val="0073199C"/>
    <w:rsid w:val="007376B0"/>
    <w:rsid w:val="00740508"/>
    <w:rsid w:val="00740A78"/>
    <w:rsid w:val="00741A82"/>
    <w:rsid w:val="00743776"/>
    <w:rsid w:val="00751428"/>
    <w:rsid w:val="00753063"/>
    <w:rsid w:val="0075674B"/>
    <w:rsid w:val="00761F2B"/>
    <w:rsid w:val="00762D39"/>
    <w:rsid w:val="00763B74"/>
    <w:rsid w:val="00764A6B"/>
    <w:rsid w:val="007731D0"/>
    <w:rsid w:val="00775B16"/>
    <w:rsid w:val="00785A0A"/>
    <w:rsid w:val="00786491"/>
    <w:rsid w:val="00787CED"/>
    <w:rsid w:val="007905E0"/>
    <w:rsid w:val="0079112E"/>
    <w:rsid w:val="00791C1F"/>
    <w:rsid w:val="00792DB2"/>
    <w:rsid w:val="007967F8"/>
    <w:rsid w:val="007A3772"/>
    <w:rsid w:val="007A3CCF"/>
    <w:rsid w:val="007A7718"/>
    <w:rsid w:val="007C2696"/>
    <w:rsid w:val="007C4C31"/>
    <w:rsid w:val="007C5EA5"/>
    <w:rsid w:val="007D381E"/>
    <w:rsid w:val="007D3EE2"/>
    <w:rsid w:val="007E03CA"/>
    <w:rsid w:val="007E5775"/>
    <w:rsid w:val="007E6193"/>
    <w:rsid w:val="007E67CC"/>
    <w:rsid w:val="007F2F97"/>
    <w:rsid w:val="007F387D"/>
    <w:rsid w:val="007F7152"/>
    <w:rsid w:val="008203E6"/>
    <w:rsid w:val="00822633"/>
    <w:rsid w:val="00830107"/>
    <w:rsid w:val="00831B02"/>
    <w:rsid w:val="00833174"/>
    <w:rsid w:val="00842553"/>
    <w:rsid w:val="00846609"/>
    <w:rsid w:val="00851370"/>
    <w:rsid w:val="00852958"/>
    <w:rsid w:val="008572E9"/>
    <w:rsid w:val="00864F77"/>
    <w:rsid w:val="008661F8"/>
    <w:rsid w:val="008712FA"/>
    <w:rsid w:val="00876AA9"/>
    <w:rsid w:val="00876EFF"/>
    <w:rsid w:val="00883AB2"/>
    <w:rsid w:val="008861B2"/>
    <w:rsid w:val="0089155D"/>
    <w:rsid w:val="00896377"/>
    <w:rsid w:val="00896C5C"/>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12E"/>
    <w:rsid w:val="00930CDE"/>
    <w:rsid w:val="00935AA1"/>
    <w:rsid w:val="00944891"/>
    <w:rsid w:val="00944E13"/>
    <w:rsid w:val="009451DC"/>
    <w:rsid w:val="009467F2"/>
    <w:rsid w:val="0095655E"/>
    <w:rsid w:val="009718ED"/>
    <w:rsid w:val="0097297B"/>
    <w:rsid w:val="0098154C"/>
    <w:rsid w:val="0098549E"/>
    <w:rsid w:val="009857EF"/>
    <w:rsid w:val="009941D8"/>
    <w:rsid w:val="00995597"/>
    <w:rsid w:val="009A2C18"/>
    <w:rsid w:val="009C0A0B"/>
    <w:rsid w:val="009C14BD"/>
    <w:rsid w:val="009C621D"/>
    <w:rsid w:val="009D1AF8"/>
    <w:rsid w:val="009E1C84"/>
    <w:rsid w:val="009E32D4"/>
    <w:rsid w:val="009E4080"/>
    <w:rsid w:val="009E4DCB"/>
    <w:rsid w:val="009E580F"/>
    <w:rsid w:val="009E5FCF"/>
    <w:rsid w:val="009F5A6A"/>
    <w:rsid w:val="00A0205F"/>
    <w:rsid w:val="00A04E9D"/>
    <w:rsid w:val="00A06893"/>
    <w:rsid w:val="00A12E15"/>
    <w:rsid w:val="00A21886"/>
    <w:rsid w:val="00A25682"/>
    <w:rsid w:val="00A2638C"/>
    <w:rsid w:val="00A27417"/>
    <w:rsid w:val="00A27AFD"/>
    <w:rsid w:val="00A354A8"/>
    <w:rsid w:val="00A4031E"/>
    <w:rsid w:val="00A44A2B"/>
    <w:rsid w:val="00A46F60"/>
    <w:rsid w:val="00A51826"/>
    <w:rsid w:val="00A53234"/>
    <w:rsid w:val="00A55E4D"/>
    <w:rsid w:val="00A57F47"/>
    <w:rsid w:val="00A870BB"/>
    <w:rsid w:val="00A944DF"/>
    <w:rsid w:val="00AA7A0D"/>
    <w:rsid w:val="00AB113B"/>
    <w:rsid w:val="00AD2FD2"/>
    <w:rsid w:val="00AD41E6"/>
    <w:rsid w:val="00AD4ECF"/>
    <w:rsid w:val="00AD70C8"/>
    <w:rsid w:val="00AF6067"/>
    <w:rsid w:val="00B0445C"/>
    <w:rsid w:val="00B07AAD"/>
    <w:rsid w:val="00B13E9B"/>
    <w:rsid w:val="00B15273"/>
    <w:rsid w:val="00B16887"/>
    <w:rsid w:val="00B1746F"/>
    <w:rsid w:val="00B27A2B"/>
    <w:rsid w:val="00B31F00"/>
    <w:rsid w:val="00B34A3D"/>
    <w:rsid w:val="00B351A2"/>
    <w:rsid w:val="00B41959"/>
    <w:rsid w:val="00B42C18"/>
    <w:rsid w:val="00B43CF7"/>
    <w:rsid w:val="00B44327"/>
    <w:rsid w:val="00B53944"/>
    <w:rsid w:val="00B61FDD"/>
    <w:rsid w:val="00B75B80"/>
    <w:rsid w:val="00B81149"/>
    <w:rsid w:val="00B8672D"/>
    <w:rsid w:val="00B94FB1"/>
    <w:rsid w:val="00BC4B24"/>
    <w:rsid w:val="00BC7FBC"/>
    <w:rsid w:val="00BD11D6"/>
    <w:rsid w:val="00BD2A3B"/>
    <w:rsid w:val="00BD646D"/>
    <w:rsid w:val="00BD6A33"/>
    <w:rsid w:val="00BD7ED0"/>
    <w:rsid w:val="00BE35E1"/>
    <w:rsid w:val="00BE5E06"/>
    <w:rsid w:val="00BE643E"/>
    <w:rsid w:val="00BE7CED"/>
    <w:rsid w:val="00BF035E"/>
    <w:rsid w:val="00BF59BF"/>
    <w:rsid w:val="00C019B6"/>
    <w:rsid w:val="00C056B5"/>
    <w:rsid w:val="00C10630"/>
    <w:rsid w:val="00C12939"/>
    <w:rsid w:val="00C132FC"/>
    <w:rsid w:val="00C14E3B"/>
    <w:rsid w:val="00C23BA4"/>
    <w:rsid w:val="00C241B2"/>
    <w:rsid w:val="00C34485"/>
    <w:rsid w:val="00C40AB3"/>
    <w:rsid w:val="00C43805"/>
    <w:rsid w:val="00C43E24"/>
    <w:rsid w:val="00C45235"/>
    <w:rsid w:val="00C60EF2"/>
    <w:rsid w:val="00C615B2"/>
    <w:rsid w:val="00C63599"/>
    <w:rsid w:val="00C63F0E"/>
    <w:rsid w:val="00C702F0"/>
    <w:rsid w:val="00C72836"/>
    <w:rsid w:val="00C74553"/>
    <w:rsid w:val="00C8112C"/>
    <w:rsid w:val="00C87EF4"/>
    <w:rsid w:val="00CA623E"/>
    <w:rsid w:val="00CA630F"/>
    <w:rsid w:val="00CB4A7F"/>
    <w:rsid w:val="00CB4EB2"/>
    <w:rsid w:val="00CB7A41"/>
    <w:rsid w:val="00CC2250"/>
    <w:rsid w:val="00CC7A0B"/>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47C2A"/>
    <w:rsid w:val="00D514D9"/>
    <w:rsid w:val="00D6263A"/>
    <w:rsid w:val="00D75F69"/>
    <w:rsid w:val="00D778D7"/>
    <w:rsid w:val="00D83934"/>
    <w:rsid w:val="00D861C3"/>
    <w:rsid w:val="00D91A0C"/>
    <w:rsid w:val="00D9239C"/>
    <w:rsid w:val="00D95955"/>
    <w:rsid w:val="00D979AB"/>
    <w:rsid w:val="00DA5817"/>
    <w:rsid w:val="00DA590C"/>
    <w:rsid w:val="00DA703D"/>
    <w:rsid w:val="00DB54CF"/>
    <w:rsid w:val="00DB5DFF"/>
    <w:rsid w:val="00DC1546"/>
    <w:rsid w:val="00DC6502"/>
    <w:rsid w:val="00DD2172"/>
    <w:rsid w:val="00DD2E76"/>
    <w:rsid w:val="00DD4A09"/>
    <w:rsid w:val="00DD4C25"/>
    <w:rsid w:val="00DD6A1F"/>
    <w:rsid w:val="00DE3B1E"/>
    <w:rsid w:val="00DE4C00"/>
    <w:rsid w:val="00DE5C67"/>
    <w:rsid w:val="00DF2449"/>
    <w:rsid w:val="00DF7ACF"/>
    <w:rsid w:val="00E004CA"/>
    <w:rsid w:val="00E03391"/>
    <w:rsid w:val="00E0373B"/>
    <w:rsid w:val="00E07308"/>
    <w:rsid w:val="00E179B5"/>
    <w:rsid w:val="00E26286"/>
    <w:rsid w:val="00E30AC2"/>
    <w:rsid w:val="00E33D84"/>
    <w:rsid w:val="00E34813"/>
    <w:rsid w:val="00E356D2"/>
    <w:rsid w:val="00E401B3"/>
    <w:rsid w:val="00E458DA"/>
    <w:rsid w:val="00E4741B"/>
    <w:rsid w:val="00E5687E"/>
    <w:rsid w:val="00E639CC"/>
    <w:rsid w:val="00E63D5B"/>
    <w:rsid w:val="00E671AD"/>
    <w:rsid w:val="00E7142B"/>
    <w:rsid w:val="00E83E40"/>
    <w:rsid w:val="00E857B8"/>
    <w:rsid w:val="00E907E5"/>
    <w:rsid w:val="00E943B8"/>
    <w:rsid w:val="00EA11F7"/>
    <w:rsid w:val="00EA20B9"/>
    <w:rsid w:val="00EA4549"/>
    <w:rsid w:val="00EB3234"/>
    <w:rsid w:val="00ED0B37"/>
    <w:rsid w:val="00ED22DF"/>
    <w:rsid w:val="00ED4C66"/>
    <w:rsid w:val="00ED6781"/>
    <w:rsid w:val="00EE26B4"/>
    <w:rsid w:val="00EE4BD8"/>
    <w:rsid w:val="00EF383F"/>
    <w:rsid w:val="00EF5BA0"/>
    <w:rsid w:val="00EF64B8"/>
    <w:rsid w:val="00EF658F"/>
    <w:rsid w:val="00F1300D"/>
    <w:rsid w:val="00F13600"/>
    <w:rsid w:val="00F15FC0"/>
    <w:rsid w:val="00F17042"/>
    <w:rsid w:val="00F175D1"/>
    <w:rsid w:val="00F21DA9"/>
    <w:rsid w:val="00F22A75"/>
    <w:rsid w:val="00F30C1E"/>
    <w:rsid w:val="00F3185D"/>
    <w:rsid w:val="00F35217"/>
    <w:rsid w:val="00F35C50"/>
    <w:rsid w:val="00F36C43"/>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C1FDD"/>
    <w:rsid w:val="00FE3D91"/>
    <w:rsid w:val="00FE55D2"/>
    <w:rsid w:val="00FF3E9D"/>
    <w:rsid w:val="00FF728E"/>
    <w:rsid w:val="011B6D03"/>
    <w:rsid w:val="012A4E2C"/>
    <w:rsid w:val="0146689C"/>
    <w:rsid w:val="01763BD4"/>
    <w:rsid w:val="01B6221C"/>
    <w:rsid w:val="03822CFE"/>
    <w:rsid w:val="03B210F3"/>
    <w:rsid w:val="04B35850"/>
    <w:rsid w:val="05121E5F"/>
    <w:rsid w:val="051C3E09"/>
    <w:rsid w:val="06BA2C89"/>
    <w:rsid w:val="07002453"/>
    <w:rsid w:val="071F777F"/>
    <w:rsid w:val="08B258EB"/>
    <w:rsid w:val="09A45050"/>
    <w:rsid w:val="09D96A1A"/>
    <w:rsid w:val="0A5B05D9"/>
    <w:rsid w:val="0AE0030A"/>
    <w:rsid w:val="0B7A056A"/>
    <w:rsid w:val="0B927CBA"/>
    <w:rsid w:val="0C3705A0"/>
    <w:rsid w:val="0C523489"/>
    <w:rsid w:val="0C681B81"/>
    <w:rsid w:val="0CC46135"/>
    <w:rsid w:val="0D7C256C"/>
    <w:rsid w:val="0DD358E2"/>
    <w:rsid w:val="0E06452B"/>
    <w:rsid w:val="0E2B1ADA"/>
    <w:rsid w:val="0E5232CD"/>
    <w:rsid w:val="0E6C1B21"/>
    <w:rsid w:val="0E7E0566"/>
    <w:rsid w:val="0E8931ED"/>
    <w:rsid w:val="10630D41"/>
    <w:rsid w:val="10812156"/>
    <w:rsid w:val="10AD38CA"/>
    <w:rsid w:val="10E279BE"/>
    <w:rsid w:val="10FD3672"/>
    <w:rsid w:val="116F23E8"/>
    <w:rsid w:val="12AF1937"/>
    <w:rsid w:val="13B3093C"/>
    <w:rsid w:val="14BF5570"/>
    <w:rsid w:val="15431BC1"/>
    <w:rsid w:val="157B0461"/>
    <w:rsid w:val="157E709D"/>
    <w:rsid w:val="16255094"/>
    <w:rsid w:val="182757CA"/>
    <w:rsid w:val="18513720"/>
    <w:rsid w:val="18B02F9E"/>
    <w:rsid w:val="191608B9"/>
    <w:rsid w:val="191B3123"/>
    <w:rsid w:val="197E58BE"/>
    <w:rsid w:val="19CA335A"/>
    <w:rsid w:val="1A895A2E"/>
    <w:rsid w:val="1AA41E68"/>
    <w:rsid w:val="1AD722FD"/>
    <w:rsid w:val="1B012302"/>
    <w:rsid w:val="1B0421DB"/>
    <w:rsid w:val="1B601DCB"/>
    <w:rsid w:val="1B7F7E70"/>
    <w:rsid w:val="1B9E3D36"/>
    <w:rsid w:val="1C8F2A04"/>
    <w:rsid w:val="1CCE50AB"/>
    <w:rsid w:val="1CD468D8"/>
    <w:rsid w:val="1D091C84"/>
    <w:rsid w:val="1D3E4C23"/>
    <w:rsid w:val="1D760135"/>
    <w:rsid w:val="1E0265AE"/>
    <w:rsid w:val="1E166652"/>
    <w:rsid w:val="1E682F46"/>
    <w:rsid w:val="1E85E130"/>
    <w:rsid w:val="1EB8717C"/>
    <w:rsid w:val="1F100D66"/>
    <w:rsid w:val="1F105F79"/>
    <w:rsid w:val="1F6F4139"/>
    <w:rsid w:val="20D31544"/>
    <w:rsid w:val="212E4D5D"/>
    <w:rsid w:val="218B2C39"/>
    <w:rsid w:val="21D70261"/>
    <w:rsid w:val="22291A3F"/>
    <w:rsid w:val="232C78EC"/>
    <w:rsid w:val="2377224A"/>
    <w:rsid w:val="23A7419A"/>
    <w:rsid w:val="23D43367"/>
    <w:rsid w:val="24274406"/>
    <w:rsid w:val="243F7370"/>
    <w:rsid w:val="2451511E"/>
    <w:rsid w:val="250B456C"/>
    <w:rsid w:val="262B4CB4"/>
    <w:rsid w:val="2630502B"/>
    <w:rsid w:val="26B807B0"/>
    <w:rsid w:val="26C83883"/>
    <w:rsid w:val="26D25C1B"/>
    <w:rsid w:val="277B1CD6"/>
    <w:rsid w:val="29170E2A"/>
    <w:rsid w:val="294067C0"/>
    <w:rsid w:val="29C77A84"/>
    <w:rsid w:val="2A233FCE"/>
    <w:rsid w:val="2A8E004C"/>
    <w:rsid w:val="2AAB028D"/>
    <w:rsid w:val="2B9E76FA"/>
    <w:rsid w:val="2BC1063F"/>
    <w:rsid w:val="2C5168F6"/>
    <w:rsid w:val="2D230ADF"/>
    <w:rsid w:val="2D5179CF"/>
    <w:rsid w:val="2D9828C4"/>
    <w:rsid w:val="2DFF6B75"/>
    <w:rsid w:val="2E0E0B66"/>
    <w:rsid w:val="2EB36247"/>
    <w:rsid w:val="2EF67B6C"/>
    <w:rsid w:val="300F6A5A"/>
    <w:rsid w:val="30292B21"/>
    <w:rsid w:val="31CC4FC0"/>
    <w:rsid w:val="327F0D3B"/>
    <w:rsid w:val="328E6C13"/>
    <w:rsid w:val="34AD3848"/>
    <w:rsid w:val="34D62889"/>
    <w:rsid w:val="34DC4254"/>
    <w:rsid w:val="35076310"/>
    <w:rsid w:val="35224842"/>
    <w:rsid w:val="35C0542C"/>
    <w:rsid w:val="36847D69"/>
    <w:rsid w:val="368C042F"/>
    <w:rsid w:val="368C11B1"/>
    <w:rsid w:val="36965A7B"/>
    <w:rsid w:val="38740160"/>
    <w:rsid w:val="394B4530"/>
    <w:rsid w:val="39C30C0C"/>
    <w:rsid w:val="39D6102C"/>
    <w:rsid w:val="3AE61680"/>
    <w:rsid w:val="3AF66579"/>
    <w:rsid w:val="3AFA0DF0"/>
    <w:rsid w:val="3AFF33E8"/>
    <w:rsid w:val="3B81506E"/>
    <w:rsid w:val="3C325184"/>
    <w:rsid w:val="3D476359"/>
    <w:rsid w:val="3D826C0D"/>
    <w:rsid w:val="3D9A658C"/>
    <w:rsid w:val="3DD91B7C"/>
    <w:rsid w:val="3DE10046"/>
    <w:rsid w:val="3DEE1D80"/>
    <w:rsid w:val="3F4177F3"/>
    <w:rsid w:val="3FFC477B"/>
    <w:rsid w:val="40AF61D9"/>
    <w:rsid w:val="414A4154"/>
    <w:rsid w:val="43566E65"/>
    <w:rsid w:val="436A3581"/>
    <w:rsid w:val="43F065F7"/>
    <w:rsid w:val="442F62DC"/>
    <w:rsid w:val="449744EA"/>
    <w:rsid w:val="44BD3991"/>
    <w:rsid w:val="45BFB8AB"/>
    <w:rsid w:val="46725D55"/>
    <w:rsid w:val="46DB7A17"/>
    <w:rsid w:val="470B1A6B"/>
    <w:rsid w:val="470D6E20"/>
    <w:rsid w:val="47263210"/>
    <w:rsid w:val="477749AA"/>
    <w:rsid w:val="47C16823"/>
    <w:rsid w:val="48333FF5"/>
    <w:rsid w:val="485F1589"/>
    <w:rsid w:val="49D96075"/>
    <w:rsid w:val="49DC2C1A"/>
    <w:rsid w:val="49EF6DD8"/>
    <w:rsid w:val="49FA5FEB"/>
    <w:rsid w:val="4A836697"/>
    <w:rsid w:val="4B20193F"/>
    <w:rsid w:val="4B3E4CEE"/>
    <w:rsid w:val="4C817F88"/>
    <w:rsid w:val="4C8E043C"/>
    <w:rsid w:val="4E73122C"/>
    <w:rsid w:val="4E7320AC"/>
    <w:rsid w:val="4F8462B8"/>
    <w:rsid w:val="4FF84687"/>
    <w:rsid w:val="50F33EC0"/>
    <w:rsid w:val="5157551B"/>
    <w:rsid w:val="51CD3614"/>
    <w:rsid w:val="51CE0A2E"/>
    <w:rsid w:val="52800E89"/>
    <w:rsid w:val="53FC6986"/>
    <w:rsid w:val="55BA1450"/>
    <w:rsid w:val="56095F34"/>
    <w:rsid w:val="56220AC4"/>
    <w:rsid w:val="56821842"/>
    <w:rsid w:val="57087F99"/>
    <w:rsid w:val="579B7ED0"/>
    <w:rsid w:val="57C9767E"/>
    <w:rsid w:val="585F0652"/>
    <w:rsid w:val="5912054F"/>
    <w:rsid w:val="5B65653D"/>
    <w:rsid w:val="5C1D270E"/>
    <w:rsid w:val="5C8A31FF"/>
    <w:rsid w:val="5D920F8A"/>
    <w:rsid w:val="5EA95C79"/>
    <w:rsid w:val="5ED12060"/>
    <w:rsid w:val="5F3223A1"/>
    <w:rsid w:val="5F6D0F53"/>
    <w:rsid w:val="5F8D7FF9"/>
    <w:rsid w:val="6036685D"/>
    <w:rsid w:val="604428BF"/>
    <w:rsid w:val="60712451"/>
    <w:rsid w:val="60B3013B"/>
    <w:rsid w:val="60F313B0"/>
    <w:rsid w:val="61696AD3"/>
    <w:rsid w:val="62C0313B"/>
    <w:rsid w:val="62D25F79"/>
    <w:rsid w:val="6382320C"/>
    <w:rsid w:val="64DE7ECB"/>
    <w:rsid w:val="653E1685"/>
    <w:rsid w:val="654A5C21"/>
    <w:rsid w:val="65A62CD8"/>
    <w:rsid w:val="66524D8D"/>
    <w:rsid w:val="66730271"/>
    <w:rsid w:val="6710120C"/>
    <w:rsid w:val="6763239D"/>
    <w:rsid w:val="67D85B6C"/>
    <w:rsid w:val="690305C1"/>
    <w:rsid w:val="6A601F79"/>
    <w:rsid w:val="6B4750DC"/>
    <w:rsid w:val="6B923E7E"/>
    <w:rsid w:val="6BC21862"/>
    <w:rsid w:val="6C5544DF"/>
    <w:rsid w:val="6C67192F"/>
    <w:rsid w:val="6CBD4F2A"/>
    <w:rsid w:val="6DDA7AC0"/>
    <w:rsid w:val="6E427DDD"/>
    <w:rsid w:val="6E5D3F90"/>
    <w:rsid w:val="6EC9290D"/>
    <w:rsid w:val="6F135C55"/>
    <w:rsid w:val="6F973DFD"/>
    <w:rsid w:val="712B4FF6"/>
    <w:rsid w:val="71630796"/>
    <w:rsid w:val="71666D40"/>
    <w:rsid w:val="720D24B0"/>
    <w:rsid w:val="72621496"/>
    <w:rsid w:val="7273650F"/>
    <w:rsid w:val="727A5D81"/>
    <w:rsid w:val="734D446A"/>
    <w:rsid w:val="73E26E41"/>
    <w:rsid w:val="75616D9B"/>
    <w:rsid w:val="76285B0A"/>
    <w:rsid w:val="762F1382"/>
    <w:rsid w:val="764B5FBB"/>
    <w:rsid w:val="76F123A0"/>
    <w:rsid w:val="77054B2B"/>
    <w:rsid w:val="772667F8"/>
    <w:rsid w:val="77636978"/>
    <w:rsid w:val="78144598"/>
    <w:rsid w:val="78C830A0"/>
    <w:rsid w:val="79B25E17"/>
    <w:rsid w:val="7A572A80"/>
    <w:rsid w:val="7B356B4E"/>
    <w:rsid w:val="7B4577C5"/>
    <w:rsid w:val="7BBF0AB5"/>
    <w:rsid w:val="7BFE3341"/>
    <w:rsid w:val="7C0E12FE"/>
    <w:rsid w:val="7D9D4043"/>
    <w:rsid w:val="7E7A6107"/>
    <w:rsid w:val="7E821CDD"/>
    <w:rsid w:val="7EE30C9C"/>
    <w:rsid w:val="7EFC6D94"/>
    <w:rsid w:val="7F3E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9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36"/>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7"/>
    <w:qFormat/>
    <w:uiPriority w:val="0"/>
    <w:rPr>
      <w:rFonts w:ascii="宋体" w:hAnsi="Courier New"/>
      <w:szCs w:val="20"/>
    </w:rPr>
  </w:style>
  <w:style w:type="paragraph" w:styleId="18">
    <w:name w:val="Date"/>
    <w:basedOn w:val="1"/>
    <w:next w:val="1"/>
    <w:link w:val="38"/>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next w:val="1"/>
    <w:qFormat/>
    <w:uiPriority w:val="0"/>
    <w:pPr>
      <w:tabs>
        <w:tab w:val="center" w:pos="4153"/>
        <w:tab w:val="right" w:pos="8306"/>
      </w:tabs>
      <w:snapToGrid w:val="0"/>
      <w:jc w:val="left"/>
    </w:pPr>
    <w:rPr>
      <w:sz w:val="18"/>
      <w:szCs w:val="18"/>
    </w:rPr>
  </w:style>
  <w:style w:type="paragraph" w:styleId="22">
    <w:name w:val="header"/>
    <w:basedOn w:val="1"/>
    <w:next w:val="23"/>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99"/>
    <w:pPr>
      <w:ind w:left="1260" w:leftChars="600"/>
    </w:pPr>
  </w:style>
  <w:style w:type="paragraph" w:styleId="24">
    <w:name w:val="Body Text 2"/>
    <w:basedOn w:val="1"/>
    <w:qFormat/>
    <w:uiPriority w:val="0"/>
    <w:pPr>
      <w:widowControl/>
    </w:pPr>
    <w:rPr>
      <w:kern w:val="0"/>
      <w:sz w:val="20"/>
      <w:szCs w:val="20"/>
      <w:lang w:eastAsia="en-US"/>
    </w:rPr>
  </w:style>
  <w:style w:type="paragraph" w:styleId="2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6">
    <w:name w:val="Title"/>
    <w:basedOn w:val="1"/>
    <w:qFormat/>
    <w:uiPriority w:val="0"/>
    <w:pPr>
      <w:jc w:val="center"/>
    </w:pPr>
    <w:rPr>
      <w:sz w:val="30"/>
    </w:rPr>
  </w:style>
  <w:style w:type="paragraph" w:styleId="27">
    <w:name w:val="annotation subject"/>
    <w:basedOn w:val="13"/>
    <w:next w:val="13"/>
    <w:link w:val="39"/>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style>
  <w:style w:type="character" w:styleId="33">
    <w:name w:val="Emphasis"/>
    <w:qFormat/>
    <w:uiPriority w:val="20"/>
    <w:rPr>
      <w:i/>
      <w:iCs/>
    </w:rPr>
  </w:style>
  <w:style w:type="character" w:styleId="34">
    <w:name w:val="Hyperlink"/>
    <w:qFormat/>
    <w:uiPriority w:val="0"/>
    <w:rPr>
      <w:color w:val="0000FF"/>
      <w:u w:val="single"/>
    </w:rPr>
  </w:style>
  <w:style w:type="character" w:styleId="35">
    <w:name w:val="annotation reference"/>
    <w:qFormat/>
    <w:uiPriority w:val="0"/>
    <w:rPr>
      <w:sz w:val="21"/>
      <w:szCs w:val="21"/>
    </w:rPr>
  </w:style>
  <w:style w:type="character" w:customStyle="1" w:styleId="36">
    <w:name w:val="批注文字 字符"/>
    <w:link w:val="13"/>
    <w:qFormat/>
    <w:uiPriority w:val="0"/>
    <w:rPr>
      <w:kern w:val="2"/>
      <w:sz w:val="21"/>
      <w:szCs w:val="24"/>
    </w:rPr>
  </w:style>
  <w:style w:type="character" w:customStyle="1" w:styleId="37">
    <w:name w:val="纯文本 字符"/>
    <w:link w:val="17"/>
    <w:qFormat/>
    <w:uiPriority w:val="0"/>
    <w:rPr>
      <w:rFonts w:ascii="宋体" w:hAnsi="Courier New"/>
      <w:kern w:val="2"/>
      <w:sz w:val="21"/>
    </w:rPr>
  </w:style>
  <w:style w:type="character" w:customStyle="1" w:styleId="38">
    <w:name w:val="日期 字符"/>
    <w:link w:val="18"/>
    <w:qFormat/>
    <w:uiPriority w:val="0"/>
    <w:rPr>
      <w:rFonts w:eastAsia="宋体"/>
      <w:kern w:val="2"/>
      <w:sz w:val="21"/>
      <w:lang w:val="en-US" w:eastAsia="zh-CN" w:bidi="ar-SA"/>
    </w:rPr>
  </w:style>
  <w:style w:type="character" w:customStyle="1" w:styleId="39">
    <w:name w:val="批注主题 字符"/>
    <w:link w:val="27"/>
    <w:qFormat/>
    <w:uiPriority w:val="0"/>
    <w:rPr>
      <w:b/>
      <w:bCs/>
      <w:kern w:val="2"/>
      <w:sz w:val="21"/>
      <w:szCs w:val="24"/>
    </w:rPr>
  </w:style>
  <w:style w:type="character" w:customStyle="1" w:styleId="40">
    <w:name w:val="Char"/>
    <w:qFormat/>
    <w:uiPriority w:val="0"/>
    <w:rPr>
      <w:rFonts w:ascii="宋体" w:hAnsi="Courier New" w:eastAsia="宋体"/>
      <w:kern w:val="2"/>
      <w:sz w:val="21"/>
      <w:lang w:val="en-US" w:eastAsia="zh-CN" w:bidi="ar-SA"/>
    </w:rPr>
  </w:style>
  <w:style w:type="paragraph" w:customStyle="1" w:styleId="41">
    <w:name w:val="Char1"/>
    <w:basedOn w:val="1"/>
    <w:qFormat/>
    <w:uiPriority w:val="0"/>
    <w:rPr>
      <w:rFonts w:ascii="Tahoma" w:hAnsi="Tahoma"/>
      <w:sz w:val="24"/>
      <w:szCs w:val="20"/>
    </w:rPr>
  </w:style>
  <w:style w:type="paragraph" w:customStyle="1" w:styleId="42">
    <w:name w:val="彩色列表 - 强调文字颜色 11"/>
    <w:basedOn w:val="1"/>
    <w:qFormat/>
    <w:uiPriority w:val="34"/>
    <w:pPr>
      <w:ind w:firstLine="420" w:firstLineChars="200"/>
    </w:pPr>
    <w:rPr>
      <w:rFonts w:ascii="Calibri" w:hAnsi="Calibri"/>
      <w:szCs w:val="22"/>
    </w:rPr>
  </w:style>
  <w:style w:type="paragraph" w:customStyle="1" w:styleId="43">
    <w:name w:val="正文文本 21"/>
    <w:basedOn w:val="1"/>
    <w:qFormat/>
    <w:uiPriority w:val="0"/>
    <w:pPr>
      <w:adjustRightInd w:val="0"/>
      <w:spacing w:before="120" w:line="360" w:lineRule="auto"/>
      <w:ind w:firstLine="480"/>
      <w:textAlignment w:val="baseline"/>
    </w:pPr>
    <w:rPr>
      <w:sz w:val="24"/>
      <w:szCs w:val="20"/>
    </w:rPr>
  </w:style>
  <w:style w:type="paragraph" w:customStyle="1" w:styleId="44">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5">
    <w:name w:val="正文文本缩进 21"/>
    <w:basedOn w:val="1"/>
    <w:qFormat/>
    <w:uiPriority w:val="0"/>
    <w:pPr>
      <w:adjustRightInd w:val="0"/>
      <w:spacing w:before="120"/>
      <w:ind w:firstLine="420"/>
      <w:textAlignment w:val="baseline"/>
    </w:pPr>
    <w:rPr>
      <w:sz w:val="24"/>
      <w:szCs w:val="20"/>
    </w:rPr>
  </w:style>
  <w:style w:type="character" w:customStyle="1" w:styleId="46">
    <w:name w:val="ng-binding"/>
    <w:qFormat/>
    <w:uiPriority w:val="0"/>
  </w:style>
  <w:style w:type="character" w:customStyle="1" w:styleId="47">
    <w:name w:val="tgt1"/>
    <w:qFormat/>
    <w:uiPriority w:val="0"/>
  </w:style>
  <w:style w:type="paragraph" w:styleId="48">
    <w:name w:val="List Paragraph"/>
    <w:basedOn w:val="1"/>
    <w:qFormat/>
    <w:uiPriority w:val="34"/>
    <w:pPr>
      <w:ind w:firstLine="420" w:firstLineChars="200"/>
    </w:pPr>
  </w:style>
  <w:style w:type="paragraph" w:customStyle="1" w:styleId="49">
    <w:name w:val="Default"/>
    <w:qFormat/>
    <w:uiPriority w:val="0"/>
    <w:pPr>
      <w:widowControl w:val="0"/>
      <w:autoSpaceDE w:val="0"/>
      <w:autoSpaceDN w:val="0"/>
      <w:adjustRightInd w:val="0"/>
    </w:pPr>
    <w:rPr>
      <w:rFonts w:ascii="Arial" w:hAnsi="Arial" w:eastAsia="宋体" w:cs="Times New Roman"/>
      <w:color w:val="000000"/>
      <w:sz w:val="24"/>
      <w:lang w:val="en-US" w:eastAsia="zh-CN" w:bidi="ar-SA"/>
    </w:rPr>
  </w:style>
  <w:style w:type="character" w:customStyle="1" w:styleId="50">
    <w:name w:val="font61"/>
    <w:basedOn w:val="30"/>
    <w:qFormat/>
    <w:uiPriority w:val="0"/>
    <w:rPr>
      <w:rFonts w:hint="eastAsia" w:ascii="宋体" w:hAnsi="宋体" w:eastAsia="宋体" w:cs="宋体"/>
      <w:color w:val="000000"/>
      <w:sz w:val="22"/>
      <w:szCs w:val="22"/>
      <w:u w:val="none"/>
    </w:rPr>
  </w:style>
  <w:style w:type="character" w:customStyle="1" w:styleId="51">
    <w:name w:val="16"/>
    <w:basedOn w:val="30"/>
    <w:qFormat/>
    <w:uiPriority w:val="0"/>
    <w:rPr>
      <w:rFonts w:hint="eastAsia" w:ascii="宋体" w:hAnsi="宋体" w:eastAsia="宋体"/>
      <w:color w:val="000000"/>
      <w:sz w:val="22"/>
      <w:szCs w:val="22"/>
    </w:rPr>
  </w:style>
  <w:style w:type="character" w:customStyle="1" w:styleId="52">
    <w:name w:val="15"/>
    <w:basedOn w:val="30"/>
    <w:qFormat/>
    <w:uiPriority w:val="0"/>
    <w:rPr>
      <w:rFonts w:hint="default" w:ascii="Arial" w:hAnsi="Arial" w:cs="Arial"/>
      <w:color w:val="000000"/>
      <w:sz w:val="22"/>
      <w:szCs w:val="22"/>
    </w:rPr>
  </w:style>
  <w:style w:type="paragraph" w:customStyle="1" w:styleId="53">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7</Pages>
  <Words>2995</Words>
  <Characters>3267</Characters>
  <Lines>94</Lines>
  <Paragraphs>26</Paragraphs>
  <TotalTime>7</TotalTime>
  <ScaleCrop>false</ScaleCrop>
  <LinksUpToDate>false</LinksUpToDate>
  <CharactersWithSpaces>3353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2023-09-22T03:27:00Z</dcterms:created>
  <dc:creator>caowuning</dc:creator>
  <cp:lastModifiedBy>清</cp:lastModifiedBy>
  <cp:lastPrinted>2009-04-21T17:03:00Z</cp:lastPrinted>
  <dcterms:modified xsi:type="dcterms:W3CDTF">2024-11-20T02:52:52Z</dcterms:modified>
  <dc:title>北 京 市 政 府 采 购</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FBE949A8FE1043948DB1277C6C83B84A_13</vt:lpwstr>
  </property>
</Properties>
</file>