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65AF7">
      <w:pPr>
        <w:adjustRightInd w:val="0"/>
        <w:snapToGrid w:val="0"/>
        <w:rPr>
          <w:rFonts w:hint="eastAsia" w:ascii="宋体" w:hAnsi="宋体"/>
          <w:color w:val="auto"/>
          <w:sz w:val="24"/>
          <w:highlight w:val="none"/>
        </w:rPr>
      </w:pPr>
      <w:bookmarkStart w:id="1" w:name="_GoBack"/>
      <w:bookmarkEnd w:id="1"/>
      <w:bookmarkStart w:id="0" w:name="_Toc512937852"/>
    </w:p>
    <w:p w14:paraId="5600AA02">
      <w:pPr>
        <w:adjustRightInd w:val="0"/>
        <w:snapToGrid w:val="0"/>
        <w:jc w:val="center"/>
        <w:rPr>
          <w:rFonts w:hint="eastAsia" w:ascii="宋体" w:hAnsi="宋体"/>
          <w:b/>
          <w:color w:val="auto"/>
          <w:sz w:val="24"/>
          <w:highlight w:val="none"/>
        </w:rPr>
      </w:pPr>
    </w:p>
    <w:p w14:paraId="6E3FB533">
      <w:pPr>
        <w:adjustRightInd w:val="0"/>
        <w:snapToGrid w:val="0"/>
        <w:jc w:val="center"/>
        <w:rPr>
          <w:rFonts w:hint="eastAsia" w:ascii="宋体" w:hAnsi="宋体"/>
          <w:b/>
          <w:color w:val="auto"/>
          <w:sz w:val="24"/>
          <w:highlight w:val="none"/>
        </w:rPr>
      </w:pPr>
    </w:p>
    <w:p w14:paraId="54F7F94A">
      <w:pPr>
        <w:adjustRightInd w:val="0"/>
        <w:snapToGrid w:val="0"/>
        <w:jc w:val="center"/>
        <w:rPr>
          <w:rFonts w:hint="eastAsia" w:ascii="宋体" w:hAnsi="宋体"/>
          <w:b/>
          <w:color w:val="auto"/>
          <w:sz w:val="24"/>
          <w:highlight w:val="none"/>
        </w:rPr>
      </w:pPr>
    </w:p>
    <w:p w14:paraId="3BFB9A04">
      <w:pPr>
        <w:adjustRightInd w:val="0"/>
        <w:snapToGrid w:val="0"/>
        <w:jc w:val="center"/>
        <w:rPr>
          <w:rFonts w:hint="eastAsia" w:ascii="宋体" w:hAnsi="宋体"/>
          <w:b/>
          <w:color w:val="auto"/>
          <w:sz w:val="24"/>
          <w:highlight w:val="none"/>
        </w:rPr>
      </w:pPr>
    </w:p>
    <w:p w14:paraId="60B3688E">
      <w:pPr>
        <w:adjustRightInd w:val="0"/>
        <w:snapToGrid w:val="0"/>
        <w:jc w:val="center"/>
        <w:rPr>
          <w:rFonts w:hint="eastAsia" w:ascii="宋体" w:hAnsi="宋体"/>
          <w:b/>
          <w:color w:val="auto"/>
          <w:sz w:val="24"/>
          <w:highlight w:val="none"/>
        </w:rPr>
      </w:pPr>
    </w:p>
    <w:p w14:paraId="26970621">
      <w:pPr>
        <w:adjustRightInd w:val="0"/>
        <w:snapToGrid w:val="0"/>
        <w:jc w:val="center"/>
        <w:rPr>
          <w:rFonts w:hint="eastAsia" w:ascii="宋体" w:hAnsi="宋体"/>
          <w:b/>
          <w:color w:val="auto"/>
          <w:sz w:val="24"/>
          <w:highlight w:val="none"/>
        </w:rPr>
      </w:pPr>
    </w:p>
    <w:p w14:paraId="13BB1055">
      <w:pPr>
        <w:adjustRightInd w:val="0"/>
        <w:snapToGrid w:val="0"/>
        <w:jc w:val="center"/>
        <w:rPr>
          <w:rFonts w:hint="eastAsia" w:ascii="宋体" w:hAnsi="宋体"/>
          <w:b/>
          <w:color w:val="auto"/>
          <w:sz w:val="24"/>
          <w:highlight w:val="none"/>
        </w:rPr>
      </w:pPr>
    </w:p>
    <w:p w14:paraId="7757690C">
      <w:pPr>
        <w:adjustRightInd w:val="0"/>
        <w:snapToGrid w:val="0"/>
        <w:jc w:val="center"/>
        <w:rPr>
          <w:rFonts w:hint="eastAsia" w:ascii="宋体" w:hAnsi="宋体"/>
          <w:b/>
          <w:color w:val="auto"/>
          <w:sz w:val="24"/>
          <w:highlight w:val="none"/>
        </w:rPr>
      </w:pPr>
    </w:p>
    <w:p w14:paraId="3272D47E">
      <w:pPr>
        <w:adjustRightInd w:val="0"/>
        <w:snapToGrid w:val="0"/>
        <w:jc w:val="center"/>
        <w:rPr>
          <w:rFonts w:hint="eastAsia" w:ascii="宋体" w:hAnsi="宋体"/>
          <w:b/>
          <w:color w:val="auto"/>
          <w:sz w:val="24"/>
          <w:highlight w:val="none"/>
        </w:rPr>
      </w:pPr>
    </w:p>
    <w:p w14:paraId="37DF9B21">
      <w:pPr>
        <w:adjustRightInd w:val="0"/>
        <w:snapToGrid w:val="0"/>
        <w:jc w:val="center"/>
        <w:rPr>
          <w:rFonts w:hint="eastAsia" w:ascii="宋体" w:hAnsi="宋体"/>
          <w:b/>
          <w:color w:val="auto"/>
          <w:sz w:val="24"/>
          <w:highlight w:val="none"/>
        </w:rPr>
      </w:pPr>
    </w:p>
    <w:p w14:paraId="2079D2FE">
      <w:pPr>
        <w:adjustRightInd w:val="0"/>
        <w:snapToGrid w:val="0"/>
        <w:jc w:val="center"/>
        <w:rPr>
          <w:rFonts w:hint="eastAsia" w:ascii="宋体" w:hAnsi="宋体"/>
          <w:b/>
          <w:color w:val="auto"/>
          <w:sz w:val="24"/>
          <w:highlight w:val="none"/>
        </w:rPr>
      </w:pPr>
    </w:p>
    <w:p w14:paraId="7B3FA8EB">
      <w:pPr>
        <w:adjustRightInd w:val="0"/>
        <w:snapToGrid w:val="0"/>
        <w:jc w:val="center"/>
        <w:rPr>
          <w:rFonts w:hint="eastAsia" w:ascii="宋体" w:hAnsi="宋体"/>
          <w:b/>
          <w:color w:val="auto"/>
          <w:sz w:val="24"/>
          <w:highlight w:val="none"/>
        </w:rPr>
      </w:pPr>
    </w:p>
    <w:p w14:paraId="44776984">
      <w:pPr>
        <w:adjustRightInd w:val="0"/>
        <w:snapToGrid w:val="0"/>
        <w:spacing w:before="936" w:beforeLines="300"/>
        <w:jc w:val="center"/>
        <w:rPr>
          <w:rFonts w:hint="eastAsia"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bookmarkEnd w:id="0"/>
    <w:p w14:paraId="7A230209">
      <w:pPr>
        <w:adjustRightInd w:val="0"/>
        <w:snapToGrid w:val="0"/>
        <w:jc w:val="center"/>
        <w:rPr>
          <w:rFonts w:hint="eastAsia" w:ascii="宋体" w:hAnsi="宋体"/>
          <w:b/>
          <w:color w:val="auto"/>
          <w:sz w:val="30"/>
          <w:szCs w:val="30"/>
          <w:highlight w:val="none"/>
        </w:rPr>
      </w:pPr>
      <w:r>
        <w:rPr>
          <w:rFonts w:hint="eastAsia" w:ascii="宋体" w:hAnsi="宋体"/>
          <w:b/>
          <w:color w:val="auto"/>
          <w:sz w:val="30"/>
          <w:szCs w:val="30"/>
          <w:highlight w:val="none"/>
        </w:rPr>
        <w:t>一、货物需求一览表</w:t>
      </w:r>
    </w:p>
    <w:p w14:paraId="0CA18A80">
      <w:pPr>
        <w:adjustRightInd w:val="0"/>
        <w:snapToGrid w:val="0"/>
        <w:jc w:val="center"/>
        <w:rPr>
          <w:rFonts w:hint="eastAsia" w:ascii="宋体" w:hAnsi="宋体"/>
          <w:b/>
          <w:color w:val="auto"/>
          <w:sz w:val="30"/>
          <w:szCs w:val="30"/>
          <w:highlight w:val="none"/>
        </w:rPr>
      </w:pPr>
    </w:p>
    <w:tbl>
      <w:tblPr>
        <w:tblStyle w:val="28"/>
        <w:tblW w:w="874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04"/>
        <w:gridCol w:w="1878"/>
        <w:gridCol w:w="1122"/>
        <w:gridCol w:w="1011"/>
        <w:gridCol w:w="1567"/>
        <w:gridCol w:w="2459"/>
      </w:tblGrid>
      <w:tr w14:paraId="7DAF4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04" w:type="dxa"/>
            <w:noWrap w:val="0"/>
            <w:vAlign w:val="center"/>
          </w:tcPr>
          <w:p w14:paraId="68DFFDF0">
            <w:pPr>
              <w:jc w:val="center"/>
              <w:rPr>
                <w:rFonts w:hint="eastAsia" w:ascii="宋体" w:hAnsi="Bookman Old Style"/>
                <w:color w:val="auto"/>
                <w:sz w:val="24"/>
                <w:highlight w:val="none"/>
              </w:rPr>
            </w:pPr>
            <w:r>
              <w:rPr>
                <w:rFonts w:hint="eastAsia" w:ascii="宋体" w:hAnsi="Bookman Old Style"/>
                <w:color w:val="auto"/>
                <w:sz w:val="24"/>
                <w:highlight w:val="none"/>
              </w:rPr>
              <w:t>包号</w:t>
            </w:r>
          </w:p>
        </w:tc>
        <w:tc>
          <w:tcPr>
            <w:tcW w:w="1878" w:type="dxa"/>
            <w:noWrap w:val="0"/>
            <w:vAlign w:val="center"/>
          </w:tcPr>
          <w:p w14:paraId="4DE1B28E">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122" w:type="dxa"/>
            <w:noWrap w:val="0"/>
            <w:vAlign w:val="center"/>
          </w:tcPr>
          <w:p w14:paraId="2B16BC6A">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011" w:type="dxa"/>
            <w:noWrap w:val="0"/>
            <w:vAlign w:val="center"/>
          </w:tcPr>
          <w:p w14:paraId="7D8F5A61">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567" w:type="dxa"/>
            <w:noWrap w:val="0"/>
            <w:vAlign w:val="center"/>
          </w:tcPr>
          <w:p w14:paraId="2D7AB865">
            <w:pPr>
              <w:jc w:val="center"/>
              <w:rPr>
                <w:rFonts w:hint="eastAsia" w:ascii="宋体" w:hAnsi="Bookman Old Style"/>
                <w:color w:val="auto"/>
                <w:sz w:val="24"/>
                <w:highlight w:val="none"/>
              </w:rPr>
            </w:pPr>
            <w:r>
              <w:rPr>
                <w:rFonts w:hint="eastAsia" w:ascii="宋体" w:hAnsi="Bookman Old Style"/>
                <w:color w:val="auto"/>
                <w:sz w:val="24"/>
                <w:highlight w:val="none"/>
              </w:rPr>
              <w:t>指定到货港</w:t>
            </w:r>
          </w:p>
        </w:tc>
        <w:tc>
          <w:tcPr>
            <w:tcW w:w="2459" w:type="dxa"/>
            <w:noWrap w:val="0"/>
            <w:vAlign w:val="center"/>
          </w:tcPr>
          <w:p w14:paraId="3870C62D">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14:paraId="545F7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04" w:type="dxa"/>
            <w:noWrap w:val="0"/>
            <w:vAlign w:val="center"/>
          </w:tcPr>
          <w:p w14:paraId="26B04DBE">
            <w:pPr>
              <w:jc w:val="center"/>
              <w:rPr>
                <w:rFonts w:hint="eastAsia" w:ascii="宋体"/>
                <w:color w:val="auto"/>
                <w:sz w:val="24"/>
                <w:highlight w:val="none"/>
              </w:rPr>
            </w:pPr>
            <w:r>
              <w:rPr>
                <w:rFonts w:hint="eastAsia" w:ascii="宋体"/>
                <w:color w:val="auto"/>
                <w:sz w:val="24"/>
                <w:highlight w:val="none"/>
              </w:rPr>
              <w:t>1</w:t>
            </w:r>
          </w:p>
        </w:tc>
        <w:tc>
          <w:tcPr>
            <w:tcW w:w="1878" w:type="dxa"/>
            <w:noWrap w:val="0"/>
            <w:vAlign w:val="center"/>
          </w:tcPr>
          <w:p w14:paraId="30CD8C3A">
            <w:pPr>
              <w:jc w:val="center"/>
              <w:rPr>
                <w:rFonts w:hint="eastAsia" w:ascii="Agilent TT CondLight" w:hAnsi="Agilent TT CondLight"/>
                <w:bCs/>
                <w:color w:val="auto"/>
                <w:kern w:val="0"/>
                <w:sz w:val="22"/>
                <w:szCs w:val="22"/>
                <w:highlight w:val="none"/>
              </w:rPr>
            </w:pPr>
            <w:r>
              <w:rPr>
                <w:rFonts w:hint="eastAsia" w:ascii="Agilent TT CondLight" w:hAnsi="Agilent TT CondLight"/>
                <w:bCs/>
                <w:color w:val="auto"/>
                <w:kern w:val="0"/>
                <w:sz w:val="22"/>
                <w:szCs w:val="22"/>
                <w:highlight w:val="none"/>
              </w:rPr>
              <w:t>激光干涉仪</w:t>
            </w:r>
          </w:p>
        </w:tc>
        <w:tc>
          <w:tcPr>
            <w:tcW w:w="1122" w:type="dxa"/>
            <w:noWrap w:val="0"/>
            <w:vAlign w:val="center"/>
          </w:tcPr>
          <w:p w14:paraId="0029CBE0">
            <w:pPr>
              <w:jc w:val="center"/>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套</w:t>
            </w:r>
          </w:p>
        </w:tc>
        <w:tc>
          <w:tcPr>
            <w:tcW w:w="5037" w:type="dxa"/>
            <w:gridSpan w:val="3"/>
            <w:noWrap w:val="0"/>
            <w:vAlign w:val="center"/>
          </w:tcPr>
          <w:p w14:paraId="1392AD48">
            <w:pPr>
              <w:jc w:val="center"/>
              <w:rPr>
                <w:rFonts w:hint="eastAsia" w:ascii="宋体" w:hAnsi="Bookman Old Style"/>
                <w:color w:val="auto"/>
                <w:sz w:val="24"/>
                <w:highlight w:val="none"/>
              </w:rPr>
            </w:pPr>
            <w:r>
              <w:rPr>
                <w:rFonts w:hint="eastAsia" w:ascii="宋体" w:hAnsi="Bookman Old Style"/>
                <w:color w:val="auto"/>
                <w:sz w:val="24"/>
                <w:highlight w:val="none"/>
              </w:rPr>
              <w:t>详见具体技术规格</w:t>
            </w:r>
          </w:p>
        </w:tc>
      </w:tr>
    </w:tbl>
    <w:p w14:paraId="1BA8D422">
      <w:pPr>
        <w:adjustRightInd w:val="0"/>
        <w:snapToGrid w:val="0"/>
        <w:jc w:val="center"/>
        <w:rPr>
          <w:rFonts w:hint="eastAsia" w:ascii="宋体" w:hAnsi="宋体"/>
          <w:b/>
          <w:color w:val="auto"/>
          <w:sz w:val="30"/>
          <w:szCs w:val="30"/>
          <w:highlight w:val="none"/>
        </w:rPr>
      </w:pPr>
    </w:p>
    <w:p w14:paraId="3FF38D11">
      <w:pPr>
        <w:adjustRightInd w:val="0"/>
        <w:snapToGrid w:val="0"/>
        <w:jc w:val="center"/>
        <w:rPr>
          <w:rFonts w:hint="eastAsia" w:ascii="宋体" w:hAnsi="宋体"/>
          <w:b/>
          <w:color w:val="auto"/>
          <w:sz w:val="30"/>
          <w:szCs w:val="30"/>
          <w:highlight w:val="none"/>
        </w:rPr>
      </w:pPr>
    </w:p>
    <w:p w14:paraId="556F0E4F">
      <w:pPr>
        <w:adjustRightInd w:val="0"/>
        <w:snapToGrid w:val="0"/>
        <w:jc w:val="center"/>
        <w:rPr>
          <w:rFonts w:hint="eastAsia" w:ascii="宋体" w:hAnsi="宋体"/>
          <w:b/>
          <w:color w:val="auto"/>
          <w:sz w:val="30"/>
          <w:szCs w:val="30"/>
          <w:highlight w:val="none"/>
        </w:rPr>
      </w:pPr>
    </w:p>
    <w:p w14:paraId="59D33A7E">
      <w:pPr>
        <w:rPr>
          <w:rFonts w:hint="eastAsia"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782AC8DA">
      <w:pPr>
        <w:adjustRightInd w:val="0"/>
        <w:snapToGrid w:val="0"/>
        <w:rPr>
          <w:rFonts w:hint="eastAsia" w:ascii="宋体" w:hAnsi="宋体"/>
          <w:color w:val="auto"/>
          <w:szCs w:val="21"/>
          <w:highlight w:val="none"/>
        </w:rPr>
      </w:pPr>
    </w:p>
    <w:p w14:paraId="01994BD4">
      <w:pPr>
        <w:adjustRightInd w:val="0"/>
        <w:snapToGrid w:val="0"/>
        <w:rPr>
          <w:rFonts w:hint="eastAsia" w:ascii="宋体" w:hAnsi="宋体"/>
          <w:color w:val="auto"/>
          <w:szCs w:val="21"/>
          <w:highlight w:val="none"/>
        </w:rPr>
      </w:pPr>
    </w:p>
    <w:p w14:paraId="19F21482">
      <w:pPr>
        <w:adjustRightInd w:val="0"/>
        <w:snapToGrid w:val="0"/>
        <w:rPr>
          <w:rFonts w:hint="eastAsia" w:ascii="宋体" w:hAnsi="宋体"/>
          <w:color w:val="auto"/>
          <w:szCs w:val="21"/>
          <w:highlight w:val="none"/>
        </w:rPr>
      </w:pPr>
    </w:p>
    <w:p w14:paraId="7E1BEA34">
      <w:pPr>
        <w:adjustRightInd w:val="0"/>
        <w:snapToGrid w:val="0"/>
        <w:rPr>
          <w:rFonts w:hint="eastAsia" w:ascii="宋体" w:hAnsi="宋体"/>
          <w:color w:val="auto"/>
          <w:szCs w:val="21"/>
          <w:highlight w:val="none"/>
        </w:rPr>
      </w:pPr>
    </w:p>
    <w:p w14:paraId="54983A82">
      <w:pPr>
        <w:adjustRightInd w:val="0"/>
        <w:snapToGrid w:val="0"/>
        <w:rPr>
          <w:rFonts w:hint="eastAsia" w:ascii="宋体" w:hAnsi="宋体"/>
          <w:color w:val="auto"/>
          <w:szCs w:val="21"/>
          <w:highlight w:val="none"/>
        </w:rPr>
      </w:pPr>
    </w:p>
    <w:p w14:paraId="3B099237">
      <w:pPr>
        <w:adjustRightInd w:val="0"/>
        <w:snapToGrid w:val="0"/>
        <w:rPr>
          <w:rFonts w:hint="eastAsia" w:ascii="宋体" w:hAnsi="宋体"/>
          <w:color w:val="auto"/>
          <w:szCs w:val="21"/>
          <w:highlight w:val="none"/>
        </w:rPr>
      </w:pPr>
    </w:p>
    <w:p w14:paraId="1AFBAB5D">
      <w:pPr>
        <w:adjustRightInd w:val="0"/>
        <w:snapToGrid w:val="0"/>
        <w:rPr>
          <w:rFonts w:hint="eastAsia" w:ascii="宋体" w:hAnsi="宋体"/>
          <w:color w:val="auto"/>
          <w:szCs w:val="21"/>
          <w:highlight w:val="none"/>
        </w:rPr>
      </w:pPr>
    </w:p>
    <w:p w14:paraId="21BEF8B6">
      <w:pPr>
        <w:adjustRightInd w:val="0"/>
        <w:snapToGrid w:val="0"/>
        <w:rPr>
          <w:rFonts w:hint="eastAsia" w:ascii="宋体" w:hAnsi="宋体"/>
          <w:color w:val="auto"/>
          <w:szCs w:val="21"/>
          <w:highlight w:val="none"/>
        </w:rPr>
      </w:pPr>
    </w:p>
    <w:p w14:paraId="4F362F3B">
      <w:pPr>
        <w:adjustRightInd w:val="0"/>
        <w:snapToGrid w:val="0"/>
        <w:rPr>
          <w:rFonts w:hint="eastAsia" w:ascii="宋体" w:hAnsi="宋体"/>
          <w:color w:val="auto"/>
          <w:szCs w:val="21"/>
          <w:highlight w:val="none"/>
        </w:rPr>
      </w:pPr>
    </w:p>
    <w:p w14:paraId="04EC304A">
      <w:pPr>
        <w:adjustRightInd w:val="0"/>
        <w:snapToGrid w:val="0"/>
        <w:rPr>
          <w:rFonts w:hint="eastAsia" w:ascii="宋体" w:hAnsi="宋体"/>
          <w:color w:val="auto"/>
          <w:szCs w:val="21"/>
          <w:highlight w:val="none"/>
        </w:rPr>
      </w:pPr>
    </w:p>
    <w:p w14:paraId="321E45D5">
      <w:pPr>
        <w:adjustRightInd w:val="0"/>
        <w:snapToGrid w:val="0"/>
        <w:rPr>
          <w:rFonts w:hint="eastAsia" w:ascii="宋体" w:hAnsi="宋体"/>
          <w:color w:val="auto"/>
          <w:szCs w:val="21"/>
          <w:highlight w:val="none"/>
        </w:rPr>
      </w:pPr>
    </w:p>
    <w:p w14:paraId="06839516">
      <w:pPr>
        <w:adjustRightInd w:val="0"/>
        <w:snapToGrid w:val="0"/>
        <w:rPr>
          <w:rFonts w:hint="eastAsia" w:ascii="宋体" w:hAnsi="宋体"/>
          <w:color w:val="auto"/>
          <w:szCs w:val="21"/>
          <w:highlight w:val="none"/>
        </w:rPr>
      </w:pPr>
    </w:p>
    <w:p w14:paraId="3950EAB0">
      <w:pPr>
        <w:tabs>
          <w:tab w:val="left" w:pos="720"/>
        </w:tabs>
        <w:adjustRightInd w:val="0"/>
        <w:snapToGrid w:val="0"/>
        <w:jc w:val="center"/>
        <w:rPr>
          <w:rFonts w:ascii="宋体" w:hAnsi="宋体"/>
          <w:b/>
          <w:color w:val="auto"/>
          <w:sz w:val="30"/>
          <w:szCs w:val="30"/>
          <w:highlight w:val="none"/>
        </w:rPr>
      </w:pPr>
      <w:r>
        <w:rPr>
          <w:rFonts w:ascii="宋体" w:hAnsi="宋体"/>
          <w:b/>
          <w:color w:val="auto"/>
          <w:sz w:val="30"/>
          <w:szCs w:val="30"/>
          <w:highlight w:val="none"/>
        </w:rPr>
        <w:br w:type="page"/>
      </w:r>
      <w:r>
        <w:rPr>
          <w:rFonts w:hint="eastAsia" w:ascii="宋体" w:hAnsi="宋体"/>
          <w:b/>
          <w:color w:val="auto"/>
          <w:sz w:val="30"/>
          <w:szCs w:val="30"/>
          <w:highlight w:val="none"/>
        </w:rPr>
        <w:t>二、总则</w:t>
      </w:r>
    </w:p>
    <w:p w14:paraId="7F1E04E6">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14:paraId="2247531E">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3A4FEFD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4656458D">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14:paraId="30D8BED7">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7529F6C2">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14:paraId="76175958">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4D43DA13">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45D77E9C">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79CC7C65">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53B6E4C5">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02DA2407">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14:paraId="20627814">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12862C11">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03CB61F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4AD9460C">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69A2D86D">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0AC0CCE1">
      <w:pPr>
        <w:rPr>
          <w:rFonts w:hint="eastAsia" w:eastAsia="黑体"/>
          <w:b/>
          <w:bCs/>
          <w:color w:val="auto"/>
          <w:kern w:val="44"/>
          <w:sz w:val="24"/>
          <w:highlight w:val="none"/>
        </w:rPr>
      </w:pPr>
    </w:p>
    <w:p w14:paraId="668D56E4">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14:paraId="669AC909">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18BB9CB7">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7D1388A0">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301840D1">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6C25E99B">
      <w:pPr>
        <w:pStyle w:val="17"/>
        <w:spacing w:line="360" w:lineRule="auto"/>
        <w:ind w:left="410" w:hanging="410" w:hangingChars="170"/>
        <w:rPr>
          <w:rFonts w:hint="eastAsia" w:hAnsi="宋体"/>
          <w:b/>
          <w:color w:val="auto"/>
          <w:sz w:val="24"/>
          <w:szCs w:val="24"/>
          <w:highlight w:val="none"/>
        </w:rPr>
      </w:pPr>
    </w:p>
    <w:p w14:paraId="3B3903EC">
      <w:pPr>
        <w:pStyle w:val="17"/>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14:paraId="770F27DB">
      <w:pPr>
        <w:pStyle w:val="17"/>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14:paraId="2C7E9F1C">
      <w:pPr>
        <w:spacing w:after="156" w:afterLines="50"/>
        <w:ind w:left="601" w:hanging="601"/>
        <w:rPr>
          <w:rFonts w:hint="eastAsia" w:ascii="宋体" w:hAnsi="宋体"/>
          <w:b/>
          <w:color w:val="auto"/>
          <w:sz w:val="28"/>
          <w:highlight w:val="none"/>
        </w:rPr>
      </w:pPr>
      <w:r>
        <w:rPr>
          <w:rFonts w:hint="eastAsia" w:ascii="宋体" w:hAnsi="宋体"/>
          <w:b/>
          <w:color w:val="auto"/>
          <w:sz w:val="28"/>
          <w:highlight w:val="none"/>
        </w:rPr>
        <w:t>三、具体技术规格</w:t>
      </w:r>
    </w:p>
    <w:p w14:paraId="782BBC4E">
      <w:pPr>
        <w:rPr>
          <w:rFonts w:hint="eastAsia"/>
          <w:color w:val="auto"/>
          <w:sz w:val="24"/>
          <w:highlight w:val="none"/>
        </w:rPr>
      </w:pPr>
    </w:p>
    <w:p w14:paraId="4F78C6B0">
      <w:pPr>
        <w:jc w:val="center"/>
        <w:rPr>
          <w:rFonts w:hint="eastAsia"/>
          <w:b/>
          <w:color w:val="auto"/>
          <w:sz w:val="24"/>
          <w:highlight w:val="none"/>
        </w:rPr>
      </w:pPr>
      <w:r>
        <w:rPr>
          <w:rFonts w:hint="eastAsia"/>
          <w:b/>
          <w:color w:val="auto"/>
          <w:sz w:val="24"/>
          <w:highlight w:val="none"/>
        </w:rPr>
        <w:t xml:space="preserve"> </w:t>
      </w:r>
    </w:p>
    <w:p w14:paraId="787FB795">
      <w:pPr>
        <w:spacing w:line="360" w:lineRule="auto"/>
        <w:ind w:left="557" w:hanging="557" w:hangingChars="231"/>
        <w:jc w:val="center"/>
        <w:rPr>
          <w:rFonts w:hint="eastAsia" w:ascii="宋体" w:hAnsi="宋体"/>
          <w:b/>
          <w:bCs/>
          <w:color w:val="auto"/>
          <w:sz w:val="24"/>
          <w:highlight w:val="none"/>
        </w:rPr>
      </w:pPr>
      <w:r>
        <w:rPr>
          <w:rFonts w:hint="eastAsia" w:ascii="宋体" w:hAnsi="宋体"/>
          <w:b/>
          <w:bCs/>
          <w:color w:val="auto"/>
          <w:sz w:val="24"/>
          <w:highlight w:val="none"/>
        </w:rPr>
        <w:t>第1包 激光干涉仪</w:t>
      </w:r>
    </w:p>
    <w:p w14:paraId="6A2B14C6">
      <w:pPr>
        <w:numPr>
          <w:ilvl w:val="0"/>
          <w:numId w:val="1"/>
        </w:numPr>
        <w:adjustRightInd w:val="0"/>
        <w:snapToGrid w:val="0"/>
        <w:rPr>
          <w:rFonts w:hint="eastAsia" w:ascii="宋体" w:hAnsi="宋体"/>
          <w:b/>
          <w:bCs/>
          <w:color w:val="auto"/>
          <w:sz w:val="24"/>
          <w:highlight w:val="none"/>
        </w:rPr>
      </w:pPr>
      <w:r>
        <w:rPr>
          <w:rFonts w:hint="eastAsia"/>
          <w:b/>
          <w:color w:val="auto"/>
          <w:sz w:val="24"/>
          <w:highlight w:val="none"/>
        </w:rPr>
        <w:t>技术要求：</w:t>
      </w:r>
    </w:p>
    <w:p w14:paraId="331E5ABA">
      <w:pPr>
        <w:adjustRightInd w:val="0"/>
        <w:snapToGrid w:val="0"/>
        <w:spacing w:line="360" w:lineRule="auto"/>
        <w:ind w:left="557" w:hanging="557" w:hangingChars="231"/>
        <w:rPr>
          <w:rFonts w:hint="eastAsia" w:ascii="宋体" w:hAnsi="宋体"/>
          <w:b/>
          <w:bCs/>
          <w:color w:val="auto"/>
          <w:sz w:val="24"/>
          <w:highlight w:val="none"/>
        </w:rPr>
      </w:pPr>
    </w:p>
    <w:p w14:paraId="0C0E653E">
      <w:pPr>
        <w:numPr>
          <w:ilvl w:val="0"/>
          <w:numId w:val="2"/>
        </w:numPr>
        <w:adjustRightInd w:val="0"/>
        <w:snapToGrid w:val="0"/>
        <w:spacing w:line="360" w:lineRule="auto"/>
        <w:rPr>
          <w:rFonts w:hint="eastAsia"/>
          <w:b/>
          <w:color w:val="auto"/>
          <w:sz w:val="24"/>
          <w:highlight w:val="none"/>
        </w:rPr>
      </w:pPr>
      <w:r>
        <w:rPr>
          <w:rFonts w:hint="eastAsia"/>
          <w:b/>
          <w:color w:val="auto"/>
          <w:sz w:val="24"/>
          <w:highlight w:val="none"/>
        </w:rPr>
        <w:t>工作条件：</w:t>
      </w:r>
    </w:p>
    <w:p w14:paraId="2015BBD8">
      <w:pPr>
        <w:adjustRightInd w:val="0"/>
        <w:snapToGrid w:val="0"/>
        <w:spacing w:line="360" w:lineRule="auto"/>
        <w:rPr>
          <w:rFonts w:cs="仿宋_GB2312"/>
          <w:color w:val="auto"/>
          <w:sz w:val="24"/>
          <w:szCs w:val="28"/>
          <w:highlight w:val="none"/>
        </w:rPr>
      </w:pPr>
      <w:r>
        <w:rPr>
          <w:rFonts w:hint="eastAsia"/>
          <w:color w:val="auto"/>
          <w:sz w:val="24"/>
          <w:highlight w:val="none"/>
        </w:rPr>
        <w:t>1.1 工作</w:t>
      </w:r>
      <w:r>
        <w:rPr>
          <w:rFonts w:hint="eastAsia" w:cs="仿宋_GB2312"/>
          <w:color w:val="auto"/>
          <w:sz w:val="24"/>
          <w:szCs w:val="28"/>
          <w:highlight w:val="none"/>
        </w:rPr>
        <w:t>温度15℃-30℃</w:t>
      </w:r>
    </w:p>
    <w:p w14:paraId="1AC5F0A4">
      <w:pPr>
        <w:adjustRightInd w:val="0"/>
        <w:snapToGrid w:val="0"/>
        <w:spacing w:line="360" w:lineRule="auto"/>
        <w:rPr>
          <w:rFonts w:hint="eastAsia" w:cs="仿宋_GB2312"/>
          <w:color w:val="auto"/>
          <w:sz w:val="24"/>
          <w:szCs w:val="28"/>
          <w:highlight w:val="none"/>
        </w:rPr>
      </w:pPr>
      <w:r>
        <w:rPr>
          <w:rFonts w:hint="eastAsia"/>
          <w:color w:val="auto"/>
          <w:sz w:val="24"/>
          <w:highlight w:val="none"/>
        </w:rPr>
        <w:t>1.</w:t>
      </w:r>
      <w:r>
        <w:rPr>
          <w:rFonts w:hint="eastAsia" w:cs="仿宋_GB2312"/>
          <w:color w:val="auto"/>
          <w:sz w:val="24"/>
          <w:szCs w:val="28"/>
          <w:highlight w:val="none"/>
        </w:rPr>
        <w:t>2 温度变化率&lt;1.0℃/15min</w:t>
      </w:r>
    </w:p>
    <w:p w14:paraId="7A1EDC3B">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rPr>
        <w:t>1.3 相对湿度5%-95%，无凝结</w:t>
      </w:r>
    </w:p>
    <w:p w14:paraId="2E6F8F6C">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rPr>
        <w:t>1.4</w:t>
      </w:r>
      <w:r>
        <w:rPr>
          <w:rFonts w:hint="eastAsia" w:ascii="宋体" w:hAnsi="宋体" w:cs="宋体"/>
          <w:color w:val="auto"/>
          <w:sz w:val="24"/>
          <w:szCs w:val="28"/>
          <w:highlight w:val="none"/>
        </w:rPr>
        <w:t xml:space="preserve"> </w:t>
      </w:r>
      <w:r>
        <w:rPr>
          <w:rFonts w:hint="eastAsia" w:cs="仿宋_GB2312"/>
          <w:color w:val="auto"/>
          <w:sz w:val="24"/>
          <w:szCs w:val="28"/>
          <w:highlight w:val="none"/>
        </w:rPr>
        <w:t>QPSI 模式可以在振幅不超过150nm的震动环境下进行测量;</w:t>
      </w:r>
      <w:r>
        <w:rPr>
          <w:rFonts w:hint="eastAsia" w:cs="仿宋_GB2312"/>
          <w:color w:val="auto"/>
          <w:sz w:val="24"/>
          <w:szCs w:val="28"/>
          <w:highlight w:val="none"/>
        </w:rPr>
        <w:tab/>
      </w:r>
    </w:p>
    <w:p w14:paraId="6A9F4D72">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rPr>
        <w:t>1.5 机械移相测量模式推荐使用被动隔振系统。</w:t>
      </w:r>
    </w:p>
    <w:p w14:paraId="1FDE4BC9">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rPr>
        <w:t>1.6 电源电压为220V</w:t>
      </w:r>
    </w:p>
    <w:p w14:paraId="359E9D89">
      <w:pPr>
        <w:adjustRightInd w:val="0"/>
        <w:snapToGrid w:val="0"/>
        <w:spacing w:line="360" w:lineRule="auto"/>
        <w:rPr>
          <w:rFonts w:hint="eastAsia" w:cs="仿宋_GB2312"/>
          <w:color w:val="auto"/>
          <w:sz w:val="24"/>
          <w:szCs w:val="28"/>
          <w:highlight w:val="none"/>
        </w:rPr>
      </w:pPr>
    </w:p>
    <w:p w14:paraId="3BCBC9C8">
      <w:pPr>
        <w:numPr>
          <w:ilvl w:val="0"/>
          <w:numId w:val="2"/>
        </w:numPr>
        <w:adjustRightInd w:val="0"/>
        <w:snapToGrid w:val="0"/>
        <w:spacing w:line="360" w:lineRule="auto"/>
        <w:rPr>
          <w:rFonts w:hint="eastAsia"/>
          <w:b/>
          <w:color w:val="auto"/>
          <w:sz w:val="24"/>
          <w:highlight w:val="none"/>
        </w:rPr>
      </w:pPr>
      <w:r>
        <w:rPr>
          <w:rFonts w:hint="eastAsia"/>
          <w:b/>
          <w:color w:val="auto"/>
          <w:sz w:val="24"/>
          <w:highlight w:val="none"/>
        </w:rPr>
        <w:t>设备用途：</w:t>
      </w:r>
    </w:p>
    <w:p w14:paraId="481BF81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仿宋_GB2312"/>
          <w:color w:val="auto"/>
          <w:sz w:val="24"/>
          <w:szCs w:val="28"/>
          <w:highlight w:val="none"/>
        </w:rPr>
      </w:pPr>
      <w:r>
        <w:rPr>
          <w:rFonts w:hint="eastAsia" w:cs="仿宋_GB2312"/>
          <w:color w:val="auto"/>
          <w:sz w:val="24"/>
          <w:szCs w:val="28"/>
          <w:highlight w:val="none"/>
        </w:rPr>
        <w:t>激光干涉仪是一套能够测量拼接焦面面型的高精度测量系统，能够满足大尺寸拼接焦面的拼接性能调整优化和拼接精度标定需求。</w:t>
      </w:r>
    </w:p>
    <w:p w14:paraId="5A799CB1">
      <w:pPr>
        <w:adjustRightInd w:val="0"/>
        <w:snapToGrid w:val="0"/>
        <w:spacing w:line="360" w:lineRule="auto"/>
        <w:ind w:firstLine="480" w:firstLineChars="200"/>
        <w:rPr>
          <w:rFonts w:hint="eastAsia" w:cs="仿宋_GB2312"/>
          <w:color w:val="auto"/>
          <w:sz w:val="24"/>
          <w:szCs w:val="28"/>
          <w:highlight w:val="none"/>
        </w:rPr>
      </w:pPr>
    </w:p>
    <w:p w14:paraId="32D4C21D">
      <w:pPr>
        <w:adjustRightInd w:val="0"/>
        <w:snapToGrid w:val="0"/>
        <w:spacing w:line="360" w:lineRule="auto"/>
        <w:rPr>
          <w:rFonts w:hint="eastAsia" w:cs="仿宋_GB2312"/>
          <w:color w:val="auto"/>
          <w:sz w:val="24"/>
          <w:szCs w:val="28"/>
          <w:highlight w:val="none"/>
        </w:rPr>
      </w:pPr>
    </w:p>
    <w:p w14:paraId="7A7B9B55">
      <w:pPr>
        <w:numPr>
          <w:ilvl w:val="0"/>
          <w:numId w:val="2"/>
        </w:numPr>
        <w:adjustRightInd w:val="0"/>
        <w:snapToGrid w:val="0"/>
        <w:spacing w:line="360" w:lineRule="auto"/>
        <w:rPr>
          <w:rFonts w:hint="eastAsia"/>
          <w:b/>
          <w:color w:val="auto"/>
          <w:sz w:val="24"/>
          <w:highlight w:val="none"/>
        </w:rPr>
      </w:pPr>
      <w:r>
        <w:rPr>
          <w:rFonts w:hint="eastAsia"/>
          <w:b/>
          <w:color w:val="auto"/>
          <w:sz w:val="24"/>
          <w:highlight w:val="none"/>
        </w:rPr>
        <w:t>技术规格：</w:t>
      </w:r>
    </w:p>
    <w:p w14:paraId="2E64866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 xml:space="preserve">*3.1 </w:t>
      </w:r>
      <w:r>
        <w:rPr>
          <w:rFonts w:hint="eastAsia" w:cs="仿宋_GB2312"/>
          <w:color w:val="auto"/>
          <w:sz w:val="24"/>
          <w:szCs w:val="28"/>
          <w:highlight w:val="none"/>
        </w:rPr>
        <w:t>总体技术要求：激光干涉仪口径≥12英寸;</w:t>
      </w:r>
    </w:p>
    <w:p w14:paraId="163FAB1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 xml:space="preserve">3.2 </w:t>
      </w:r>
      <w:r>
        <w:rPr>
          <w:rFonts w:hint="eastAsia" w:cs="仿宋_GB2312"/>
          <w:color w:val="auto"/>
          <w:sz w:val="24"/>
          <w:szCs w:val="28"/>
          <w:highlight w:val="none"/>
        </w:rPr>
        <w:t>具有抗震算法，在震动环境下，和无需抗震平台的情况下可以实现高精度测量；</w:t>
      </w:r>
    </w:p>
    <w:p w14:paraId="55C46E9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 xml:space="preserve">*3.3 </w:t>
      </w:r>
      <w:r>
        <w:rPr>
          <w:rFonts w:hint="eastAsia" w:cs="仿宋_GB2312"/>
          <w:color w:val="auto"/>
          <w:sz w:val="24"/>
          <w:szCs w:val="28"/>
          <w:highlight w:val="none"/>
        </w:rPr>
        <w:t>测试口径：≥300mm;</w:t>
      </w:r>
    </w:p>
    <w:p w14:paraId="1001210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 xml:space="preserve">3.4 </w:t>
      </w:r>
      <w:r>
        <w:rPr>
          <w:rFonts w:hint="eastAsia" w:cs="仿宋_GB2312"/>
          <w:color w:val="auto"/>
          <w:sz w:val="24"/>
          <w:szCs w:val="28"/>
          <w:highlight w:val="none"/>
        </w:rPr>
        <w:t>主机性能均方根值（RMS）重复性：≤λ/10,000（2σ）；波前重复性≤&lt;λ/1800（mean+2σ）</w:t>
      </w:r>
    </w:p>
    <w:p w14:paraId="1C3E466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 xml:space="preserve">*3.5 </w:t>
      </w:r>
      <w:r>
        <w:rPr>
          <w:rFonts w:hint="eastAsia" w:cs="仿宋_GB2312"/>
          <w:color w:val="auto"/>
          <w:sz w:val="24"/>
          <w:szCs w:val="28"/>
          <w:highlight w:val="none"/>
        </w:rPr>
        <w:t>主机CCD分辨率：≥1200×1200像素；在1200*1200像素分辨率下，帧速≥160HZ;</w:t>
      </w:r>
    </w:p>
    <w:p w14:paraId="7AAC860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 xml:space="preserve">3.6 </w:t>
      </w:r>
      <w:r>
        <w:rPr>
          <w:rFonts w:hint="eastAsia" w:cs="仿宋_GB2312"/>
          <w:color w:val="auto"/>
          <w:sz w:val="24"/>
          <w:szCs w:val="28"/>
          <w:highlight w:val="none"/>
        </w:rPr>
        <w:t xml:space="preserve">具备光学连续变焦:最大放大倍数≥5倍; </w:t>
      </w:r>
    </w:p>
    <w:p w14:paraId="0689948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 xml:space="preserve">3.7 </w:t>
      </w:r>
      <w:r>
        <w:rPr>
          <w:rFonts w:hint="eastAsia" w:cs="仿宋_GB2312"/>
          <w:color w:val="auto"/>
          <w:sz w:val="24"/>
          <w:szCs w:val="28"/>
          <w:highlight w:val="none"/>
        </w:rPr>
        <w:t>主机系统相干长度≥ 100m；</w:t>
      </w:r>
    </w:p>
    <w:p w14:paraId="0D9A1D5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3.</w:t>
      </w:r>
      <w:r>
        <w:rPr>
          <w:rFonts w:hint="eastAsia" w:cs="仿宋_GB2312"/>
          <w:color w:val="auto"/>
          <w:sz w:val="24"/>
          <w:szCs w:val="28"/>
          <w:highlight w:val="none"/>
        </w:rPr>
        <w:t>8</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 xml:space="preserve">光源频率稳定度≤0.0001nm； </w:t>
      </w:r>
    </w:p>
    <w:p w14:paraId="3624A9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3.</w:t>
      </w:r>
      <w:r>
        <w:rPr>
          <w:rFonts w:hint="eastAsia" w:cs="仿宋_GB2312"/>
          <w:color w:val="auto"/>
          <w:sz w:val="24"/>
          <w:szCs w:val="28"/>
          <w:highlight w:val="none"/>
        </w:rPr>
        <w:t>9</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光瞳调焦范围：≥ ±2.5m；</w:t>
      </w:r>
    </w:p>
    <w:p w14:paraId="247BFDA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3.</w:t>
      </w:r>
      <w:r>
        <w:rPr>
          <w:rFonts w:hint="eastAsia" w:cs="仿宋_GB2312"/>
          <w:color w:val="auto"/>
          <w:sz w:val="24"/>
          <w:szCs w:val="28"/>
          <w:highlight w:val="none"/>
        </w:rPr>
        <w:t>10</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视场校准范围：≥ ±3°；</w:t>
      </w:r>
    </w:p>
    <w:p w14:paraId="57B3095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3.</w:t>
      </w:r>
      <w:r>
        <w:rPr>
          <w:rFonts w:hint="eastAsia" w:cs="仿宋_GB2312"/>
          <w:color w:val="auto"/>
          <w:sz w:val="24"/>
          <w:szCs w:val="28"/>
          <w:highlight w:val="none"/>
        </w:rPr>
        <w:t>11</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校准系统：具备快速校准系统；</w:t>
      </w:r>
    </w:p>
    <w:p w14:paraId="6017A80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3.</w:t>
      </w:r>
      <w:r>
        <w:rPr>
          <w:rFonts w:hint="eastAsia" w:cs="仿宋_GB2312"/>
          <w:color w:val="auto"/>
          <w:sz w:val="24"/>
          <w:szCs w:val="28"/>
          <w:highlight w:val="none"/>
        </w:rPr>
        <w:t>12</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具有自主研发的测试分析软件, 适用于Windows操作系统；</w:t>
      </w:r>
    </w:p>
    <w:p w14:paraId="3DD3343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3.</w:t>
      </w:r>
      <w:r>
        <w:rPr>
          <w:rFonts w:hint="eastAsia" w:cs="仿宋_GB2312"/>
          <w:color w:val="auto"/>
          <w:sz w:val="24"/>
          <w:szCs w:val="28"/>
          <w:highlight w:val="none"/>
        </w:rPr>
        <w:t>13</w:t>
      </w:r>
      <w:r>
        <w:rPr>
          <w:rFonts w:hint="eastAsia" w:ascii="宋体" w:hAnsi="宋体" w:eastAsia="宋体" w:cs="宋体"/>
          <w:color w:val="auto"/>
          <w:sz w:val="24"/>
          <w:szCs w:val="28"/>
          <w:highlight w:val="none"/>
          <w:lang w:val="en-US" w:eastAsia="zh-CN"/>
        </w:rPr>
        <w:t xml:space="preserve"> </w:t>
      </w:r>
      <w:r>
        <w:rPr>
          <w:rFonts w:hint="eastAsia" w:cs="仿宋_GB2312"/>
          <w:color w:val="auto"/>
          <w:sz w:val="24"/>
          <w:szCs w:val="28"/>
          <w:highlight w:val="none"/>
        </w:rPr>
        <w:t>300mm口径RMS重复性：≤ 0.63 nm，1/1000波长（+ 2σ）；</w:t>
      </w:r>
    </w:p>
    <w:p w14:paraId="160690F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*3.</w:t>
      </w:r>
      <w:r>
        <w:rPr>
          <w:rFonts w:hint="eastAsia" w:cs="仿宋_GB2312"/>
          <w:color w:val="auto"/>
          <w:sz w:val="24"/>
          <w:szCs w:val="28"/>
          <w:highlight w:val="none"/>
        </w:rPr>
        <w:t>14</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平面透射镜头TF口径≥12英寸；反射率测试范围5%-95% ，有效口径≥300mm口径，面型精度≤ 1/15 PVr波长精度；</w:t>
      </w:r>
    </w:p>
    <w:p w14:paraId="1698E45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3.</w:t>
      </w:r>
      <w:r>
        <w:rPr>
          <w:rFonts w:hint="eastAsia" w:cs="仿宋_GB2312"/>
          <w:color w:val="auto"/>
          <w:sz w:val="24"/>
          <w:szCs w:val="28"/>
          <w:highlight w:val="none"/>
        </w:rPr>
        <w:t>15</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平面参考镜头RF口径≥12英寸；4% 反射率，有效口径≥300mm口径，≤1/15PVr波长精度；</w:t>
      </w:r>
    </w:p>
    <w:p w14:paraId="248BF43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3.</w:t>
      </w:r>
      <w:r>
        <w:rPr>
          <w:rFonts w:hint="eastAsia" w:cs="仿宋_GB2312"/>
          <w:color w:val="auto"/>
          <w:sz w:val="24"/>
          <w:szCs w:val="28"/>
          <w:highlight w:val="none"/>
        </w:rPr>
        <w:t>16</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配置参考镜二维调整架；二维调整架中心高≥228.6mm；调整角度≥±1.5°，重量≤85KG；</w:t>
      </w:r>
    </w:p>
    <w:p w14:paraId="36653A3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3.</w:t>
      </w:r>
      <w:r>
        <w:rPr>
          <w:rFonts w:hint="eastAsia" w:cs="仿宋_GB2312"/>
          <w:color w:val="auto"/>
          <w:sz w:val="24"/>
          <w:szCs w:val="28"/>
          <w:highlight w:val="none"/>
        </w:rPr>
        <w:t>17</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配置扩束系统配置中心高度≥228.6mm，倾斜俯仰角度≤±1.5°；</w:t>
      </w:r>
    </w:p>
    <w:p w14:paraId="78FAA09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3.</w:t>
      </w:r>
      <w:r>
        <w:rPr>
          <w:rFonts w:hint="eastAsia" w:cs="仿宋_GB2312"/>
          <w:color w:val="auto"/>
          <w:sz w:val="24"/>
          <w:szCs w:val="28"/>
          <w:highlight w:val="none"/>
        </w:rPr>
        <w:t>18</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配置压电陶瓷尺寸≥305mm，装载能力≥30KG，自身重量≤90KG；</w:t>
      </w:r>
    </w:p>
    <w:p w14:paraId="4883FE1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w:t>
      </w:r>
      <w:r>
        <w:rPr>
          <w:rFonts w:hint="eastAsia" w:cs="仿宋_GB2312"/>
          <w:color w:val="auto"/>
          <w:sz w:val="24"/>
          <w:szCs w:val="28"/>
          <w:highlight w:val="none"/>
          <w:lang w:val="en-US" w:eastAsia="zh-CN"/>
        </w:rPr>
        <w:t>3.</w:t>
      </w:r>
      <w:r>
        <w:rPr>
          <w:rFonts w:hint="eastAsia" w:cs="仿宋_GB2312"/>
          <w:color w:val="auto"/>
          <w:sz w:val="24"/>
          <w:szCs w:val="28"/>
          <w:highlight w:val="none"/>
        </w:rPr>
        <w:t>19</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软件测量功能：提供可旋转的3维图像，等轴图，等高线图，斜率图，线状曲线图。可提供数据输出、自动调整光强，数据剪辑等功能；</w:t>
      </w:r>
    </w:p>
    <w:p w14:paraId="75EB895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lang w:val="en-US" w:eastAsia="zh-CN"/>
        </w:rPr>
        <w:t>3.</w:t>
      </w:r>
      <w:r>
        <w:rPr>
          <w:rFonts w:hint="eastAsia" w:cs="仿宋_GB2312"/>
          <w:color w:val="auto"/>
          <w:sz w:val="24"/>
          <w:szCs w:val="28"/>
          <w:highlight w:val="none"/>
        </w:rPr>
        <w:t>20</w:t>
      </w:r>
      <w:r>
        <w:rPr>
          <w:rFonts w:hint="eastAsia" w:cs="仿宋_GB2312"/>
          <w:color w:val="auto"/>
          <w:sz w:val="24"/>
          <w:szCs w:val="28"/>
          <w:highlight w:val="none"/>
          <w:lang w:val="en-US" w:eastAsia="zh-CN"/>
        </w:rPr>
        <w:t xml:space="preserve"> </w:t>
      </w:r>
      <w:r>
        <w:rPr>
          <w:rFonts w:hint="eastAsia" w:cs="仿宋_GB2312"/>
          <w:color w:val="auto"/>
          <w:sz w:val="24"/>
          <w:szCs w:val="28"/>
          <w:highlight w:val="none"/>
        </w:rPr>
        <w:t>软件有计算以下参数的分析功能：</w:t>
      </w:r>
    </w:p>
    <w:p w14:paraId="7B64ACE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eastAsia" w:cs="仿宋_GB2312"/>
          <w:color w:val="auto"/>
          <w:sz w:val="24"/>
          <w:szCs w:val="28"/>
          <w:highlight w:val="none"/>
        </w:rPr>
      </w:pPr>
      <w:r>
        <w:rPr>
          <w:rFonts w:hint="eastAsia" w:cs="仿宋_GB2312"/>
          <w:color w:val="auto"/>
          <w:sz w:val="24"/>
          <w:szCs w:val="28"/>
          <w:highlight w:val="none"/>
        </w:rPr>
        <w:t>可分析≥36个Zernike系数、峰—谷值、标准偏差、Strehl系数（比率）、方差、rms误差和rms剩余误差（残差）；可计算PSF，MTF，环绕能。</w:t>
      </w:r>
    </w:p>
    <w:p w14:paraId="1C0913F9">
      <w:pPr>
        <w:adjustRightInd w:val="0"/>
        <w:snapToGrid w:val="0"/>
        <w:spacing w:line="360" w:lineRule="auto"/>
        <w:rPr>
          <w:rFonts w:hint="eastAsia" w:cs="仿宋_GB2312"/>
          <w:color w:val="auto"/>
          <w:sz w:val="24"/>
          <w:szCs w:val="28"/>
          <w:highlight w:val="none"/>
        </w:rPr>
      </w:pPr>
    </w:p>
    <w:p w14:paraId="14ACDF20">
      <w:pPr>
        <w:numPr>
          <w:ilvl w:val="0"/>
          <w:numId w:val="2"/>
        </w:numPr>
        <w:adjustRightInd w:val="0"/>
        <w:snapToGrid w:val="0"/>
        <w:spacing w:line="360" w:lineRule="auto"/>
        <w:rPr>
          <w:rFonts w:hint="eastAsia"/>
          <w:b/>
          <w:color w:val="auto"/>
          <w:sz w:val="24"/>
          <w:highlight w:val="none"/>
        </w:rPr>
      </w:pPr>
      <w:r>
        <w:rPr>
          <w:rFonts w:hint="eastAsia"/>
          <w:b/>
          <w:color w:val="auto"/>
          <w:sz w:val="24"/>
          <w:highlight w:val="none"/>
        </w:rPr>
        <w:t>产品配置要求</w:t>
      </w:r>
    </w:p>
    <w:p w14:paraId="417141BA">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lang w:val="en-US" w:eastAsia="zh-CN"/>
        </w:rPr>
        <w:t xml:space="preserve">4.1 </w:t>
      </w:r>
      <w:r>
        <w:rPr>
          <w:rFonts w:hint="eastAsia" w:cs="仿宋_GB2312"/>
          <w:color w:val="auto"/>
          <w:sz w:val="24"/>
          <w:szCs w:val="28"/>
          <w:highlight w:val="none"/>
        </w:rPr>
        <w:t>激光干涉仪测试系统主机：</w:t>
      </w:r>
      <w:r>
        <w:rPr>
          <w:rFonts w:hint="eastAsia" w:cs="仿宋_GB2312"/>
          <w:color w:val="auto"/>
          <w:sz w:val="24"/>
          <w:szCs w:val="28"/>
          <w:highlight w:val="none"/>
        </w:rPr>
        <w:tab/>
      </w:r>
      <w:r>
        <w:rPr>
          <w:rFonts w:hint="eastAsia" w:cs="仿宋_GB2312"/>
          <w:color w:val="auto"/>
          <w:sz w:val="24"/>
          <w:szCs w:val="28"/>
          <w:highlight w:val="none"/>
        </w:rPr>
        <w:tab/>
      </w:r>
      <w:r>
        <w:rPr>
          <w:rFonts w:hint="eastAsia" w:cs="仿宋_GB2312"/>
          <w:color w:val="auto"/>
          <w:sz w:val="24"/>
          <w:szCs w:val="28"/>
          <w:highlight w:val="none"/>
          <w:lang w:val="en-US" w:eastAsia="zh-CN"/>
        </w:rPr>
        <w:tab/>
      </w:r>
      <w:r>
        <w:rPr>
          <w:rFonts w:hint="eastAsia" w:cs="仿宋_GB2312"/>
          <w:color w:val="auto"/>
          <w:sz w:val="24"/>
          <w:szCs w:val="28"/>
          <w:highlight w:val="none"/>
        </w:rPr>
        <w:t>4寸干涉仪主机，</w:t>
      </w:r>
    </w:p>
    <w:p w14:paraId="7FE541C1">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lang w:val="en-US" w:eastAsia="zh-CN"/>
        </w:rPr>
        <w:t xml:space="preserve">4.2 </w:t>
      </w:r>
      <w:r>
        <w:rPr>
          <w:rFonts w:hint="eastAsia" w:cs="仿宋_GB2312"/>
          <w:color w:val="auto"/>
          <w:sz w:val="24"/>
          <w:szCs w:val="28"/>
          <w:highlight w:val="none"/>
        </w:rPr>
        <w:t>激光干涉仪测试系统扩束器：</w:t>
      </w:r>
      <w:r>
        <w:rPr>
          <w:rFonts w:hint="eastAsia" w:cs="仿宋_GB2312"/>
          <w:color w:val="auto"/>
          <w:sz w:val="24"/>
          <w:szCs w:val="28"/>
          <w:highlight w:val="none"/>
        </w:rPr>
        <w:tab/>
      </w:r>
      <w:r>
        <w:rPr>
          <w:rFonts w:hint="eastAsia" w:cs="仿宋_GB2312"/>
          <w:color w:val="auto"/>
          <w:sz w:val="24"/>
          <w:szCs w:val="28"/>
          <w:highlight w:val="none"/>
        </w:rPr>
        <w:tab/>
      </w:r>
      <w:r>
        <w:rPr>
          <w:rFonts w:hint="eastAsia" w:cs="仿宋_GB2312"/>
          <w:color w:val="auto"/>
          <w:sz w:val="24"/>
          <w:szCs w:val="28"/>
          <w:highlight w:val="none"/>
        </w:rPr>
        <w:t>12寸扩束器，</w:t>
      </w:r>
    </w:p>
    <w:p w14:paraId="23862F10">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lang w:val="en-US" w:eastAsia="zh-CN"/>
        </w:rPr>
        <w:t xml:space="preserve">4.3 </w:t>
      </w:r>
      <w:r>
        <w:rPr>
          <w:rFonts w:hint="eastAsia" w:cs="仿宋_GB2312"/>
          <w:color w:val="auto"/>
          <w:sz w:val="24"/>
          <w:szCs w:val="28"/>
          <w:highlight w:val="none"/>
        </w:rPr>
        <w:t>激光干涉仪测试系统机械移相器：</w:t>
      </w:r>
      <w:r>
        <w:rPr>
          <w:rFonts w:hint="eastAsia" w:cs="仿宋_GB2312"/>
          <w:color w:val="auto"/>
          <w:sz w:val="24"/>
          <w:szCs w:val="28"/>
          <w:highlight w:val="none"/>
        </w:rPr>
        <w:tab/>
      </w:r>
      <w:r>
        <w:rPr>
          <w:rFonts w:hint="eastAsia" w:cs="仿宋_GB2312"/>
          <w:color w:val="auto"/>
          <w:sz w:val="24"/>
          <w:szCs w:val="28"/>
          <w:highlight w:val="none"/>
        </w:rPr>
        <w:t>12寸机械移相器，</w:t>
      </w:r>
    </w:p>
    <w:p w14:paraId="65EC5B2E">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lang w:val="en-US" w:eastAsia="zh-CN"/>
        </w:rPr>
        <w:t xml:space="preserve">4.4 </w:t>
      </w:r>
      <w:r>
        <w:rPr>
          <w:rFonts w:hint="eastAsia" w:cs="仿宋_GB2312"/>
          <w:color w:val="auto"/>
          <w:sz w:val="24"/>
          <w:szCs w:val="28"/>
          <w:highlight w:val="none"/>
        </w:rPr>
        <w:t>激光干涉仪测试系统二维调整架：</w:t>
      </w:r>
      <w:r>
        <w:rPr>
          <w:rFonts w:hint="eastAsia" w:cs="仿宋_GB2312"/>
          <w:color w:val="auto"/>
          <w:sz w:val="24"/>
          <w:szCs w:val="28"/>
          <w:highlight w:val="none"/>
        </w:rPr>
        <w:tab/>
      </w:r>
      <w:r>
        <w:rPr>
          <w:rFonts w:hint="eastAsia" w:cs="仿宋_GB2312"/>
          <w:color w:val="auto"/>
          <w:sz w:val="24"/>
          <w:szCs w:val="28"/>
          <w:highlight w:val="none"/>
        </w:rPr>
        <w:t>12寸二维调整架，</w:t>
      </w:r>
    </w:p>
    <w:p w14:paraId="4BD09E46">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lang w:val="en-US" w:eastAsia="zh-CN"/>
        </w:rPr>
        <w:t xml:space="preserve">4.5 </w:t>
      </w:r>
      <w:r>
        <w:rPr>
          <w:rFonts w:hint="eastAsia" w:cs="仿宋_GB2312"/>
          <w:color w:val="auto"/>
          <w:sz w:val="24"/>
          <w:szCs w:val="28"/>
          <w:highlight w:val="none"/>
        </w:rPr>
        <w:t>激光干涉仪测试系统透射标准镜：</w:t>
      </w:r>
      <w:r>
        <w:rPr>
          <w:rFonts w:hint="eastAsia" w:cs="仿宋_GB2312"/>
          <w:color w:val="auto"/>
          <w:sz w:val="24"/>
          <w:szCs w:val="28"/>
          <w:highlight w:val="none"/>
        </w:rPr>
        <w:tab/>
      </w:r>
      <w:r>
        <w:rPr>
          <w:rFonts w:cs="仿宋_GB2312"/>
          <w:color w:val="auto"/>
          <w:sz w:val="24"/>
          <w:szCs w:val="28"/>
          <w:highlight w:val="none"/>
        </w:rPr>
        <w:t>12</w:t>
      </w:r>
      <w:r>
        <w:rPr>
          <w:rFonts w:hint="eastAsia" w:cs="仿宋_GB2312"/>
          <w:color w:val="auto"/>
          <w:sz w:val="24"/>
          <w:szCs w:val="28"/>
          <w:highlight w:val="none"/>
        </w:rPr>
        <w:t>寸透射标准镜，</w:t>
      </w:r>
    </w:p>
    <w:p w14:paraId="18304766">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lang w:val="en-US" w:eastAsia="zh-CN"/>
        </w:rPr>
        <w:t xml:space="preserve">4.6 </w:t>
      </w:r>
      <w:r>
        <w:rPr>
          <w:rFonts w:hint="eastAsia" w:cs="仿宋_GB2312"/>
          <w:color w:val="auto"/>
          <w:sz w:val="24"/>
          <w:szCs w:val="28"/>
          <w:highlight w:val="none"/>
        </w:rPr>
        <w:t>激光干涉仪测试系统参考镜：</w:t>
      </w:r>
      <w:r>
        <w:rPr>
          <w:rFonts w:hint="eastAsia" w:cs="仿宋_GB2312"/>
          <w:color w:val="auto"/>
          <w:sz w:val="24"/>
          <w:szCs w:val="28"/>
          <w:highlight w:val="none"/>
        </w:rPr>
        <w:tab/>
      </w:r>
      <w:r>
        <w:rPr>
          <w:rFonts w:hint="eastAsia" w:cs="仿宋_GB2312"/>
          <w:color w:val="auto"/>
          <w:sz w:val="24"/>
          <w:szCs w:val="28"/>
          <w:highlight w:val="none"/>
        </w:rPr>
        <w:tab/>
      </w:r>
      <w:r>
        <w:rPr>
          <w:rFonts w:cs="仿宋_GB2312"/>
          <w:color w:val="auto"/>
          <w:sz w:val="24"/>
          <w:szCs w:val="28"/>
          <w:highlight w:val="none"/>
        </w:rPr>
        <w:t>12</w:t>
      </w:r>
      <w:r>
        <w:rPr>
          <w:rFonts w:hint="eastAsia" w:cs="仿宋_GB2312"/>
          <w:color w:val="auto"/>
          <w:sz w:val="24"/>
          <w:szCs w:val="28"/>
          <w:highlight w:val="none"/>
        </w:rPr>
        <w:t>寸参考镜</w:t>
      </w:r>
    </w:p>
    <w:p w14:paraId="164E459C">
      <w:pPr>
        <w:adjustRightInd w:val="0"/>
        <w:snapToGrid w:val="0"/>
        <w:spacing w:line="360" w:lineRule="auto"/>
        <w:rPr>
          <w:rFonts w:hint="eastAsia" w:cs="仿宋_GB2312"/>
          <w:color w:val="auto"/>
          <w:sz w:val="24"/>
          <w:szCs w:val="28"/>
          <w:highlight w:val="none"/>
        </w:rPr>
      </w:pPr>
      <w:r>
        <w:rPr>
          <w:rFonts w:hint="eastAsia" w:cs="仿宋_GB2312"/>
          <w:color w:val="auto"/>
          <w:sz w:val="24"/>
          <w:szCs w:val="28"/>
          <w:highlight w:val="none"/>
          <w:lang w:val="en-US" w:eastAsia="zh-CN"/>
        </w:rPr>
        <w:t xml:space="preserve">4.7 </w:t>
      </w:r>
      <w:r>
        <w:rPr>
          <w:rFonts w:hint="eastAsia" w:cs="仿宋_GB2312"/>
          <w:color w:val="auto"/>
          <w:sz w:val="24"/>
          <w:szCs w:val="28"/>
          <w:highlight w:val="none"/>
        </w:rPr>
        <w:t>激光干涉仪测试系统气浮平台：</w:t>
      </w:r>
      <w:r>
        <w:rPr>
          <w:rFonts w:hint="eastAsia" w:cs="仿宋_GB2312"/>
          <w:color w:val="auto"/>
          <w:sz w:val="24"/>
          <w:szCs w:val="28"/>
          <w:highlight w:val="none"/>
        </w:rPr>
        <w:tab/>
      </w:r>
      <w:r>
        <w:rPr>
          <w:rFonts w:hint="eastAsia" w:cs="仿宋_GB2312"/>
          <w:color w:val="auto"/>
          <w:sz w:val="24"/>
          <w:szCs w:val="28"/>
          <w:highlight w:val="none"/>
        </w:rPr>
        <w:t>4m*1.5m定制专用气浮平台</w:t>
      </w:r>
    </w:p>
    <w:p w14:paraId="756C0545">
      <w:pPr>
        <w:tabs>
          <w:tab w:val="left" w:pos="540"/>
        </w:tabs>
        <w:adjustRightInd w:val="0"/>
        <w:snapToGrid w:val="0"/>
        <w:spacing w:line="360" w:lineRule="auto"/>
        <w:rPr>
          <w:rFonts w:hint="eastAsia"/>
          <w:color w:val="auto"/>
          <w:sz w:val="24"/>
          <w:highlight w:val="none"/>
        </w:rPr>
      </w:pPr>
    </w:p>
    <w:p w14:paraId="45549D3C">
      <w:pPr>
        <w:tabs>
          <w:tab w:val="left" w:pos="540"/>
        </w:tabs>
        <w:adjustRightInd w:val="0"/>
        <w:snapToGrid w:val="0"/>
        <w:spacing w:line="360" w:lineRule="auto"/>
        <w:rPr>
          <w:rFonts w:hint="eastAsia"/>
          <w:b/>
          <w:color w:val="auto"/>
          <w:sz w:val="24"/>
          <w:highlight w:val="none"/>
        </w:rPr>
      </w:pPr>
      <w:r>
        <w:rPr>
          <w:b/>
          <w:color w:val="auto"/>
          <w:sz w:val="24"/>
          <w:highlight w:val="none"/>
        </w:rPr>
        <w:t>5</w:t>
      </w:r>
      <w:r>
        <w:rPr>
          <w:rFonts w:hint="eastAsia"/>
          <w:b/>
          <w:color w:val="auto"/>
          <w:sz w:val="24"/>
          <w:highlight w:val="none"/>
        </w:rPr>
        <w:t>.  技术文件：</w:t>
      </w:r>
    </w:p>
    <w:p w14:paraId="40E90F62">
      <w:pPr>
        <w:adjustRightInd w:val="0"/>
        <w:snapToGrid w:val="0"/>
        <w:spacing w:line="360" w:lineRule="auto"/>
        <w:rPr>
          <w:rFonts w:hint="eastAsia"/>
          <w:color w:val="auto"/>
          <w:sz w:val="24"/>
          <w:highlight w:val="none"/>
        </w:rPr>
      </w:pPr>
      <w:r>
        <w:rPr>
          <w:color w:val="auto"/>
          <w:sz w:val="24"/>
          <w:highlight w:val="none"/>
        </w:rPr>
        <w:t>5</w:t>
      </w:r>
      <w:r>
        <w:rPr>
          <w:rFonts w:hint="eastAsia"/>
          <w:color w:val="auto"/>
          <w:sz w:val="24"/>
          <w:highlight w:val="none"/>
        </w:rPr>
        <w:t>.1 请参考总则第1.2条。</w:t>
      </w:r>
    </w:p>
    <w:p w14:paraId="3C1F0B40">
      <w:pPr>
        <w:adjustRightInd w:val="0"/>
        <w:snapToGrid w:val="0"/>
        <w:spacing w:line="360" w:lineRule="auto"/>
        <w:rPr>
          <w:color w:val="auto"/>
          <w:sz w:val="24"/>
          <w:highlight w:val="none"/>
        </w:rPr>
      </w:pPr>
      <w:r>
        <w:rPr>
          <w:color w:val="auto"/>
          <w:sz w:val="24"/>
          <w:highlight w:val="none"/>
        </w:rPr>
        <w:t>5</w:t>
      </w:r>
      <w:r>
        <w:rPr>
          <w:rFonts w:hint="eastAsia"/>
          <w:color w:val="auto"/>
          <w:sz w:val="24"/>
          <w:highlight w:val="none"/>
        </w:rPr>
        <w:t>.2 请参考总则第2.3条。</w:t>
      </w:r>
    </w:p>
    <w:p w14:paraId="5F57190E">
      <w:pPr>
        <w:adjustRightInd w:val="0"/>
        <w:snapToGrid w:val="0"/>
        <w:spacing w:line="360" w:lineRule="auto"/>
        <w:rPr>
          <w:rFonts w:hint="eastAsia"/>
          <w:color w:val="auto"/>
          <w:sz w:val="24"/>
          <w:highlight w:val="none"/>
        </w:rPr>
      </w:pPr>
    </w:p>
    <w:p w14:paraId="7C111561">
      <w:pPr>
        <w:adjustRightInd w:val="0"/>
        <w:snapToGrid w:val="0"/>
        <w:spacing w:line="360" w:lineRule="auto"/>
        <w:rPr>
          <w:rFonts w:hint="eastAsia"/>
          <w:b/>
          <w:color w:val="auto"/>
          <w:sz w:val="24"/>
          <w:highlight w:val="none"/>
        </w:rPr>
      </w:pPr>
      <w:r>
        <w:rPr>
          <w:rFonts w:hint="eastAsia"/>
          <w:b/>
          <w:color w:val="auto"/>
          <w:sz w:val="24"/>
          <w:highlight w:val="none"/>
        </w:rPr>
        <w:t>（二）质保及售后服务：</w:t>
      </w:r>
    </w:p>
    <w:p w14:paraId="486D0305">
      <w:pPr>
        <w:adjustRightInd w:val="0"/>
        <w:snapToGrid w:val="0"/>
        <w:spacing w:line="360" w:lineRule="auto"/>
        <w:rPr>
          <w:rFonts w:hint="eastAsia"/>
          <w:color w:val="auto"/>
          <w:sz w:val="24"/>
          <w:highlight w:val="none"/>
        </w:rPr>
      </w:pPr>
      <w:r>
        <w:rPr>
          <w:rFonts w:hint="eastAsia"/>
          <w:color w:val="auto"/>
          <w:sz w:val="24"/>
          <w:highlight w:val="none"/>
        </w:rPr>
        <w:t>1.1 设备安装调试</w:t>
      </w:r>
    </w:p>
    <w:p w14:paraId="746F555A">
      <w:pPr>
        <w:adjustRightInd w:val="0"/>
        <w:snapToGrid w:val="0"/>
        <w:spacing w:line="360" w:lineRule="auto"/>
        <w:ind w:firstLine="420"/>
        <w:rPr>
          <w:color w:val="auto"/>
          <w:sz w:val="24"/>
          <w:highlight w:val="none"/>
        </w:rPr>
      </w:pPr>
      <w:r>
        <w:rPr>
          <w:rFonts w:hint="eastAsia"/>
          <w:color w:val="auto"/>
          <w:sz w:val="24"/>
          <w:highlight w:val="none"/>
        </w:rPr>
        <w:t>乙方安排技术人员在甲方指定的收货地点进行设备的安装、调试，并按标书中的技术要求进行验收。</w:t>
      </w:r>
    </w:p>
    <w:p w14:paraId="01C1BAE8">
      <w:pPr>
        <w:adjustRightInd w:val="0"/>
        <w:snapToGrid w:val="0"/>
        <w:spacing w:line="360" w:lineRule="auto"/>
        <w:ind w:firstLine="420"/>
        <w:rPr>
          <w:rFonts w:hint="eastAsia"/>
          <w:color w:val="auto"/>
          <w:sz w:val="24"/>
          <w:highlight w:val="none"/>
        </w:rPr>
      </w:pPr>
      <w:r>
        <w:rPr>
          <w:color w:val="auto"/>
          <w:sz w:val="24"/>
          <w:highlight w:val="none"/>
        </w:rPr>
        <w:t>1.1.1</w:t>
      </w:r>
      <w:r>
        <w:rPr>
          <w:rFonts w:hint="eastAsia"/>
          <w:color w:val="auto"/>
          <w:sz w:val="24"/>
          <w:highlight w:val="none"/>
        </w:rPr>
        <w:t xml:space="preserve"> 设备到货前和到货后，中标厂商应对安装场地进行检查，确保设备就位地点和公用工程的安装条件符合实际使用条件。</w:t>
      </w:r>
    </w:p>
    <w:p w14:paraId="02D9DB58">
      <w:pPr>
        <w:adjustRightInd w:val="0"/>
        <w:snapToGrid w:val="0"/>
        <w:spacing w:line="360" w:lineRule="auto"/>
        <w:ind w:firstLine="420"/>
        <w:rPr>
          <w:color w:val="auto"/>
          <w:sz w:val="24"/>
          <w:highlight w:val="none"/>
        </w:rPr>
      </w:pPr>
      <w:r>
        <w:rPr>
          <w:color w:val="auto"/>
          <w:sz w:val="24"/>
          <w:highlight w:val="none"/>
        </w:rPr>
        <w:t>1.1.2</w:t>
      </w:r>
      <w:r>
        <w:rPr>
          <w:rFonts w:hint="eastAsia"/>
          <w:color w:val="auto"/>
          <w:sz w:val="24"/>
          <w:highlight w:val="none"/>
        </w:rPr>
        <w:t xml:space="preserve"> 仪器设备完全符合标书中的技术要求所规定的性能和技术指标，否则应保证更换或退货、并向甲方支付相关损失如发现短缺件，双方签订备忘录并在要求的期限内由乙方补齐。</w:t>
      </w:r>
    </w:p>
    <w:p w14:paraId="3C0F35ED">
      <w:pPr>
        <w:adjustRightInd w:val="0"/>
        <w:snapToGrid w:val="0"/>
        <w:spacing w:line="360" w:lineRule="auto"/>
        <w:ind w:firstLine="420"/>
        <w:rPr>
          <w:rFonts w:hint="eastAsia"/>
          <w:color w:val="auto"/>
          <w:sz w:val="24"/>
          <w:highlight w:val="none"/>
        </w:rPr>
      </w:pPr>
      <w:r>
        <w:rPr>
          <w:color w:val="auto"/>
          <w:sz w:val="24"/>
          <w:highlight w:val="none"/>
        </w:rPr>
        <w:t>1.1.3</w:t>
      </w:r>
      <w:r>
        <w:rPr>
          <w:rFonts w:hint="eastAsia"/>
          <w:color w:val="auto"/>
          <w:sz w:val="24"/>
          <w:highlight w:val="none"/>
        </w:rPr>
        <w:t xml:space="preserve"> 按照所需要的安装、调试及验收的内容及技术要求由中标厂家在甲方指定场地进行免费安装、调试、操作试验，并保证所有指标满足标书要求；验收的标准应该与标书中的技术指标一致。</w:t>
      </w:r>
    </w:p>
    <w:p w14:paraId="60CCE903">
      <w:pPr>
        <w:adjustRightInd w:val="0"/>
        <w:snapToGrid w:val="0"/>
        <w:spacing w:line="360" w:lineRule="auto"/>
        <w:ind w:firstLine="420"/>
        <w:rPr>
          <w:color w:val="auto"/>
          <w:sz w:val="24"/>
          <w:highlight w:val="none"/>
        </w:rPr>
      </w:pPr>
      <w:r>
        <w:rPr>
          <w:color w:val="auto"/>
          <w:sz w:val="24"/>
          <w:highlight w:val="none"/>
        </w:rPr>
        <w:t>1.1.4</w:t>
      </w:r>
      <w:r>
        <w:rPr>
          <w:rFonts w:hint="eastAsia"/>
          <w:color w:val="auto"/>
          <w:sz w:val="24"/>
          <w:highlight w:val="none"/>
        </w:rPr>
        <w:t xml:space="preserve"> 免费提供安装、调试及所需材料、工具。</w:t>
      </w:r>
    </w:p>
    <w:p w14:paraId="5DF561F7">
      <w:pPr>
        <w:adjustRightInd w:val="0"/>
        <w:snapToGrid w:val="0"/>
        <w:spacing w:line="360" w:lineRule="auto"/>
        <w:ind w:firstLine="420"/>
        <w:rPr>
          <w:color w:val="auto"/>
          <w:sz w:val="24"/>
          <w:highlight w:val="none"/>
        </w:rPr>
      </w:pPr>
      <w:r>
        <w:rPr>
          <w:rFonts w:hint="eastAsia"/>
          <w:color w:val="auto"/>
          <w:sz w:val="24"/>
          <w:highlight w:val="none"/>
        </w:rPr>
        <w:t>1</w:t>
      </w:r>
      <w:r>
        <w:rPr>
          <w:color w:val="auto"/>
          <w:sz w:val="24"/>
          <w:highlight w:val="none"/>
        </w:rPr>
        <w:t xml:space="preserve">.1.5 </w:t>
      </w:r>
      <w:r>
        <w:rPr>
          <w:rFonts w:hint="eastAsia"/>
          <w:color w:val="auto"/>
          <w:sz w:val="24"/>
          <w:highlight w:val="none"/>
        </w:rPr>
        <w:t>设备到达安装地后，仪器厂商应在接到用户通知后一周内完成安装调试。</w:t>
      </w:r>
    </w:p>
    <w:p w14:paraId="17BBCB1C">
      <w:pPr>
        <w:adjustRightInd w:val="0"/>
        <w:snapToGrid w:val="0"/>
        <w:spacing w:line="360" w:lineRule="auto"/>
        <w:ind w:firstLine="420"/>
        <w:rPr>
          <w:rFonts w:hint="eastAsia"/>
          <w:color w:val="auto"/>
          <w:sz w:val="24"/>
          <w:highlight w:val="none"/>
        </w:rPr>
      </w:pPr>
      <w:r>
        <w:rPr>
          <w:rFonts w:hint="eastAsia"/>
          <w:color w:val="auto"/>
          <w:sz w:val="24"/>
          <w:highlight w:val="none"/>
        </w:rPr>
        <w:t>1.1.6 所有备品备件在现场测试确定完好后，交给用户保存。</w:t>
      </w:r>
    </w:p>
    <w:p w14:paraId="45821438">
      <w:pPr>
        <w:adjustRightInd w:val="0"/>
        <w:snapToGrid w:val="0"/>
        <w:spacing w:line="360" w:lineRule="auto"/>
        <w:rPr>
          <w:rFonts w:hint="eastAsia"/>
          <w:color w:val="auto"/>
          <w:sz w:val="24"/>
          <w:highlight w:val="none"/>
        </w:rPr>
      </w:pPr>
      <w:r>
        <w:rPr>
          <w:rFonts w:hint="eastAsia"/>
          <w:color w:val="auto"/>
          <w:sz w:val="24"/>
          <w:highlight w:val="none"/>
        </w:rPr>
        <w:t>1.2 技术培训</w:t>
      </w:r>
    </w:p>
    <w:p w14:paraId="36782D94">
      <w:pPr>
        <w:adjustRightInd w:val="0"/>
        <w:snapToGrid w:val="0"/>
        <w:spacing w:line="360" w:lineRule="auto"/>
        <w:ind w:firstLine="480" w:firstLineChars="200"/>
        <w:rPr>
          <w:rFonts w:hint="eastAsia"/>
          <w:color w:val="auto"/>
          <w:sz w:val="24"/>
          <w:highlight w:val="none"/>
        </w:rPr>
      </w:pPr>
      <w:r>
        <w:rPr>
          <w:rFonts w:hint="eastAsia"/>
          <w:color w:val="auto"/>
          <w:sz w:val="24"/>
          <w:highlight w:val="none"/>
        </w:rPr>
        <w:t>卖方免费安排到买方现场的上门技术培训，不限制买方参与培训人数，培训时间至少3天。</w:t>
      </w:r>
    </w:p>
    <w:p w14:paraId="1722DA65">
      <w:pPr>
        <w:adjustRightInd w:val="0"/>
        <w:snapToGrid w:val="0"/>
        <w:spacing w:line="360" w:lineRule="auto"/>
        <w:ind w:firstLine="480" w:firstLineChars="200"/>
        <w:rPr>
          <w:rFonts w:hint="eastAsia"/>
          <w:color w:val="auto"/>
          <w:sz w:val="24"/>
          <w:highlight w:val="none"/>
        </w:rPr>
      </w:pPr>
      <w:r>
        <w:rPr>
          <w:rFonts w:hint="eastAsia"/>
          <w:color w:val="auto"/>
          <w:sz w:val="24"/>
          <w:highlight w:val="none"/>
        </w:rPr>
        <w:t>培训内容包括设备的操作，维护和校准，保证被培训人员可以独立的操作和处理一般的故障。</w:t>
      </w:r>
    </w:p>
    <w:p w14:paraId="4939875A">
      <w:pPr>
        <w:adjustRightInd w:val="0"/>
        <w:snapToGrid w:val="0"/>
        <w:spacing w:line="360" w:lineRule="auto"/>
        <w:rPr>
          <w:rFonts w:hint="eastAsia"/>
          <w:color w:val="auto"/>
          <w:sz w:val="24"/>
          <w:highlight w:val="none"/>
        </w:rPr>
      </w:pPr>
      <w:r>
        <w:rPr>
          <w:rFonts w:hint="eastAsia"/>
          <w:color w:val="auto"/>
          <w:sz w:val="24"/>
          <w:highlight w:val="none"/>
        </w:rPr>
        <w:t>1.3 质保期：验收后</w:t>
      </w:r>
      <w:r>
        <w:rPr>
          <w:rFonts w:hint="eastAsia" w:cs="仿宋_GB2312"/>
          <w:color w:val="auto"/>
          <w:sz w:val="24"/>
          <w:szCs w:val="28"/>
          <w:highlight w:val="none"/>
        </w:rPr>
        <w:t>激光器质保三年；</w:t>
      </w:r>
      <w:r>
        <w:rPr>
          <w:rFonts w:hint="eastAsia"/>
          <w:color w:val="auto"/>
          <w:sz w:val="24"/>
          <w:highlight w:val="none"/>
        </w:rPr>
        <w:t>验收后</w:t>
      </w:r>
      <w:r>
        <w:rPr>
          <w:rFonts w:hint="eastAsia" w:cs="仿宋_GB2312"/>
          <w:color w:val="auto"/>
          <w:sz w:val="24"/>
          <w:szCs w:val="28"/>
          <w:highlight w:val="none"/>
        </w:rPr>
        <w:t>整机</w:t>
      </w:r>
      <w:r>
        <w:rPr>
          <w:rFonts w:hint="eastAsia"/>
          <w:color w:val="auto"/>
          <w:sz w:val="24"/>
          <w:highlight w:val="none"/>
        </w:rPr>
        <w:t>质保一年。</w:t>
      </w:r>
    </w:p>
    <w:p w14:paraId="274A56CD">
      <w:pPr>
        <w:adjustRightInd w:val="0"/>
        <w:snapToGrid w:val="0"/>
        <w:spacing w:line="360" w:lineRule="auto"/>
        <w:rPr>
          <w:rFonts w:hint="eastAsia"/>
          <w:color w:val="auto"/>
          <w:sz w:val="24"/>
          <w:highlight w:val="none"/>
        </w:rPr>
      </w:pPr>
      <w:r>
        <w:rPr>
          <w:rFonts w:hint="eastAsia"/>
          <w:color w:val="auto"/>
          <w:sz w:val="24"/>
          <w:highlight w:val="none"/>
        </w:rPr>
        <w:t>1.4 维修响应时间：</w:t>
      </w:r>
    </w:p>
    <w:p w14:paraId="24A1A0B0">
      <w:pPr>
        <w:adjustRightInd w:val="0"/>
        <w:snapToGrid w:val="0"/>
        <w:spacing w:line="360" w:lineRule="auto"/>
        <w:ind w:firstLine="480" w:firstLineChars="200"/>
        <w:rPr>
          <w:rFonts w:hint="eastAsia"/>
          <w:color w:val="auto"/>
          <w:sz w:val="24"/>
          <w:highlight w:val="none"/>
        </w:rPr>
      </w:pPr>
      <w:r>
        <w:rPr>
          <w:rFonts w:hint="eastAsia"/>
          <w:color w:val="auto"/>
          <w:sz w:val="24"/>
          <w:highlight w:val="none"/>
        </w:rPr>
        <w:t>在质量保证期内出现设备缺陷、故障等质量问题，甲方应尽快通知乙方，乙方在接到通知后在 2小时内响应，24小时内给出解决方案，48小时内到达现场。</w:t>
      </w:r>
    </w:p>
    <w:p w14:paraId="2AD76CF4">
      <w:pPr>
        <w:adjustRightInd w:val="0"/>
        <w:snapToGrid w:val="0"/>
        <w:spacing w:line="360" w:lineRule="auto"/>
        <w:rPr>
          <w:rFonts w:hint="eastAsia"/>
          <w:b/>
          <w:color w:val="auto"/>
          <w:sz w:val="24"/>
          <w:highlight w:val="none"/>
        </w:rPr>
      </w:pPr>
    </w:p>
    <w:p w14:paraId="4F3BC3D2">
      <w:pPr>
        <w:adjustRightInd w:val="0"/>
        <w:snapToGrid w:val="0"/>
        <w:spacing w:line="360" w:lineRule="auto"/>
        <w:rPr>
          <w:rFonts w:hint="eastAsia"/>
          <w:b/>
          <w:color w:val="auto"/>
          <w:sz w:val="24"/>
          <w:highlight w:val="none"/>
        </w:rPr>
      </w:pPr>
      <w:r>
        <w:rPr>
          <w:rFonts w:hint="eastAsia"/>
          <w:b/>
          <w:color w:val="auto"/>
          <w:sz w:val="24"/>
          <w:highlight w:val="none"/>
        </w:rPr>
        <w:t>（三） 订货数量：</w:t>
      </w:r>
    </w:p>
    <w:p w14:paraId="40D11634">
      <w:pPr>
        <w:adjustRightInd w:val="0"/>
        <w:snapToGrid w:val="0"/>
        <w:spacing w:line="360" w:lineRule="auto"/>
        <w:ind w:firstLine="480" w:firstLineChars="200"/>
        <w:rPr>
          <w:color w:val="auto"/>
          <w:sz w:val="24"/>
          <w:highlight w:val="none"/>
        </w:rPr>
      </w:pPr>
      <w:r>
        <w:rPr>
          <w:rFonts w:hint="eastAsia"/>
          <w:color w:val="auto"/>
          <w:sz w:val="24"/>
          <w:highlight w:val="none"/>
        </w:rPr>
        <w:t xml:space="preserve">激光干涉仪1套 </w:t>
      </w:r>
    </w:p>
    <w:p w14:paraId="6E9F2559">
      <w:pPr>
        <w:adjustRightInd w:val="0"/>
        <w:snapToGrid w:val="0"/>
        <w:spacing w:line="360" w:lineRule="auto"/>
        <w:rPr>
          <w:rFonts w:hint="eastAsia"/>
          <w:color w:val="auto"/>
          <w:sz w:val="24"/>
          <w:highlight w:val="none"/>
        </w:rPr>
      </w:pPr>
    </w:p>
    <w:p w14:paraId="56DBE4A0">
      <w:pPr>
        <w:adjustRightInd w:val="0"/>
        <w:snapToGrid w:val="0"/>
        <w:spacing w:line="360" w:lineRule="auto"/>
        <w:rPr>
          <w:rFonts w:hint="eastAsia"/>
          <w:b/>
          <w:color w:val="auto"/>
          <w:sz w:val="24"/>
          <w:highlight w:val="none"/>
        </w:rPr>
      </w:pPr>
      <w:r>
        <w:rPr>
          <w:rFonts w:hint="eastAsia"/>
          <w:b/>
          <w:color w:val="auto"/>
          <w:sz w:val="24"/>
          <w:highlight w:val="none"/>
        </w:rPr>
        <w:t>（四） 交货地：</w:t>
      </w:r>
    </w:p>
    <w:p w14:paraId="65B52BFD">
      <w:pPr>
        <w:adjustRightInd w:val="0"/>
        <w:snapToGrid w:val="0"/>
        <w:spacing w:line="360" w:lineRule="auto"/>
        <w:ind w:firstLine="480" w:firstLineChars="200"/>
        <w:rPr>
          <w:rFonts w:hint="eastAsia"/>
          <w:color w:val="auto"/>
          <w:sz w:val="24"/>
          <w:highlight w:val="none"/>
        </w:rPr>
      </w:pPr>
      <w:r>
        <w:rPr>
          <w:rFonts w:hint="eastAsia"/>
          <w:color w:val="auto"/>
          <w:sz w:val="24"/>
          <w:highlight w:val="none"/>
        </w:rPr>
        <w:t>用户指定地点</w:t>
      </w:r>
    </w:p>
    <w:p w14:paraId="47A06803">
      <w:pPr>
        <w:adjustRightInd w:val="0"/>
        <w:snapToGrid w:val="0"/>
        <w:spacing w:line="360" w:lineRule="auto"/>
        <w:rPr>
          <w:rFonts w:hint="eastAsia"/>
          <w:color w:val="auto"/>
          <w:sz w:val="24"/>
          <w:highlight w:val="none"/>
        </w:rPr>
      </w:pPr>
    </w:p>
    <w:p w14:paraId="15D5AA96">
      <w:pPr>
        <w:adjustRightInd w:val="0"/>
        <w:snapToGrid w:val="0"/>
        <w:spacing w:line="360" w:lineRule="auto"/>
        <w:rPr>
          <w:rFonts w:hint="eastAsia"/>
          <w:b/>
          <w:color w:val="auto"/>
          <w:sz w:val="24"/>
          <w:highlight w:val="none"/>
        </w:rPr>
      </w:pPr>
      <w:r>
        <w:rPr>
          <w:rFonts w:hint="eastAsia"/>
          <w:b/>
          <w:color w:val="auto"/>
          <w:sz w:val="24"/>
          <w:highlight w:val="none"/>
        </w:rPr>
        <w:t>（五）交货日期：</w:t>
      </w:r>
    </w:p>
    <w:p w14:paraId="2029B9BB">
      <w:pPr>
        <w:adjustRightInd w:val="0"/>
        <w:snapToGrid w:val="0"/>
        <w:spacing w:line="360" w:lineRule="auto"/>
        <w:ind w:firstLine="480" w:firstLineChars="200"/>
        <w:rPr>
          <w:rFonts w:hint="eastAsia"/>
          <w:color w:val="auto"/>
          <w:sz w:val="24"/>
          <w:highlight w:val="none"/>
        </w:rPr>
      </w:pPr>
      <w:r>
        <w:rPr>
          <w:rFonts w:hint="eastAsia" w:cs="仿宋_GB2312"/>
          <w:color w:val="auto"/>
          <w:sz w:val="24"/>
          <w:szCs w:val="28"/>
          <w:highlight w:val="none"/>
        </w:rPr>
        <w:t>合同生效后10个月内</w:t>
      </w:r>
    </w:p>
    <w:p w14:paraId="0587092C">
      <w:pPr>
        <w:adjustRightInd w:val="0"/>
        <w:snapToGrid w:val="0"/>
        <w:spacing w:line="360" w:lineRule="auto"/>
        <w:rPr>
          <w:color w:val="auto"/>
          <w:sz w:val="24"/>
          <w:highlight w:val="none"/>
        </w:rPr>
      </w:pP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仿宋"/>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Agilent TT CondLight">
    <w:altName w:val="Segoe Print"/>
    <w:panose1 w:val="020B0306020002020203"/>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56E20">
    <w:pPr>
      <w:pStyle w:val="21"/>
      <w:jc w:val="center"/>
    </w:pPr>
    <w:r>
      <w:fldChar w:fldCharType="begin"/>
    </w:r>
    <w:r>
      <w:instrText xml:space="preserve">PAGE   \* MERGEFORMAT</w:instrText>
    </w:r>
    <w:r>
      <w:fldChar w:fldCharType="separate"/>
    </w:r>
    <w:r>
      <w:rPr>
        <w:lang w:val="zh-CN"/>
      </w:rPr>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87C16">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8D4DA">
    <w:pPr>
      <w:pStyle w:val="22"/>
      <w:jc w:val="both"/>
      <w:rPr>
        <w:rFonts w:hint="eastAsia"/>
      </w:rPr>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00000007"/>
    <w:multiLevelType w:val="multilevel"/>
    <w:tmpl w:val="00000007"/>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4NzdlZGU5MzMwZmQwMTQwY2ViYTFlNWQ5ZGM5ZTYifQ=="/>
  </w:docVars>
  <w:rsids>
    <w:rsidRoot w:val="00FA3835"/>
    <w:rsid w:val="000050A2"/>
    <w:rsid w:val="00027C8D"/>
    <w:rsid w:val="00040005"/>
    <w:rsid w:val="000543E7"/>
    <w:rsid w:val="0006010D"/>
    <w:rsid w:val="000668DC"/>
    <w:rsid w:val="00081ADD"/>
    <w:rsid w:val="000969BB"/>
    <w:rsid w:val="000973D2"/>
    <w:rsid w:val="000B12EC"/>
    <w:rsid w:val="000B636A"/>
    <w:rsid w:val="000C1F98"/>
    <w:rsid w:val="000C2A8F"/>
    <w:rsid w:val="000C325D"/>
    <w:rsid w:val="000C505C"/>
    <w:rsid w:val="000D085A"/>
    <w:rsid w:val="000D1A3C"/>
    <w:rsid w:val="000E0B0C"/>
    <w:rsid w:val="000E17D4"/>
    <w:rsid w:val="000E4DA9"/>
    <w:rsid w:val="000F0512"/>
    <w:rsid w:val="000F4571"/>
    <w:rsid w:val="00103352"/>
    <w:rsid w:val="00105333"/>
    <w:rsid w:val="00107AF4"/>
    <w:rsid w:val="001140D0"/>
    <w:rsid w:val="001235CA"/>
    <w:rsid w:val="00137D93"/>
    <w:rsid w:val="001437EA"/>
    <w:rsid w:val="00144505"/>
    <w:rsid w:val="00144DDA"/>
    <w:rsid w:val="0014761F"/>
    <w:rsid w:val="001515D2"/>
    <w:rsid w:val="00153F11"/>
    <w:rsid w:val="00154F47"/>
    <w:rsid w:val="00155A34"/>
    <w:rsid w:val="00157FA8"/>
    <w:rsid w:val="00164E27"/>
    <w:rsid w:val="001921CA"/>
    <w:rsid w:val="00194900"/>
    <w:rsid w:val="001A0E56"/>
    <w:rsid w:val="001A6E63"/>
    <w:rsid w:val="001B195C"/>
    <w:rsid w:val="001B62CC"/>
    <w:rsid w:val="001B66E1"/>
    <w:rsid w:val="001B6E57"/>
    <w:rsid w:val="001D7301"/>
    <w:rsid w:val="001E1467"/>
    <w:rsid w:val="001E152C"/>
    <w:rsid w:val="001E3480"/>
    <w:rsid w:val="001F18B7"/>
    <w:rsid w:val="001F1D2B"/>
    <w:rsid w:val="001F5FAD"/>
    <w:rsid w:val="001F79B6"/>
    <w:rsid w:val="002024C7"/>
    <w:rsid w:val="00206639"/>
    <w:rsid w:val="0021259E"/>
    <w:rsid w:val="00213C28"/>
    <w:rsid w:val="00224FE7"/>
    <w:rsid w:val="00233C8A"/>
    <w:rsid w:val="00240E7B"/>
    <w:rsid w:val="00247ED0"/>
    <w:rsid w:val="00251DB7"/>
    <w:rsid w:val="00252144"/>
    <w:rsid w:val="00275598"/>
    <w:rsid w:val="002761A3"/>
    <w:rsid w:val="0028124D"/>
    <w:rsid w:val="00282A80"/>
    <w:rsid w:val="00282F14"/>
    <w:rsid w:val="00292E0B"/>
    <w:rsid w:val="002B44BD"/>
    <w:rsid w:val="002B6E7A"/>
    <w:rsid w:val="002B7380"/>
    <w:rsid w:val="002D5C47"/>
    <w:rsid w:val="002E03AA"/>
    <w:rsid w:val="002E6A76"/>
    <w:rsid w:val="002F1704"/>
    <w:rsid w:val="002F6FCA"/>
    <w:rsid w:val="002F7EF8"/>
    <w:rsid w:val="00301191"/>
    <w:rsid w:val="00312954"/>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97F24"/>
    <w:rsid w:val="003A298A"/>
    <w:rsid w:val="003A53DE"/>
    <w:rsid w:val="003B4F45"/>
    <w:rsid w:val="003B6193"/>
    <w:rsid w:val="003C172D"/>
    <w:rsid w:val="003C7092"/>
    <w:rsid w:val="003C785A"/>
    <w:rsid w:val="003D2B81"/>
    <w:rsid w:val="003E4374"/>
    <w:rsid w:val="003F5F7A"/>
    <w:rsid w:val="003F780B"/>
    <w:rsid w:val="004043A2"/>
    <w:rsid w:val="00404EA5"/>
    <w:rsid w:val="00415144"/>
    <w:rsid w:val="00417645"/>
    <w:rsid w:val="00420D92"/>
    <w:rsid w:val="0042297A"/>
    <w:rsid w:val="004362C7"/>
    <w:rsid w:val="0044106E"/>
    <w:rsid w:val="00446E68"/>
    <w:rsid w:val="00447503"/>
    <w:rsid w:val="0046038A"/>
    <w:rsid w:val="00471176"/>
    <w:rsid w:val="00484FF8"/>
    <w:rsid w:val="004A0EB1"/>
    <w:rsid w:val="004A19A1"/>
    <w:rsid w:val="004A21EE"/>
    <w:rsid w:val="004A3B49"/>
    <w:rsid w:val="004A5C14"/>
    <w:rsid w:val="004B3476"/>
    <w:rsid w:val="004B36B8"/>
    <w:rsid w:val="004C387C"/>
    <w:rsid w:val="004D0AB9"/>
    <w:rsid w:val="004E042A"/>
    <w:rsid w:val="004E4504"/>
    <w:rsid w:val="004F0FDE"/>
    <w:rsid w:val="004F3E07"/>
    <w:rsid w:val="00504FD3"/>
    <w:rsid w:val="00512882"/>
    <w:rsid w:val="005143FF"/>
    <w:rsid w:val="00516FEB"/>
    <w:rsid w:val="005244F5"/>
    <w:rsid w:val="00524665"/>
    <w:rsid w:val="005248DE"/>
    <w:rsid w:val="005423D8"/>
    <w:rsid w:val="00543C0A"/>
    <w:rsid w:val="0054699B"/>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C20A0"/>
    <w:rsid w:val="005C574A"/>
    <w:rsid w:val="005D09A0"/>
    <w:rsid w:val="005D479D"/>
    <w:rsid w:val="005D4DE6"/>
    <w:rsid w:val="005E416B"/>
    <w:rsid w:val="005E7A21"/>
    <w:rsid w:val="005F24B2"/>
    <w:rsid w:val="0060103A"/>
    <w:rsid w:val="00602911"/>
    <w:rsid w:val="00602A7A"/>
    <w:rsid w:val="0060509A"/>
    <w:rsid w:val="00611195"/>
    <w:rsid w:val="006125F5"/>
    <w:rsid w:val="00612A9B"/>
    <w:rsid w:val="00614D00"/>
    <w:rsid w:val="006225E2"/>
    <w:rsid w:val="0062676A"/>
    <w:rsid w:val="00640DB1"/>
    <w:rsid w:val="006416E9"/>
    <w:rsid w:val="0064545D"/>
    <w:rsid w:val="00646C82"/>
    <w:rsid w:val="00647CD5"/>
    <w:rsid w:val="006548A6"/>
    <w:rsid w:val="00655478"/>
    <w:rsid w:val="0065791C"/>
    <w:rsid w:val="00664D7F"/>
    <w:rsid w:val="00683185"/>
    <w:rsid w:val="006A377B"/>
    <w:rsid w:val="006B0930"/>
    <w:rsid w:val="006B5B06"/>
    <w:rsid w:val="006C4384"/>
    <w:rsid w:val="006C5135"/>
    <w:rsid w:val="006C546E"/>
    <w:rsid w:val="006D29F2"/>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2249"/>
    <w:rsid w:val="0075674B"/>
    <w:rsid w:val="007604BE"/>
    <w:rsid w:val="00761F2B"/>
    <w:rsid w:val="00763B74"/>
    <w:rsid w:val="007667DF"/>
    <w:rsid w:val="007731D0"/>
    <w:rsid w:val="00775B16"/>
    <w:rsid w:val="00785A0A"/>
    <w:rsid w:val="00787CED"/>
    <w:rsid w:val="00794F47"/>
    <w:rsid w:val="007967F8"/>
    <w:rsid w:val="007A3772"/>
    <w:rsid w:val="007C2696"/>
    <w:rsid w:val="007C3CFB"/>
    <w:rsid w:val="007C4C31"/>
    <w:rsid w:val="007C5EA5"/>
    <w:rsid w:val="007D33BC"/>
    <w:rsid w:val="007D381E"/>
    <w:rsid w:val="007D3EE2"/>
    <w:rsid w:val="007E03CA"/>
    <w:rsid w:val="007E5F37"/>
    <w:rsid w:val="007E6193"/>
    <w:rsid w:val="007F2F97"/>
    <w:rsid w:val="007F387D"/>
    <w:rsid w:val="007F7152"/>
    <w:rsid w:val="008203E6"/>
    <w:rsid w:val="00822633"/>
    <w:rsid w:val="00830107"/>
    <w:rsid w:val="00831B02"/>
    <w:rsid w:val="00833174"/>
    <w:rsid w:val="00846609"/>
    <w:rsid w:val="00852958"/>
    <w:rsid w:val="00864F77"/>
    <w:rsid w:val="008661F8"/>
    <w:rsid w:val="008712FA"/>
    <w:rsid w:val="00876AA9"/>
    <w:rsid w:val="00876EFF"/>
    <w:rsid w:val="00883AB2"/>
    <w:rsid w:val="008861B2"/>
    <w:rsid w:val="00896377"/>
    <w:rsid w:val="008A09F5"/>
    <w:rsid w:val="008A4B18"/>
    <w:rsid w:val="008A738C"/>
    <w:rsid w:val="008B2645"/>
    <w:rsid w:val="008C36D3"/>
    <w:rsid w:val="008D0675"/>
    <w:rsid w:val="008D1425"/>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621D7"/>
    <w:rsid w:val="009718ED"/>
    <w:rsid w:val="0097297B"/>
    <w:rsid w:val="0098154C"/>
    <w:rsid w:val="0098549E"/>
    <w:rsid w:val="009857EF"/>
    <w:rsid w:val="009941D8"/>
    <w:rsid w:val="009A2BFA"/>
    <w:rsid w:val="009A2C18"/>
    <w:rsid w:val="009A4276"/>
    <w:rsid w:val="009C0A0B"/>
    <w:rsid w:val="009C14BD"/>
    <w:rsid w:val="009D1AF8"/>
    <w:rsid w:val="009E1C84"/>
    <w:rsid w:val="009E32D4"/>
    <w:rsid w:val="009E4080"/>
    <w:rsid w:val="009E4DCB"/>
    <w:rsid w:val="009E580F"/>
    <w:rsid w:val="009F5A6A"/>
    <w:rsid w:val="00A0205F"/>
    <w:rsid w:val="00A04E9D"/>
    <w:rsid w:val="00A06893"/>
    <w:rsid w:val="00A21886"/>
    <w:rsid w:val="00A25682"/>
    <w:rsid w:val="00A2638C"/>
    <w:rsid w:val="00A27417"/>
    <w:rsid w:val="00A27AFD"/>
    <w:rsid w:val="00A354A8"/>
    <w:rsid w:val="00A4031E"/>
    <w:rsid w:val="00A44A2B"/>
    <w:rsid w:val="00A46F60"/>
    <w:rsid w:val="00A52439"/>
    <w:rsid w:val="00A53234"/>
    <w:rsid w:val="00A57F47"/>
    <w:rsid w:val="00A77A46"/>
    <w:rsid w:val="00AA7A0D"/>
    <w:rsid w:val="00AB113B"/>
    <w:rsid w:val="00AC54A1"/>
    <w:rsid w:val="00AD2FD2"/>
    <w:rsid w:val="00AD41E6"/>
    <w:rsid w:val="00AD4ECF"/>
    <w:rsid w:val="00AD70C8"/>
    <w:rsid w:val="00AF6067"/>
    <w:rsid w:val="00B07AAD"/>
    <w:rsid w:val="00B15273"/>
    <w:rsid w:val="00B16887"/>
    <w:rsid w:val="00B1746F"/>
    <w:rsid w:val="00B27A2B"/>
    <w:rsid w:val="00B31F00"/>
    <w:rsid w:val="00B351A2"/>
    <w:rsid w:val="00B40646"/>
    <w:rsid w:val="00B41959"/>
    <w:rsid w:val="00B41E03"/>
    <w:rsid w:val="00B42C18"/>
    <w:rsid w:val="00B43CF7"/>
    <w:rsid w:val="00B44327"/>
    <w:rsid w:val="00B53944"/>
    <w:rsid w:val="00B61FDD"/>
    <w:rsid w:val="00B75B80"/>
    <w:rsid w:val="00B81149"/>
    <w:rsid w:val="00B8672D"/>
    <w:rsid w:val="00B94FB1"/>
    <w:rsid w:val="00BC3D89"/>
    <w:rsid w:val="00BC7E1A"/>
    <w:rsid w:val="00BC7FBC"/>
    <w:rsid w:val="00BD11D6"/>
    <w:rsid w:val="00BD135B"/>
    <w:rsid w:val="00BD2A3B"/>
    <w:rsid w:val="00BD646D"/>
    <w:rsid w:val="00BD6A33"/>
    <w:rsid w:val="00BD7ED0"/>
    <w:rsid w:val="00BE5E06"/>
    <w:rsid w:val="00BE643E"/>
    <w:rsid w:val="00BE7CED"/>
    <w:rsid w:val="00BF59BF"/>
    <w:rsid w:val="00C056B5"/>
    <w:rsid w:val="00C10630"/>
    <w:rsid w:val="00C12939"/>
    <w:rsid w:val="00C14E3B"/>
    <w:rsid w:val="00C16177"/>
    <w:rsid w:val="00C23BA4"/>
    <w:rsid w:val="00C241B2"/>
    <w:rsid w:val="00C34485"/>
    <w:rsid w:val="00C40AB3"/>
    <w:rsid w:val="00C43805"/>
    <w:rsid w:val="00C43E24"/>
    <w:rsid w:val="00C45235"/>
    <w:rsid w:val="00C60EF2"/>
    <w:rsid w:val="00C615B2"/>
    <w:rsid w:val="00C702F0"/>
    <w:rsid w:val="00C74553"/>
    <w:rsid w:val="00C8112C"/>
    <w:rsid w:val="00C87EF4"/>
    <w:rsid w:val="00CA523E"/>
    <w:rsid w:val="00CA623E"/>
    <w:rsid w:val="00CA630F"/>
    <w:rsid w:val="00CB4EB2"/>
    <w:rsid w:val="00CB7A41"/>
    <w:rsid w:val="00CC0614"/>
    <w:rsid w:val="00CC7A0B"/>
    <w:rsid w:val="00CC7AD6"/>
    <w:rsid w:val="00CD64CD"/>
    <w:rsid w:val="00CE01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78D7"/>
    <w:rsid w:val="00D83934"/>
    <w:rsid w:val="00D861C3"/>
    <w:rsid w:val="00D91A0C"/>
    <w:rsid w:val="00D9239C"/>
    <w:rsid w:val="00D95955"/>
    <w:rsid w:val="00D979AB"/>
    <w:rsid w:val="00DA590C"/>
    <w:rsid w:val="00DA703D"/>
    <w:rsid w:val="00DB54CF"/>
    <w:rsid w:val="00DC1546"/>
    <w:rsid w:val="00DC7261"/>
    <w:rsid w:val="00DD2172"/>
    <w:rsid w:val="00DD4A09"/>
    <w:rsid w:val="00DD4C25"/>
    <w:rsid w:val="00DD6A1F"/>
    <w:rsid w:val="00DE4C00"/>
    <w:rsid w:val="00DE5C67"/>
    <w:rsid w:val="00DF2449"/>
    <w:rsid w:val="00DF7ACF"/>
    <w:rsid w:val="00E004CA"/>
    <w:rsid w:val="00E03391"/>
    <w:rsid w:val="00E0373B"/>
    <w:rsid w:val="00E07308"/>
    <w:rsid w:val="00E179B5"/>
    <w:rsid w:val="00E25CB8"/>
    <w:rsid w:val="00E26286"/>
    <w:rsid w:val="00E30AC2"/>
    <w:rsid w:val="00E33D84"/>
    <w:rsid w:val="00E34813"/>
    <w:rsid w:val="00E356D2"/>
    <w:rsid w:val="00E36055"/>
    <w:rsid w:val="00E401B3"/>
    <w:rsid w:val="00E458DA"/>
    <w:rsid w:val="00E5687E"/>
    <w:rsid w:val="00E624E5"/>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E5C2D"/>
    <w:rsid w:val="00EE7A6E"/>
    <w:rsid w:val="00EF5BA0"/>
    <w:rsid w:val="00F13600"/>
    <w:rsid w:val="00F15FC0"/>
    <w:rsid w:val="00F17042"/>
    <w:rsid w:val="00F175D1"/>
    <w:rsid w:val="00F21DA9"/>
    <w:rsid w:val="00F22A75"/>
    <w:rsid w:val="00F30C1E"/>
    <w:rsid w:val="00F3185D"/>
    <w:rsid w:val="00F35217"/>
    <w:rsid w:val="00F35C50"/>
    <w:rsid w:val="00F42D68"/>
    <w:rsid w:val="00F436FE"/>
    <w:rsid w:val="00F500D2"/>
    <w:rsid w:val="00F51A9D"/>
    <w:rsid w:val="00F57792"/>
    <w:rsid w:val="00F60048"/>
    <w:rsid w:val="00F6185A"/>
    <w:rsid w:val="00F73FE2"/>
    <w:rsid w:val="00F74944"/>
    <w:rsid w:val="00F8497C"/>
    <w:rsid w:val="00F91E41"/>
    <w:rsid w:val="00FA238D"/>
    <w:rsid w:val="00FA3835"/>
    <w:rsid w:val="00FA6816"/>
    <w:rsid w:val="00FB5D79"/>
    <w:rsid w:val="00FE3D91"/>
    <w:rsid w:val="00FE55D2"/>
    <w:rsid w:val="00FF728E"/>
    <w:rsid w:val="036209A4"/>
    <w:rsid w:val="07DB1842"/>
    <w:rsid w:val="09A45050"/>
    <w:rsid w:val="0A5B05D9"/>
    <w:rsid w:val="0A792D4B"/>
    <w:rsid w:val="0ADE3C88"/>
    <w:rsid w:val="0AE0030A"/>
    <w:rsid w:val="10E279BE"/>
    <w:rsid w:val="131E7DF2"/>
    <w:rsid w:val="1B9E3D36"/>
    <w:rsid w:val="1C8F2A04"/>
    <w:rsid w:val="1DB31513"/>
    <w:rsid w:val="1DFB4AC9"/>
    <w:rsid w:val="214678A5"/>
    <w:rsid w:val="218B2C39"/>
    <w:rsid w:val="22853039"/>
    <w:rsid w:val="243F7370"/>
    <w:rsid w:val="256C6679"/>
    <w:rsid w:val="26CD17C8"/>
    <w:rsid w:val="2A8E004C"/>
    <w:rsid w:val="2D5179CF"/>
    <w:rsid w:val="2E4D1EE3"/>
    <w:rsid w:val="3066410F"/>
    <w:rsid w:val="327F0D3B"/>
    <w:rsid w:val="35C0542C"/>
    <w:rsid w:val="3A427727"/>
    <w:rsid w:val="3AFF33E8"/>
    <w:rsid w:val="3D476359"/>
    <w:rsid w:val="3D9A658C"/>
    <w:rsid w:val="3DE10046"/>
    <w:rsid w:val="3DEE1D80"/>
    <w:rsid w:val="3F330EEE"/>
    <w:rsid w:val="407D0E43"/>
    <w:rsid w:val="4144316C"/>
    <w:rsid w:val="442F62DC"/>
    <w:rsid w:val="443A4B4B"/>
    <w:rsid w:val="444703E0"/>
    <w:rsid w:val="46DB7A17"/>
    <w:rsid w:val="48333FF5"/>
    <w:rsid w:val="48831983"/>
    <w:rsid w:val="48882C01"/>
    <w:rsid w:val="48E3495A"/>
    <w:rsid w:val="49FA5FEB"/>
    <w:rsid w:val="50E21795"/>
    <w:rsid w:val="51CD3614"/>
    <w:rsid w:val="534961DD"/>
    <w:rsid w:val="53D86BD2"/>
    <w:rsid w:val="53FC6986"/>
    <w:rsid w:val="563F54B2"/>
    <w:rsid w:val="585F0652"/>
    <w:rsid w:val="59101387"/>
    <w:rsid w:val="5C474EBA"/>
    <w:rsid w:val="5DFC1EDA"/>
    <w:rsid w:val="5F977F3C"/>
    <w:rsid w:val="62AB0CE4"/>
    <w:rsid w:val="67D85B6C"/>
    <w:rsid w:val="688778B0"/>
    <w:rsid w:val="6A3057AA"/>
    <w:rsid w:val="6C67192F"/>
    <w:rsid w:val="6EAC4E9F"/>
    <w:rsid w:val="6F135C55"/>
    <w:rsid w:val="727D3192"/>
    <w:rsid w:val="734D446A"/>
    <w:rsid w:val="77C72A86"/>
    <w:rsid w:val="78C830A0"/>
    <w:rsid w:val="790E776E"/>
    <w:rsid w:val="796242A1"/>
    <w:rsid w:val="7A7059C1"/>
    <w:rsid w:val="7BAE2F21"/>
    <w:rsid w:val="7CF74A59"/>
    <w:rsid w:val="7D9D4043"/>
    <w:rsid w:val="7F342FA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30">
    <w:name w:val="Default Paragraph Font"/>
    <w:semiHidden/>
    <w:uiPriority w:val="0"/>
  </w:style>
  <w:style w:type="table" w:default="1" w:styleId="2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36"/>
    <w:unhideWhenUsed/>
    <w:qFormat/>
    <w:uiPriority w:val="99"/>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7"/>
    <w:qFormat/>
    <w:uiPriority w:val="0"/>
    <w:rPr>
      <w:rFonts w:ascii="宋体" w:hAnsi="Courier New"/>
      <w:szCs w:val="20"/>
    </w:rPr>
  </w:style>
  <w:style w:type="paragraph" w:styleId="18">
    <w:name w:val="Date"/>
    <w:basedOn w:val="1"/>
    <w:next w:val="1"/>
    <w:link w:val="38"/>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next w:val="1"/>
    <w:qFormat/>
    <w:uiPriority w:val="0"/>
    <w:pPr>
      <w:tabs>
        <w:tab w:val="center" w:pos="4153"/>
        <w:tab w:val="right" w:pos="8306"/>
      </w:tabs>
      <w:snapToGrid w:val="0"/>
      <w:jc w:val="left"/>
    </w:pPr>
    <w:rPr>
      <w:sz w:val="18"/>
      <w:szCs w:val="18"/>
    </w:rPr>
  </w:style>
  <w:style w:type="paragraph" w:styleId="22">
    <w:name w:val="header"/>
    <w:basedOn w:val="1"/>
    <w:next w:val="23"/>
    <w:qFormat/>
    <w:uiPriority w:val="0"/>
    <w:pPr>
      <w:pBdr>
        <w:bottom w:val="single" w:color="auto" w:sz="6" w:space="1"/>
      </w:pBdr>
      <w:tabs>
        <w:tab w:val="center" w:pos="4153"/>
        <w:tab w:val="right" w:pos="8306"/>
      </w:tabs>
      <w:snapToGrid w:val="0"/>
      <w:jc w:val="center"/>
    </w:pPr>
    <w:rPr>
      <w:sz w:val="18"/>
      <w:szCs w:val="18"/>
    </w:rPr>
  </w:style>
  <w:style w:type="paragraph" w:styleId="23">
    <w:name w:val="toc 4"/>
    <w:basedOn w:val="1"/>
    <w:next w:val="1"/>
    <w:qFormat/>
    <w:uiPriority w:val="0"/>
    <w:pPr>
      <w:ind w:left="1260" w:leftChars="600"/>
    </w:pPr>
    <w:rPr>
      <w:rFonts w:ascii="Times New Roman" w:hAnsi="Times New Roman" w:eastAsia="宋体" w:cs="Times New Roman"/>
    </w:rPr>
  </w:style>
  <w:style w:type="paragraph" w:styleId="24">
    <w:name w:val="Body Text 2"/>
    <w:basedOn w:val="1"/>
    <w:qFormat/>
    <w:uiPriority w:val="0"/>
    <w:pPr>
      <w:widowControl/>
    </w:pPr>
    <w:rPr>
      <w:kern w:val="0"/>
      <w:sz w:val="20"/>
      <w:szCs w:val="20"/>
      <w:lang w:eastAsia="en-US"/>
    </w:rPr>
  </w:style>
  <w:style w:type="paragraph" w:styleId="2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6">
    <w:name w:val="Title"/>
    <w:basedOn w:val="1"/>
    <w:qFormat/>
    <w:uiPriority w:val="0"/>
    <w:pPr>
      <w:jc w:val="center"/>
    </w:pPr>
    <w:rPr>
      <w:sz w:val="30"/>
    </w:rPr>
  </w:style>
  <w:style w:type="paragraph" w:styleId="27">
    <w:name w:val="annotation subject"/>
    <w:basedOn w:val="13"/>
    <w:next w:val="13"/>
    <w:link w:val="39"/>
    <w:qFormat/>
    <w:uiPriority w:val="0"/>
    <w:rPr>
      <w:b/>
      <w:bCs/>
    </w:rPr>
  </w:style>
  <w:style w:type="table" w:styleId="29">
    <w:name w:val="Table Grid"/>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qFormat/>
    <w:uiPriority w:val="22"/>
    <w:rPr>
      <w:b/>
      <w:bCs/>
    </w:rPr>
  </w:style>
  <w:style w:type="character" w:styleId="32">
    <w:name w:val="page number"/>
    <w:qFormat/>
    <w:uiPriority w:val="0"/>
  </w:style>
  <w:style w:type="character" w:styleId="33">
    <w:name w:val="Emphasis"/>
    <w:qFormat/>
    <w:uiPriority w:val="20"/>
    <w:rPr>
      <w:i/>
      <w:iCs/>
    </w:rPr>
  </w:style>
  <w:style w:type="character" w:styleId="34">
    <w:name w:val="Hyperlink"/>
    <w:uiPriority w:val="0"/>
    <w:rPr>
      <w:color w:val="0000FF"/>
      <w:u w:val="single"/>
    </w:rPr>
  </w:style>
  <w:style w:type="character" w:styleId="35">
    <w:name w:val="annotation reference"/>
    <w:unhideWhenUsed/>
    <w:qFormat/>
    <w:uiPriority w:val="99"/>
    <w:rPr>
      <w:sz w:val="21"/>
      <w:szCs w:val="21"/>
    </w:rPr>
  </w:style>
  <w:style w:type="character" w:customStyle="1" w:styleId="36">
    <w:name w:val="批注文字 Char"/>
    <w:link w:val="13"/>
    <w:uiPriority w:val="99"/>
    <w:rPr>
      <w:kern w:val="2"/>
      <w:sz w:val="21"/>
      <w:szCs w:val="24"/>
    </w:rPr>
  </w:style>
  <w:style w:type="character" w:customStyle="1" w:styleId="37">
    <w:name w:val="纯文本 Char"/>
    <w:link w:val="17"/>
    <w:qFormat/>
    <w:uiPriority w:val="0"/>
    <w:rPr>
      <w:rFonts w:ascii="宋体" w:hAnsi="Courier New"/>
      <w:kern w:val="2"/>
      <w:sz w:val="21"/>
    </w:rPr>
  </w:style>
  <w:style w:type="character" w:customStyle="1" w:styleId="38">
    <w:name w:val="日期 Char"/>
    <w:link w:val="18"/>
    <w:uiPriority w:val="0"/>
    <w:rPr>
      <w:rFonts w:eastAsia="宋体"/>
      <w:kern w:val="2"/>
      <w:sz w:val="21"/>
      <w:lang w:val="en-US" w:eastAsia="zh-CN" w:bidi="ar-SA"/>
    </w:rPr>
  </w:style>
  <w:style w:type="character" w:customStyle="1" w:styleId="39">
    <w:name w:val="批注主题 Char"/>
    <w:link w:val="27"/>
    <w:uiPriority w:val="0"/>
    <w:rPr>
      <w:b/>
      <w:bCs/>
      <w:kern w:val="2"/>
      <w:sz w:val="21"/>
      <w:szCs w:val="24"/>
    </w:rPr>
  </w:style>
  <w:style w:type="character" w:customStyle="1" w:styleId="40">
    <w:name w:val=" Char"/>
    <w:qFormat/>
    <w:uiPriority w:val="0"/>
    <w:rPr>
      <w:rFonts w:ascii="宋体" w:hAnsi="Courier New" w:eastAsia="宋体"/>
      <w:kern w:val="2"/>
      <w:sz w:val="21"/>
      <w:lang w:val="en-US" w:eastAsia="zh-CN" w:bidi="ar-SA"/>
    </w:rPr>
  </w:style>
  <w:style w:type="paragraph" w:customStyle="1" w:styleId="41">
    <w:name w:val=" Char1"/>
    <w:basedOn w:val="1"/>
    <w:uiPriority w:val="0"/>
    <w:rPr>
      <w:rFonts w:ascii="Tahoma" w:hAnsi="Tahoma"/>
      <w:sz w:val="24"/>
      <w:szCs w:val="20"/>
    </w:rPr>
  </w:style>
  <w:style w:type="paragraph" w:customStyle="1" w:styleId="42">
    <w:name w:val="彩色列表 - 强调文字颜色 11"/>
    <w:basedOn w:val="1"/>
    <w:qFormat/>
    <w:uiPriority w:val="34"/>
    <w:pPr>
      <w:ind w:firstLine="420" w:firstLineChars="200"/>
    </w:pPr>
    <w:rPr>
      <w:rFonts w:ascii="Calibri" w:hAnsi="Calibri"/>
      <w:szCs w:val="22"/>
    </w:rPr>
  </w:style>
  <w:style w:type="paragraph" w:customStyle="1" w:styleId="43">
    <w:name w:val="Body Text 2"/>
    <w:basedOn w:val="1"/>
    <w:uiPriority w:val="0"/>
    <w:pPr>
      <w:adjustRightInd w:val="0"/>
      <w:spacing w:before="120" w:line="360" w:lineRule="auto"/>
      <w:ind w:firstLine="480"/>
      <w:textAlignment w:val="baseline"/>
    </w:pPr>
    <w:rPr>
      <w:sz w:val="24"/>
      <w:szCs w:val="20"/>
    </w:rPr>
  </w:style>
  <w:style w:type="paragraph" w:customStyle="1" w:styleId="44">
    <w:name w:val="文档正文"/>
    <w:basedOn w:val="1"/>
    <w:uiPriority w:val="0"/>
    <w:pPr>
      <w:adjustRightInd w:val="0"/>
      <w:spacing w:line="480" w:lineRule="atLeast"/>
      <w:ind w:firstLine="567"/>
      <w:textAlignment w:val="baseline"/>
    </w:pPr>
    <w:rPr>
      <w:rFonts w:ascii="长城仿宋"/>
      <w:kern w:val="0"/>
      <w:sz w:val="24"/>
      <w:szCs w:val="20"/>
    </w:rPr>
  </w:style>
  <w:style w:type="paragraph" w:customStyle="1" w:styleId="45">
    <w:name w:val="Body Text Indent 2"/>
    <w:basedOn w:val="1"/>
    <w:uiPriority w:val="0"/>
    <w:pPr>
      <w:adjustRightInd w:val="0"/>
      <w:spacing w:before="120"/>
      <w:ind w:firstLine="420"/>
      <w:textAlignment w:val="baseline"/>
    </w:pPr>
    <w:rPr>
      <w:sz w:val="24"/>
      <w:szCs w:val="20"/>
    </w:rPr>
  </w:style>
  <w:style w:type="paragraph" w:customStyle="1" w:styleId="46">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styleId="47">
    <w:name w:val="List Paragraph"/>
    <w:basedOn w:val="1"/>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8</Pages>
  <Words>59</Words>
  <Characters>59</Characters>
  <Lines>98</Lines>
  <Paragraphs>27</Paragraphs>
  <TotalTime>6</TotalTime>
  <ScaleCrop>false</ScaleCrop>
  <LinksUpToDate>false</LinksUpToDate>
  <CharactersWithSpaces>61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清</cp:lastModifiedBy>
  <cp:lastPrinted>2009-04-21T09:03:00Z</cp:lastPrinted>
  <dcterms:modified xsi:type="dcterms:W3CDTF">2024-11-16T01:55:47Z</dcterms:modified>
  <dc:title>北 京 市 政 府 采 购</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99BD794694934AC294A1550EBBF17253_13</vt:lpwstr>
  </property>
</Properties>
</file>