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9316A">
      <w:pPr>
        <w:adjustRightInd w:val="0"/>
        <w:snapToGrid w:val="0"/>
        <w:spacing w:before="936" w:beforeLines="300"/>
        <w:jc w:val="center"/>
        <w:rPr>
          <w:rFonts w:ascii="黑体" w:hAnsi="Times New Roman" w:eastAsia="黑体" w:cs="Times New Roman"/>
          <w:b/>
          <w:kern w:val="44"/>
          <w:sz w:val="48"/>
          <w:szCs w:val="20"/>
        </w:rPr>
      </w:pPr>
      <w:bookmarkStart w:id="0" w:name="_GoBack"/>
      <w:bookmarkEnd w:id="0"/>
      <w:r>
        <w:rPr>
          <w:rFonts w:hint="eastAsia" w:ascii="黑体" w:hAnsi="Times New Roman" w:eastAsia="黑体" w:cs="Times New Roman"/>
          <w:b/>
          <w:kern w:val="44"/>
          <w:sz w:val="48"/>
          <w:szCs w:val="20"/>
        </w:rPr>
        <w:t>第八部分  采购需求</w:t>
      </w:r>
      <w:r>
        <w:rPr>
          <w:rFonts w:hint="eastAsia" w:ascii="黑体" w:hAnsi="Times New Roman" w:eastAsia="黑体" w:cs="Times New Roman"/>
          <w:b/>
          <w:kern w:val="44"/>
          <w:sz w:val="48"/>
          <w:szCs w:val="20"/>
        </w:rPr>
        <w:br w:type="page"/>
      </w:r>
    </w:p>
    <w:p w14:paraId="36E95A4B">
      <w:pPr>
        <w:adjustRightInd w:val="0"/>
        <w:snapToGrid w:val="0"/>
        <w:jc w:val="center"/>
        <w:rPr>
          <w:rFonts w:hint="eastAsia" w:ascii="宋体" w:hAnsi="宋体" w:eastAsia="宋体" w:cs="Times New Roman"/>
          <w:b/>
          <w:sz w:val="30"/>
          <w:szCs w:val="30"/>
        </w:rPr>
      </w:pPr>
      <w:r>
        <w:rPr>
          <w:rFonts w:hint="eastAsia" w:ascii="宋体" w:hAnsi="宋体" w:eastAsia="宋体" w:cs="Times New Roman"/>
          <w:b/>
          <w:sz w:val="30"/>
          <w:szCs w:val="30"/>
        </w:rPr>
        <w:t>一、货物需求一览表</w:t>
      </w:r>
    </w:p>
    <w:p w14:paraId="3139BE39">
      <w:pPr>
        <w:adjustRightInd w:val="0"/>
        <w:snapToGrid w:val="0"/>
        <w:jc w:val="center"/>
        <w:rPr>
          <w:rFonts w:hint="eastAsia" w:ascii="宋体" w:hAnsi="宋体" w:eastAsia="宋体" w:cs="Times New Roman"/>
          <w:b/>
          <w:sz w:val="30"/>
          <w:szCs w:val="30"/>
        </w:rPr>
      </w:pPr>
    </w:p>
    <w:tbl>
      <w:tblPr>
        <w:tblStyle w:val="3"/>
        <w:tblW w:w="87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9"/>
        <w:gridCol w:w="1123"/>
        <w:gridCol w:w="1011"/>
        <w:gridCol w:w="1568"/>
        <w:gridCol w:w="2460"/>
      </w:tblGrid>
      <w:tr w14:paraId="45DA8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tcBorders>
              <w:top w:val="single" w:color="000000" w:sz="6" w:space="0"/>
              <w:left w:val="single" w:color="000000" w:sz="6" w:space="0"/>
              <w:bottom w:val="single" w:color="000000" w:sz="6" w:space="0"/>
              <w:right w:val="single" w:color="000000" w:sz="6" w:space="0"/>
            </w:tcBorders>
            <w:vAlign w:val="center"/>
          </w:tcPr>
          <w:p w14:paraId="0F43556B">
            <w:pPr>
              <w:jc w:val="center"/>
              <w:rPr>
                <w:rFonts w:hint="eastAsia" w:ascii="宋体" w:hAnsi="Bookman Old Style" w:eastAsia="宋体" w:cs="Times New Roman"/>
                <w:sz w:val="24"/>
                <w:szCs w:val="24"/>
              </w:rPr>
            </w:pPr>
            <w:r>
              <w:rPr>
                <w:rFonts w:hint="eastAsia" w:ascii="宋体" w:hAnsi="Bookman Old Style" w:eastAsia="宋体" w:cs="Times New Roman"/>
                <w:sz w:val="24"/>
                <w:szCs w:val="24"/>
              </w:rPr>
              <w:t>包号</w:t>
            </w:r>
          </w:p>
        </w:tc>
        <w:tc>
          <w:tcPr>
            <w:tcW w:w="1878" w:type="dxa"/>
            <w:tcBorders>
              <w:top w:val="single" w:color="000000" w:sz="6" w:space="0"/>
              <w:left w:val="single" w:color="000000" w:sz="6" w:space="0"/>
              <w:bottom w:val="single" w:color="000000" w:sz="6" w:space="0"/>
              <w:right w:val="single" w:color="000000" w:sz="6" w:space="0"/>
            </w:tcBorders>
            <w:vAlign w:val="center"/>
          </w:tcPr>
          <w:p w14:paraId="2530B301">
            <w:pPr>
              <w:jc w:val="center"/>
              <w:rPr>
                <w:rFonts w:hint="eastAsia" w:ascii="宋体" w:hAnsi="Bookman Old Style" w:eastAsia="宋体" w:cs="Times New Roman"/>
                <w:sz w:val="24"/>
                <w:szCs w:val="24"/>
              </w:rPr>
            </w:pPr>
            <w:r>
              <w:rPr>
                <w:rFonts w:hint="eastAsia" w:ascii="宋体" w:hAnsi="Bookman Old Style" w:eastAsia="宋体" w:cs="Times New Roman"/>
                <w:sz w:val="24"/>
                <w:szCs w:val="24"/>
              </w:rPr>
              <w:t>货物名称</w:t>
            </w:r>
          </w:p>
        </w:tc>
        <w:tc>
          <w:tcPr>
            <w:tcW w:w="1122" w:type="dxa"/>
            <w:tcBorders>
              <w:top w:val="single" w:color="000000" w:sz="6" w:space="0"/>
              <w:left w:val="single" w:color="000000" w:sz="6" w:space="0"/>
              <w:bottom w:val="single" w:color="000000" w:sz="6" w:space="0"/>
              <w:right w:val="single" w:color="000000" w:sz="6" w:space="0"/>
            </w:tcBorders>
            <w:vAlign w:val="center"/>
          </w:tcPr>
          <w:p w14:paraId="584FEBA1">
            <w:pPr>
              <w:jc w:val="center"/>
              <w:rPr>
                <w:rFonts w:hint="eastAsia" w:ascii="宋体" w:hAnsi="Bookman Old Style" w:eastAsia="宋体" w:cs="Times New Roman"/>
                <w:sz w:val="24"/>
                <w:szCs w:val="24"/>
              </w:rPr>
            </w:pPr>
            <w:r>
              <w:rPr>
                <w:rFonts w:hint="eastAsia" w:ascii="宋体" w:hAnsi="Bookman Old Style" w:eastAsia="宋体" w:cs="Times New Roman"/>
                <w:sz w:val="24"/>
                <w:szCs w:val="24"/>
              </w:rPr>
              <w:t>数量</w:t>
            </w:r>
          </w:p>
        </w:tc>
        <w:tc>
          <w:tcPr>
            <w:tcW w:w="1011" w:type="dxa"/>
            <w:tcBorders>
              <w:top w:val="single" w:color="000000" w:sz="6" w:space="0"/>
              <w:left w:val="single" w:color="000000" w:sz="6" w:space="0"/>
              <w:bottom w:val="single" w:color="000000" w:sz="6" w:space="0"/>
              <w:right w:val="single" w:color="000000" w:sz="6" w:space="0"/>
            </w:tcBorders>
            <w:vAlign w:val="center"/>
          </w:tcPr>
          <w:p w14:paraId="0D0F5728">
            <w:pPr>
              <w:jc w:val="center"/>
              <w:rPr>
                <w:rFonts w:hint="eastAsia" w:ascii="宋体" w:hAnsi="Bookman Old Style" w:eastAsia="宋体" w:cs="Times New Roman"/>
                <w:sz w:val="24"/>
                <w:szCs w:val="24"/>
              </w:rPr>
            </w:pPr>
            <w:r>
              <w:rPr>
                <w:rFonts w:hint="eastAsia" w:ascii="宋体" w:hAnsi="Bookman Old Style" w:eastAsia="宋体" w:cs="Times New Roman"/>
                <w:sz w:val="24"/>
                <w:szCs w:val="24"/>
              </w:rPr>
              <w:t>交货期</w:t>
            </w:r>
          </w:p>
        </w:tc>
        <w:tc>
          <w:tcPr>
            <w:tcW w:w="1567" w:type="dxa"/>
            <w:tcBorders>
              <w:top w:val="single" w:color="000000" w:sz="6" w:space="0"/>
              <w:left w:val="single" w:color="000000" w:sz="6" w:space="0"/>
              <w:bottom w:val="single" w:color="000000" w:sz="6" w:space="0"/>
              <w:right w:val="single" w:color="000000" w:sz="6" w:space="0"/>
            </w:tcBorders>
            <w:vAlign w:val="center"/>
          </w:tcPr>
          <w:p w14:paraId="208F60F1">
            <w:pPr>
              <w:jc w:val="center"/>
              <w:rPr>
                <w:rFonts w:hint="eastAsia" w:ascii="宋体" w:hAnsi="Bookman Old Style" w:eastAsia="宋体" w:cs="Times New Roman"/>
                <w:sz w:val="24"/>
                <w:szCs w:val="24"/>
              </w:rPr>
            </w:pPr>
            <w:r>
              <w:rPr>
                <w:rFonts w:hint="eastAsia" w:ascii="宋体" w:hAnsi="Bookman Old Style" w:eastAsia="宋体" w:cs="Times New Roman"/>
                <w:sz w:val="24"/>
                <w:szCs w:val="24"/>
              </w:rPr>
              <w:t>指定到货港</w:t>
            </w:r>
          </w:p>
        </w:tc>
        <w:tc>
          <w:tcPr>
            <w:tcW w:w="2459" w:type="dxa"/>
            <w:tcBorders>
              <w:top w:val="single" w:color="000000" w:sz="6" w:space="0"/>
              <w:left w:val="single" w:color="000000" w:sz="6" w:space="0"/>
              <w:bottom w:val="single" w:color="000000" w:sz="6" w:space="0"/>
              <w:right w:val="single" w:color="000000" w:sz="6" w:space="0"/>
            </w:tcBorders>
            <w:vAlign w:val="center"/>
          </w:tcPr>
          <w:p w14:paraId="3786B500">
            <w:pPr>
              <w:jc w:val="center"/>
              <w:rPr>
                <w:rFonts w:hint="eastAsia" w:ascii="宋体" w:hAnsi="Bookman Old Style" w:eastAsia="宋体" w:cs="Times New Roman"/>
                <w:sz w:val="24"/>
                <w:szCs w:val="24"/>
                <w:shd w:val="pct10" w:color="auto" w:fill="FFFFFF"/>
              </w:rPr>
            </w:pPr>
            <w:r>
              <w:rPr>
                <w:rFonts w:hint="eastAsia" w:ascii="宋体" w:hAnsi="Bookman Old Style" w:eastAsia="宋体" w:cs="Times New Roman"/>
                <w:sz w:val="24"/>
                <w:szCs w:val="24"/>
              </w:rPr>
              <w:t>项目现场（交货地点）</w:t>
            </w:r>
          </w:p>
        </w:tc>
      </w:tr>
      <w:tr w14:paraId="7E053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tcBorders>
              <w:top w:val="single" w:color="000000" w:sz="6" w:space="0"/>
              <w:left w:val="single" w:color="000000" w:sz="6" w:space="0"/>
              <w:bottom w:val="single" w:color="000000" w:sz="6" w:space="0"/>
              <w:right w:val="single" w:color="000000" w:sz="6" w:space="0"/>
            </w:tcBorders>
            <w:vAlign w:val="center"/>
          </w:tcPr>
          <w:p w14:paraId="6B14A293">
            <w:pPr>
              <w:jc w:val="center"/>
              <w:rPr>
                <w:rFonts w:hint="eastAsia" w:ascii="宋体" w:hAnsi="Times New Roman" w:eastAsia="宋体" w:cs="Times New Roman"/>
                <w:sz w:val="24"/>
                <w:szCs w:val="24"/>
              </w:rPr>
            </w:pPr>
            <w:r>
              <w:rPr>
                <w:rFonts w:hint="eastAsia" w:ascii="宋体" w:hAnsi="Times New Roman" w:eastAsia="宋体" w:cs="Times New Roman"/>
                <w:sz w:val="24"/>
                <w:szCs w:val="24"/>
              </w:rPr>
              <w:t>1</w:t>
            </w:r>
          </w:p>
        </w:tc>
        <w:tc>
          <w:tcPr>
            <w:tcW w:w="1878" w:type="dxa"/>
            <w:tcBorders>
              <w:top w:val="single" w:color="000000" w:sz="6" w:space="0"/>
              <w:left w:val="single" w:color="000000" w:sz="6" w:space="0"/>
              <w:bottom w:val="single" w:color="000000" w:sz="6" w:space="0"/>
              <w:right w:val="single" w:color="000000" w:sz="6" w:space="0"/>
            </w:tcBorders>
            <w:vAlign w:val="center"/>
          </w:tcPr>
          <w:p w14:paraId="11ADC37D">
            <w:pPr>
              <w:jc w:val="center"/>
              <w:rPr>
                <w:rFonts w:hint="eastAsia" w:ascii="Bookman Old Style" w:hAnsi="Bookman Old Style" w:eastAsia="宋体" w:cs="Times New Roman"/>
                <w:sz w:val="24"/>
                <w:szCs w:val="24"/>
              </w:rPr>
            </w:pPr>
            <w:r>
              <w:rPr>
                <w:rFonts w:hint="eastAsia" w:ascii="宋体" w:hAnsi="宋体" w:eastAsia="宋体" w:cs="宋体"/>
                <w:kern w:val="0"/>
                <w:sz w:val="24"/>
                <w:szCs w:val="24"/>
              </w:rPr>
              <w:t xml:space="preserve">原子力显微镜 </w:t>
            </w:r>
          </w:p>
        </w:tc>
        <w:tc>
          <w:tcPr>
            <w:tcW w:w="1122" w:type="dxa"/>
            <w:tcBorders>
              <w:top w:val="single" w:color="000000" w:sz="6" w:space="0"/>
              <w:left w:val="single" w:color="000000" w:sz="6" w:space="0"/>
              <w:bottom w:val="single" w:color="000000" w:sz="6" w:space="0"/>
              <w:right w:val="single" w:color="000000" w:sz="6" w:space="0"/>
            </w:tcBorders>
            <w:vAlign w:val="center"/>
          </w:tcPr>
          <w:p w14:paraId="52313D0B">
            <w:pPr>
              <w:jc w:val="center"/>
              <w:rPr>
                <w:rFonts w:ascii="宋体" w:hAnsi="Bookman Old Style" w:eastAsia="宋体" w:cs="Times New Roman"/>
                <w:sz w:val="24"/>
                <w:szCs w:val="24"/>
              </w:rPr>
            </w:pPr>
            <w:r>
              <w:rPr>
                <w:rFonts w:hint="eastAsia" w:ascii="宋体" w:hAnsi="宋体" w:eastAsia="宋体" w:cs="Times New Roman"/>
                <w:sz w:val="24"/>
                <w:szCs w:val="24"/>
              </w:rPr>
              <w:t>1套</w:t>
            </w:r>
          </w:p>
        </w:tc>
        <w:tc>
          <w:tcPr>
            <w:tcW w:w="5037" w:type="dxa"/>
            <w:gridSpan w:val="3"/>
            <w:tcBorders>
              <w:top w:val="single" w:color="000000" w:sz="6" w:space="0"/>
              <w:left w:val="single" w:color="000000" w:sz="6" w:space="0"/>
              <w:bottom w:val="single" w:color="000000" w:sz="6" w:space="0"/>
              <w:right w:val="single" w:color="000000" w:sz="6" w:space="0"/>
            </w:tcBorders>
            <w:vAlign w:val="center"/>
          </w:tcPr>
          <w:p w14:paraId="45FFB666">
            <w:pPr>
              <w:jc w:val="center"/>
              <w:rPr>
                <w:rFonts w:hint="eastAsia" w:ascii="宋体" w:hAnsi="Bookman Old Style" w:eastAsia="宋体" w:cs="Times New Roman"/>
                <w:sz w:val="24"/>
                <w:szCs w:val="24"/>
              </w:rPr>
            </w:pPr>
            <w:r>
              <w:rPr>
                <w:rFonts w:hint="eastAsia" w:ascii="宋体" w:hAnsi="Bookman Old Style" w:eastAsia="宋体" w:cs="Times New Roman"/>
                <w:sz w:val="24"/>
                <w:szCs w:val="24"/>
              </w:rPr>
              <w:t>详见具体技术规格</w:t>
            </w:r>
          </w:p>
        </w:tc>
      </w:tr>
    </w:tbl>
    <w:p w14:paraId="28A8F91C">
      <w:pPr>
        <w:adjustRightInd w:val="0"/>
        <w:snapToGrid w:val="0"/>
        <w:jc w:val="center"/>
        <w:rPr>
          <w:rFonts w:hint="eastAsia" w:ascii="宋体" w:hAnsi="宋体" w:eastAsia="宋体" w:cs="Times New Roman"/>
          <w:b/>
          <w:sz w:val="30"/>
          <w:szCs w:val="30"/>
        </w:rPr>
      </w:pPr>
    </w:p>
    <w:p w14:paraId="75696CA1">
      <w:pPr>
        <w:adjustRightInd w:val="0"/>
        <w:snapToGrid w:val="0"/>
        <w:jc w:val="center"/>
        <w:rPr>
          <w:rFonts w:hint="eastAsia" w:ascii="宋体" w:hAnsi="宋体" w:eastAsia="宋体" w:cs="Times New Roman"/>
          <w:b/>
          <w:sz w:val="30"/>
          <w:szCs w:val="30"/>
        </w:rPr>
      </w:pPr>
    </w:p>
    <w:p w14:paraId="687944F0">
      <w:pPr>
        <w:adjustRightInd w:val="0"/>
        <w:snapToGrid w:val="0"/>
        <w:jc w:val="center"/>
        <w:rPr>
          <w:rFonts w:hint="eastAsia" w:ascii="宋体" w:hAnsi="宋体" w:eastAsia="宋体" w:cs="Times New Roman"/>
          <w:b/>
          <w:sz w:val="30"/>
          <w:szCs w:val="30"/>
        </w:rPr>
      </w:pPr>
    </w:p>
    <w:p w14:paraId="0F568D1F">
      <w:pPr>
        <w:rPr>
          <w:rFonts w:hint="eastAsia" w:ascii="Bookman Old Style" w:hAnsi="Bookman Old Style" w:eastAsia="宋体" w:cs="Times New Roman"/>
          <w:sz w:val="24"/>
          <w:szCs w:val="24"/>
        </w:rPr>
      </w:pPr>
      <w:r>
        <w:rPr>
          <w:rFonts w:hint="eastAsia" w:ascii="Times New Roman" w:hAnsi="Times New Roman" w:eastAsia="宋体" w:cs="Times New Roman"/>
          <w:sz w:val="24"/>
          <w:szCs w:val="24"/>
        </w:rPr>
        <w:t>注：投标人须对上述投标内容中完整的一包或几包进行投标，</w:t>
      </w:r>
      <w:r>
        <w:rPr>
          <w:rFonts w:hint="eastAsia" w:ascii="Bookman Old Style" w:hAnsi="Bookman Old Style" w:eastAsia="宋体" w:cs="Times New Roman"/>
          <w:sz w:val="24"/>
          <w:szCs w:val="24"/>
        </w:rPr>
        <w:t>不完整的投标将视为非响应性投标予以拒绝。</w:t>
      </w:r>
    </w:p>
    <w:p w14:paraId="0670A140">
      <w:pPr>
        <w:adjustRightInd w:val="0"/>
        <w:snapToGrid w:val="0"/>
        <w:rPr>
          <w:rFonts w:ascii="宋体" w:hAnsi="宋体" w:eastAsia="宋体" w:cs="Times New Roman"/>
          <w:szCs w:val="21"/>
        </w:rPr>
      </w:pPr>
    </w:p>
    <w:p w14:paraId="29E6D690">
      <w:pPr>
        <w:adjustRightInd w:val="0"/>
        <w:snapToGrid w:val="0"/>
        <w:rPr>
          <w:rFonts w:hint="eastAsia" w:ascii="宋体" w:hAnsi="宋体" w:eastAsia="宋体" w:cs="Times New Roman"/>
          <w:szCs w:val="21"/>
        </w:rPr>
      </w:pPr>
    </w:p>
    <w:p w14:paraId="17C222A3">
      <w:pPr>
        <w:adjustRightInd w:val="0"/>
        <w:snapToGrid w:val="0"/>
        <w:rPr>
          <w:rFonts w:hint="eastAsia" w:ascii="宋体" w:hAnsi="宋体" w:eastAsia="宋体" w:cs="Times New Roman"/>
          <w:szCs w:val="21"/>
        </w:rPr>
      </w:pPr>
    </w:p>
    <w:p w14:paraId="0DB79645">
      <w:pPr>
        <w:adjustRightInd w:val="0"/>
        <w:snapToGrid w:val="0"/>
        <w:rPr>
          <w:rFonts w:hint="eastAsia" w:ascii="宋体" w:hAnsi="宋体" w:eastAsia="宋体" w:cs="Times New Roman"/>
          <w:szCs w:val="21"/>
        </w:rPr>
      </w:pPr>
    </w:p>
    <w:p w14:paraId="570C7A61">
      <w:pPr>
        <w:adjustRightInd w:val="0"/>
        <w:snapToGrid w:val="0"/>
        <w:rPr>
          <w:rFonts w:hint="eastAsia" w:ascii="宋体" w:hAnsi="宋体" w:eastAsia="宋体" w:cs="Times New Roman"/>
          <w:szCs w:val="21"/>
        </w:rPr>
      </w:pPr>
    </w:p>
    <w:p w14:paraId="14BFC69D">
      <w:pPr>
        <w:adjustRightInd w:val="0"/>
        <w:snapToGrid w:val="0"/>
        <w:rPr>
          <w:rFonts w:hint="eastAsia" w:ascii="宋体" w:hAnsi="宋体" w:eastAsia="宋体" w:cs="Times New Roman"/>
          <w:szCs w:val="21"/>
        </w:rPr>
      </w:pPr>
    </w:p>
    <w:p w14:paraId="1C3333AD">
      <w:pPr>
        <w:adjustRightInd w:val="0"/>
        <w:snapToGrid w:val="0"/>
        <w:rPr>
          <w:rFonts w:hint="eastAsia" w:ascii="宋体" w:hAnsi="宋体" w:eastAsia="宋体" w:cs="Times New Roman"/>
          <w:szCs w:val="21"/>
        </w:rPr>
      </w:pPr>
    </w:p>
    <w:p w14:paraId="735247FD">
      <w:pPr>
        <w:adjustRightInd w:val="0"/>
        <w:snapToGrid w:val="0"/>
        <w:rPr>
          <w:rFonts w:hint="eastAsia" w:ascii="宋体" w:hAnsi="宋体" w:eastAsia="宋体" w:cs="Times New Roman"/>
          <w:szCs w:val="21"/>
        </w:rPr>
      </w:pPr>
    </w:p>
    <w:p w14:paraId="36A0B470">
      <w:pPr>
        <w:adjustRightInd w:val="0"/>
        <w:snapToGrid w:val="0"/>
        <w:rPr>
          <w:rFonts w:hint="eastAsia" w:ascii="宋体" w:hAnsi="宋体" w:eastAsia="宋体" w:cs="Times New Roman"/>
          <w:szCs w:val="21"/>
        </w:rPr>
      </w:pPr>
    </w:p>
    <w:p w14:paraId="4E370C85">
      <w:pPr>
        <w:adjustRightInd w:val="0"/>
        <w:snapToGrid w:val="0"/>
        <w:rPr>
          <w:rFonts w:hint="eastAsia" w:ascii="宋体" w:hAnsi="宋体" w:eastAsia="宋体" w:cs="Times New Roman"/>
          <w:szCs w:val="21"/>
        </w:rPr>
      </w:pPr>
    </w:p>
    <w:p w14:paraId="30E8305F">
      <w:pPr>
        <w:adjustRightInd w:val="0"/>
        <w:snapToGrid w:val="0"/>
        <w:rPr>
          <w:rFonts w:hint="eastAsia" w:ascii="宋体" w:hAnsi="宋体" w:eastAsia="宋体" w:cs="Times New Roman"/>
          <w:szCs w:val="21"/>
        </w:rPr>
      </w:pPr>
    </w:p>
    <w:p w14:paraId="56946F1F">
      <w:pPr>
        <w:adjustRightInd w:val="0"/>
        <w:snapToGrid w:val="0"/>
        <w:rPr>
          <w:rFonts w:hint="eastAsia" w:ascii="宋体" w:hAnsi="宋体" w:eastAsia="宋体" w:cs="Times New Roman"/>
          <w:szCs w:val="21"/>
        </w:rPr>
      </w:pPr>
    </w:p>
    <w:p w14:paraId="1777E476">
      <w:pPr>
        <w:tabs>
          <w:tab w:val="left" w:pos="720"/>
        </w:tabs>
        <w:adjustRightInd w:val="0"/>
        <w:snapToGrid w:val="0"/>
        <w:jc w:val="center"/>
        <w:rPr>
          <w:rFonts w:hint="eastAsia" w:ascii="宋体" w:hAnsi="宋体" w:eastAsia="宋体" w:cs="Times New Roman"/>
          <w:b/>
          <w:sz w:val="30"/>
          <w:szCs w:val="30"/>
        </w:rPr>
      </w:pPr>
      <w:r>
        <w:rPr>
          <w:rFonts w:hint="eastAsia" w:ascii="宋体" w:hAnsi="宋体" w:eastAsia="宋体" w:cs="Times New Roman"/>
          <w:b/>
          <w:sz w:val="30"/>
          <w:szCs w:val="30"/>
        </w:rPr>
        <w:br w:type="page"/>
      </w:r>
      <w:r>
        <w:rPr>
          <w:rFonts w:hint="eastAsia" w:ascii="宋体" w:hAnsi="宋体" w:eastAsia="宋体" w:cs="Times New Roman"/>
          <w:b/>
          <w:sz w:val="30"/>
          <w:szCs w:val="30"/>
        </w:rPr>
        <w:t>二、总则</w:t>
      </w:r>
    </w:p>
    <w:p w14:paraId="6D84416E">
      <w:pPr>
        <w:spacing w:before="156" w:beforeLines="50" w:after="156" w:afterLines="50" w:line="360" w:lineRule="auto"/>
        <w:ind w:left="601" w:hanging="601"/>
        <w:rPr>
          <w:rFonts w:hint="eastAsia" w:ascii="宋体" w:hAnsi="宋体" w:eastAsia="宋体" w:cs="Times New Roman"/>
          <w:b/>
          <w:sz w:val="28"/>
          <w:szCs w:val="24"/>
        </w:rPr>
      </w:pPr>
      <w:r>
        <w:rPr>
          <w:rFonts w:hint="eastAsia" w:ascii="宋体" w:hAnsi="宋体" w:eastAsia="宋体" w:cs="Times New Roman"/>
          <w:b/>
          <w:sz w:val="28"/>
          <w:szCs w:val="24"/>
        </w:rPr>
        <w:t>1、投标要求</w:t>
      </w:r>
    </w:p>
    <w:p w14:paraId="05CF0C81">
      <w:pPr>
        <w:spacing w:line="360" w:lineRule="auto"/>
        <w:ind w:left="554" w:hanging="554" w:hangingChars="231"/>
        <w:rPr>
          <w:rFonts w:hint="eastAsia" w:ascii="宋体" w:hAnsi="宋体" w:eastAsia="宋体" w:cs="Times New Roman"/>
          <w:sz w:val="24"/>
          <w:szCs w:val="24"/>
        </w:rPr>
      </w:pPr>
      <w:r>
        <w:rPr>
          <w:rFonts w:hint="eastAsia" w:ascii="宋体" w:hAnsi="宋体" w:eastAsia="宋体" w:cs="Times New Roman"/>
          <w:sz w:val="24"/>
          <w:szCs w:val="24"/>
        </w:rPr>
        <w:t>1.1  投标人在准备投标书时，务必在所提供的商品的技术规格文件中，标明型号、商标名称、目录号。</w:t>
      </w:r>
    </w:p>
    <w:p w14:paraId="731F67EF">
      <w:pPr>
        <w:spacing w:line="360" w:lineRule="auto"/>
        <w:ind w:left="554" w:hanging="554" w:hangingChars="231"/>
        <w:rPr>
          <w:rFonts w:hint="eastAsia" w:ascii="宋体" w:hAnsi="宋体" w:eastAsia="宋体" w:cs="Times New Roman"/>
          <w:sz w:val="24"/>
          <w:szCs w:val="24"/>
        </w:rPr>
      </w:pPr>
      <w:r>
        <w:rPr>
          <w:rFonts w:hint="eastAsia" w:ascii="宋体" w:hAnsi="宋体" w:eastAsia="宋体" w:cs="Times New Roman"/>
          <w:sz w:val="24"/>
          <w:szCs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16E32913">
      <w:pPr>
        <w:spacing w:line="360" w:lineRule="auto"/>
        <w:ind w:left="554" w:hanging="554" w:hangingChars="231"/>
        <w:rPr>
          <w:rFonts w:hint="eastAsia" w:ascii="宋体" w:hAnsi="Times New Roman" w:eastAsia="宋体" w:cs="Times New Roman"/>
          <w:sz w:val="24"/>
          <w:szCs w:val="24"/>
        </w:rPr>
      </w:pPr>
      <w:r>
        <w:rPr>
          <w:rFonts w:hint="eastAsia" w:ascii="宋体" w:hAnsi="宋体" w:eastAsia="宋体" w:cs="Times New Roman"/>
          <w:sz w:val="24"/>
          <w:szCs w:val="24"/>
        </w:rPr>
        <w:t xml:space="preserve">1.3  </w:t>
      </w:r>
      <w:r>
        <w:rPr>
          <w:rFonts w:hint="eastAsia" w:ascii="Times New Roman" w:hAnsi="Times New Roman" w:eastAsia="宋体" w:cs="Times New Roman"/>
          <w:sz w:val="24"/>
          <w:szCs w:val="24"/>
        </w:rPr>
        <w:t>投标人提供的</w:t>
      </w:r>
      <w:r>
        <w:rPr>
          <w:rFonts w:hint="eastAsia" w:ascii="宋体" w:hAnsi="Times New Roman" w:eastAsia="宋体" w:cs="Times New Roman"/>
          <w:sz w:val="24"/>
          <w:szCs w:val="24"/>
        </w:rPr>
        <w:t>产品</w:t>
      </w:r>
      <w:r>
        <w:rPr>
          <w:rFonts w:hint="eastAsia" w:ascii="Times New Roman" w:hAnsi="Times New Roman" w:eastAsia="宋体" w:cs="Times New Roman"/>
          <w:sz w:val="24"/>
          <w:szCs w:val="24"/>
        </w:rPr>
        <w:t>样本，必须是“原件”而非复印件，</w:t>
      </w:r>
      <w:r>
        <w:rPr>
          <w:rFonts w:hint="eastAsia" w:ascii="宋体" w:hAnsi="Times New Roman" w:eastAsia="宋体" w:cs="Times New Roman"/>
          <w:sz w:val="24"/>
          <w:szCs w:val="24"/>
        </w:rPr>
        <w:t>图表、简图、电路图以及印刷电路板图等都应</w:t>
      </w:r>
      <w:r>
        <w:rPr>
          <w:rFonts w:hint="eastAsia" w:ascii="Times New Roman" w:hAnsi="Times New Roman" w:eastAsia="宋体" w:cs="Times New Roman"/>
          <w:sz w:val="24"/>
          <w:szCs w:val="24"/>
        </w:rPr>
        <w:t>清晰易读。买方有权</w:t>
      </w:r>
      <w:r>
        <w:rPr>
          <w:rFonts w:hint="eastAsia" w:ascii="宋体" w:hAnsi="Times New Roman" w:eastAsia="宋体" w:cs="Times New Roman"/>
          <w:sz w:val="24"/>
          <w:szCs w:val="24"/>
        </w:rPr>
        <w:t>不付任何附加费用</w:t>
      </w:r>
      <w:r>
        <w:rPr>
          <w:rFonts w:hint="eastAsia" w:ascii="Times New Roman" w:hAnsi="Times New Roman" w:eastAsia="宋体" w:cs="Times New Roman"/>
          <w:sz w:val="24"/>
          <w:szCs w:val="24"/>
        </w:rPr>
        <w:t>复制这些资料</w:t>
      </w:r>
      <w:r>
        <w:rPr>
          <w:rFonts w:hint="eastAsia" w:ascii="宋体" w:hAnsi="Times New Roman" w:eastAsia="宋体" w:cs="Times New Roman"/>
          <w:sz w:val="24"/>
          <w:szCs w:val="24"/>
        </w:rPr>
        <w:t>以供参考。</w:t>
      </w:r>
    </w:p>
    <w:p w14:paraId="23AB6B16">
      <w:pPr>
        <w:spacing w:line="360" w:lineRule="auto"/>
        <w:ind w:left="554" w:hanging="554" w:hangingChars="231"/>
        <w:rPr>
          <w:rFonts w:hint="eastAsia" w:ascii="宋体" w:hAnsi="Times New Roman" w:eastAsia="宋体" w:cs="Times New Roman"/>
          <w:sz w:val="24"/>
          <w:szCs w:val="24"/>
        </w:rPr>
      </w:pPr>
      <w:r>
        <w:rPr>
          <w:rFonts w:hint="eastAsia" w:ascii="宋体" w:hAnsi="Times New Roman" w:eastAsia="宋体" w:cs="Times New Roman"/>
          <w:sz w:val="24"/>
          <w:szCs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237F2C7">
      <w:pPr>
        <w:spacing w:before="156" w:beforeLines="50" w:after="156" w:afterLines="50" w:line="360" w:lineRule="auto"/>
        <w:ind w:left="601" w:hanging="601"/>
        <w:rPr>
          <w:rFonts w:hint="eastAsia" w:ascii="宋体" w:hAnsi="宋体" w:eastAsia="宋体" w:cs="Times New Roman"/>
          <w:b/>
          <w:sz w:val="28"/>
          <w:szCs w:val="24"/>
        </w:rPr>
      </w:pPr>
      <w:r>
        <w:rPr>
          <w:rFonts w:hint="eastAsia" w:ascii="宋体" w:hAnsi="宋体" w:eastAsia="宋体" w:cs="Times New Roman"/>
          <w:b/>
          <w:sz w:val="28"/>
          <w:szCs w:val="24"/>
        </w:rPr>
        <w:t>2、评标标准</w:t>
      </w:r>
    </w:p>
    <w:p w14:paraId="37697038">
      <w:pPr>
        <w:spacing w:line="360" w:lineRule="auto"/>
        <w:ind w:left="554" w:hanging="554" w:hangingChars="231"/>
        <w:rPr>
          <w:rFonts w:hint="eastAsia" w:ascii="宋体" w:hAnsi="Times New Roman" w:eastAsia="宋体" w:cs="Times New Roman"/>
          <w:sz w:val="24"/>
          <w:szCs w:val="24"/>
        </w:rPr>
      </w:pPr>
      <w:r>
        <w:rPr>
          <w:rFonts w:hint="eastAsia" w:ascii="宋体" w:hAnsi="宋体" w:eastAsia="宋体" w:cs="Times New Roman"/>
          <w:sz w:val="24"/>
          <w:szCs w:val="24"/>
        </w:rPr>
        <w:t xml:space="preserve">2.1  </w:t>
      </w:r>
      <w:r>
        <w:rPr>
          <w:rFonts w:hint="eastAsia" w:ascii="Times New Roman" w:hAnsi="Times New Roman" w:eastAsia="宋体" w:cs="Times New Roman"/>
          <w:sz w:val="24"/>
          <w:szCs w:val="24"/>
        </w:rPr>
        <w:t>除招标文件中指定的附件和专用工具外，</w:t>
      </w:r>
      <w:r>
        <w:rPr>
          <w:rFonts w:hint="eastAsia" w:ascii="宋体" w:hAnsi="Times New Roman" w:eastAsia="宋体" w:cs="Times New Roman"/>
          <w:sz w:val="24"/>
          <w:szCs w:val="24"/>
        </w:rPr>
        <w:t>投标人应提供仪器设备的正常运行和常规保养所需的全套标准附件、专用工具</w:t>
      </w:r>
      <w:r>
        <w:rPr>
          <w:rFonts w:hint="eastAsia" w:ascii="Times New Roman" w:hAnsi="Times New Roman" w:eastAsia="宋体" w:cs="Times New Roman"/>
          <w:sz w:val="24"/>
          <w:szCs w:val="24"/>
        </w:rPr>
        <w:t>和消耗品</w:t>
      </w:r>
      <w:r>
        <w:rPr>
          <w:rFonts w:hint="eastAsia" w:ascii="宋体" w:hAnsi="Times New Roman" w:eastAsia="宋体" w:cs="Times New Roman"/>
          <w:sz w:val="24"/>
          <w:szCs w:val="24"/>
        </w:rPr>
        <w:t>。投标人在投标书中需列出这些附件和工具的数量和单价的清单，这些附件和工具的报价的总值需计入投标价中。</w:t>
      </w:r>
    </w:p>
    <w:p w14:paraId="6302E976">
      <w:pPr>
        <w:spacing w:line="360" w:lineRule="auto"/>
        <w:ind w:left="554" w:hanging="554" w:hangingChars="231"/>
        <w:rPr>
          <w:rFonts w:hint="eastAsia" w:ascii="Times New Roman" w:hAnsi="Times New Roman" w:eastAsia="宋体" w:cs="Times New Roman"/>
          <w:sz w:val="24"/>
          <w:szCs w:val="24"/>
        </w:rPr>
      </w:pPr>
      <w:r>
        <w:rPr>
          <w:rFonts w:hint="eastAsia" w:ascii="宋体" w:hAnsi="宋体" w:eastAsia="宋体" w:cs="Times New Roman"/>
          <w:sz w:val="24"/>
          <w:szCs w:val="24"/>
        </w:rPr>
        <w:t xml:space="preserve">2.2  </w:t>
      </w:r>
      <w:r>
        <w:rPr>
          <w:rFonts w:hint="eastAsia" w:ascii="Times New Roman" w:hAnsi="Times New Roman" w:eastAsia="宋体" w:cs="Times New Roman"/>
          <w:sz w:val="24"/>
          <w:szCs w:val="24"/>
        </w:rPr>
        <w:t>对于标书</w:t>
      </w:r>
      <w:r>
        <w:rPr>
          <w:rFonts w:hint="eastAsia" w:ascii="宋体" w:hAnsi="Times New Roman" w:eastAsia="宋体" w:cs="Times New Roman"/>
          <w:sz w:val="24"/>
          <w:szCs w:val="24"/>
        </w:rPr>
        <w:t>技术规范中已列</w:t>
      </w:r>
      <w:r>
        <w:rPr>
          <w:rFonts w:hint="eastAsia" w:ascii="Times New Roman" w:hAnsi="Times New Roman" w:eastAsia="宋体" w:cs="Times New Roman"/>
          <w:sz w:val="24"/>
          <w:szCs w:val="24"/>
        </w:rPr>
        <w:t>出的作为查询选件的附件、零配件、专用工具和消耗品，投标书中</w:t>
      </w:r>
      <w:r>
        <w:rPr>
          <w:rFonts w:hint="eastAsia" w:ascii="宋体" w:hAnsi="Times New Roman" w:eastAsia="宋体" w:cs="Times New Roman"/>
          <w:sz w:val="24"/>
          <w:szCs w:val="24"/>
        </w:rPr>
        <w:t>应列明其数量、单价、总价供买方参考。投标人也可推荐买方没有要求的附件或专用工具作为选件，并列明其数量、单价、总价供买方参考。选件价格不计入评标价中。</w:t>
      </w:r>
    </w:p>
    <w:p w14:paraId="01C351E7">
      <w:pPr>
        <w:spacing w:line="360" w:lineRule="auto"/>
        <w:ind w:left="554" w:hanging="554" w:hangingChars="231"/>
        <w:rPr>
          <w:rFonts w:ascii="宋体" w:hAnsi="宋体" w:eastAsia="宋体" w:cs="Times New Roman"/>
          <w:sz w:val="24"/>
          <w:szCs w:val="24"/>
        </w:rPr>
      </w:pPr>
      <w:r>
        <w:rPr>
          <w:rFonts w:hint="eastAsia" w:ascii="宋体" w:hAnsi="宋体" w:eastAsia="宋体" w:cs="Times New Roman"/>
          <w:sz w:val="24"/>
          <w:szCs w:val="24"/>
        </w:rPr>
        <w:t>2.3  为便于用户进行接收仪器的准备工作，卖方应在合同生效后</w:t>
      </w:r>
      <w:r>
        <w:rPr>
          <w:rFonts w:hint="eastAsia" w:ascii="宋体" w:hAnsi="宋体" w:eastAsia="宋体" w:cs="Times New Roman"/>
          <w:b/>
          <w:sz w:val="24"/>
          <w:szCs w:val="24"/>
        </w:rPr>
        <w:t>60</w:t>
      </w:r>
      <w:r>
        <w:rPr>
          <w:rFonts w:hint="eastAsia" w:ascii="宋体" w:hAnsi="宋体" w:eastAsia="宋体" w:cs="Times New Roman"/>
          <w:sz w:val="24"/>
          <w:szCs w:val="24"/>
        </w:rPr>
        <w:t>天内向用户提供一套完整的使用说明书、操作手册、维修及安装说明等文件。另一套完整上述资料应在交货时随货包装提供给用户，这些费用应计入投标价中。</w:t>
      </w:r>
    </w:p>
    <w:p w14:paraId="3D29ABF6">
      <w:pPr>
        <w:spacing w:line="360" w:lineRule="auto"/>
        <w:ind w:left="554" w:hanging="554" w:hangingChars="231"/>
        <w:rPr>
          <w:rFonts w:hint="eastAsia" w:ascii="宋体" w:hAnsi="宋体" w:eastAsia="宋体" w:cs="Times New Roman"/>
          <w:sz w:val="24"/>
          <w:szCs w:val="24"/>
        </w:rPr>
      </w:pPr>
      <w:r>
        <w:rPr>
          <w:rFonts w:hint="eastAsia" w:ascii="宋体" w:hAnsi="宋体" w:eastAsia="宋体" w:cs="Times New Roman"/>
          <w:sz w:val="24"/>
          <w:szCs w:val="24"/>
        </w:rPr>
        <w:t>2.4  关于设备的安装调试，如果有必要的安装准备条件，卖方应在合同生效后一个月内向买方提出详细的要求或计划。安装调试的费用应计入投标价中，并应单独列出，供评标使用。</w:t>
      </w:r>
    </w:p>
    <w:p w14:paraId="02B6DA2F">
      <w:pPr>
        <w:spacing w:line="360" w:lineRule="auto"/>
        <w:ind w:left="554" w:hanging="554" w:hangingChars="231"/>
        <w:rPr>
          <w:rFonts w:hint="eastAsia" w:ascii="宋体" w:hAnsi="宋体" w:eastAsia="宋体" w:cs="Times New Roman"/>
          <w:sz w:val="24"/>
          <w:szCs w:val="24"/>
        </w:rPr>
      </w:pPr>
      <w:r>
        <w:rPr>
          <w:rFonts w:hint="eastAsia" w:ascii="宋体" w:hAnsi="宋体" w:eastAsia="宋体" w:cs="Times New Roman"/>
          <w:sz w:val="24"/>
          <w:szCs w:val="24"/>
        </w:rPr>
        <w:t>2.5  制造厂家提供的培训指的是涉及货物的基本原理、操作使用和保养维修等有关内容的培训。培训教员的培训费、旅费、食宿费等费用和培训场地费及培训资料费均应由卖方支付。</w:t>
      </w:r>
    </w:p>
    <w:p w14:paraId="3BDCF113">
      <w:pPr>
        <w:spacing w:before="156" w:beforeLines="50" w:after="156" w:afterLines="50" w:line="360" w:lineRule="auto"/>
        <w:ind w:left="601" w:hanging="601"/>
        <w:rPr>
          <w:rFonts w:hint="eastAsia" w:ascii="宋体" w:hAnsi="宋体" w:eastAsia="宋体" w:cs="Times New Roman"/>
          <w:b/>
          <w:sz w:val="28"/>
          <w:szCs w:val="24"/>
        </w:rPr>
      </w:pPr>
      <w:r>
        <w:rPr>
          <w:rFonts w:hint="eastAsia" w:ascii="宋体" w:hAnsi="宋体" w:eastAsia="宋体" w:cs="Times New Roman"/>
          <w:b/>
          <w:sz w:val="28"/>
          <w:szCs w:val="24"/>
        </w:rPr>
        <w:t>3、工作条件</w:t>
      </w:r>
    </w:p>
    <w:p w14:paraId="261941FE">
      <w:pPr>
        <w:spacing w:after="312" w:afterLines="100"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除非在技术规格中另有说明，所有仪器、设备和系统都应符合下列要求： </w:t>
      </w:r>
    </w:p>
    <w:p w14:paraId="320580D2">
      <w:pPr>
        <w:spacing w:line="360" w:lineRule="auto"/>
        <w:ind w:left="554" w:hanging="554" w:hangingChars="231"/>
        <w:rPr>
          <w:rFonts w:hint="eastAsia" w:ascii="宋体" w:hAnsi="宋体" w:eastAsia="宋体" w:cs="Times New Roman"/>
          <w:sz w:val="24"/>
          <w:szCs w:val="24"/>
        </w:rPr>
      </w:pPr>
      <w:r>
        <w:rPr>
          <w:rFonts w:hint="eastAsia" w:ascii="宋体" w:hAnsi="宋体" w:eastAsia="宋体" w:cs="Times New Roman"/>
          <w:sz w:val="24"/>
          <w:szCs w:val="24"/>
        </w:rPr>
        <w:t>3.1  适于在气温为摄氏</w:t>
      </w:r>
      <w:r>
        <w:rPr>
          <w:rFonts w:hint="eastAsia" w:ascii="宋体" w:hAnsi="宋体" w:eastAsia="宋体" w:cs="Times New Roman"/>
          <w:b/>
          <w:sz w:val="24"/>
          <w:szCs w:val="24"/>
        </w:rPr>
        <w:t>-40℃～＋50℃</w:t>
      </w:r>
      <w:r>
        <w:rPr>
          <w:rFonts w:hint="eastAsia" w:ascii="宋体" w:hAnsi="宋体" w:eastAsia="宋体" w:cs="Times New Roman"/>
          <w:sz w:val="24"/>
          <w:szCs w:val="24"/>
        </w:rPr>
        <w:t>和相对湿度为</w:t>
      </w:r>
      <w:r>
        <w:rPr>
          <w:rFonts w:hint="eastAsia" w:ascii="宋体" w:hAnsi="宋体" w:eastAsia="宋体" w:cs="Times New Roman"/>
          <w:b/>
          <w:sz w:val="24"/>
          <w:szCs w:val="24"/>
        </w:rPr>
        <w:t>90％</w:t>
      </w:r>
      <w:r>
        <w:rPr>
          <w:rFonts w:hint="eastAsia" w:ascii="宋体" w:hAnsi="宋体" w:eastAsia="宋体" w:cs="Times New Roman"/>
          <w:sz w:val="24"/>
          <w:szCs w:val="24"/>
        </w:rPr>
        <w:t>的环境条件下运输和贮存。</w:t>
      </w:r>
    </w:p>
    <w:p w14:paraId="182BC013">
      <w:pPr>
        <w:spacing w:line="360" w:lineRule="auto"/>
        <w:ind w:left="554" w:hanging="554" w:hangingChars="231"/>
        <w:rPr>
          <w:rFonts w:hint="eastAsia" w:ascii="宋体" w:hAnsi="宋体" w:eastAsia="宋体" w:cs="Times New Roman"/>
          <w:sz w:val="24"/>
          <w:szCs w:val="24"/>
        </w:rPr>
      </w:pPr>
      <w:r>
        <w:rPr>
          <w:rFonts w:hint="eastAsia" w:ascii="宋体" w:hAnsi="宋体" w:eastAsia="宋体" w:cs="Times New Roman"/>
          <w:sz w:val="24"/>
          <w:szCs w:val="24"/>
        </w:rPr>
        <w:t>3.2  适于在电源</w:t>
      </w:r>
      <w:r>
        <w:rPr>
          <w:rFonts w:hint="eastAsia" w:ascii="宋体" w:hAnsi="宋体" w:eastAsia="宋体" w:cs="Times New Roman"/>
          <w:b/>
          <w:sz w:val="24"/>
          <w:szCs w:val="24"/>
        </w:rPr>
        <w:t>220V（</w:t>
      </w:r>
      <w:r>
        <w:rPr>
          <w:rFonts w:hint="eastAsia" w:ascii="宋体" w:hAnsi="宋体" w:eastAsia="宋体" w:cs="Times New Roman"/>
          <w:b/>
          <w:sz w:val="24"/>
          <w:szCs w:val="24"/>
        </w:rPr>
        <w:sym w:font="Symbol" w:char="F0B1"/>
      </w:r>
      <w:r>
        <w:rPr>
          <w:rFonts w:hint="eastAsia" w:ascii="宋体" w:hAnsi="宋体" w:eastAsia="宋体" w:cs="Times New Roman"/>
          <w:b/>
          <w:sz w:val="24"/>
          <w:szCs w:val="24"/>
        </w:rPr>
        <w:t>10％）/50Hz</w:t>
      </w:r>
      <w:r>
        <w:rPr>
          <w:rFonts w:hint="eastAsia" w:ascii="宋体" w:hAnsi="宋体" w:eastAsia="宋体" w:cs="Times New Roman"/>
          <w:sz w:val="24"/>
          <w:szCs w:val="24"/>
        </w:rPr>
        <w:t>、气温摄氏</w:t>
      </w:r>
      <w:r>
        <w:rPr>
          <w:rFonts w:hint="eastAsia" w:ascii="宋体" w:hAnsi="宋体" w:eastAsia="宋体" w:cs="Times New Roman"/>
          <w:b/>
          <w:sz w:val="24"/>
          <w:szCs w:val="24"/>
        </w:rPr>
        <w:t>＋15℃～＋30℃</w:t>
      </w:r>
      <w:r>
        <w:rPr>
          <w:rFonts w:hint="eastAsia" w:ascii="宋体" w:hAnsi="宋体" w:eastAsia="宋体" w:cs="Times New Roman"/>
          <w:sz w:val="24"/>
          <w:szCs w:val="24"/>
        </w:rPr>
        <w:t>和相对湿度小于</w:t>
      </w:r>
      <w:r>
        <w:rPr>
          <w:rFonts w:hint="eastAsia" w:ascii="宋体" w:hAnsi="宋体" w:eastAsia="宋体" w:cs="Times New Roman"/>
          <w:b/>
          <w:sz w:val="24"/>
          <w:szCs w:val="24"/>
        </w:rPr>
        <w:t>80％</w:t>
      </w:r>
      <w:r>
        <w:rPr>
          <w:rFonts w:hint="eastAsia" w:ascii="宋体" w:hAnsi="宋体" w:eastAsia="宋体" w:cs="Times New Roman"/>
          <w:sz w:val="24"/>
          <w:szCs w:val="24"/>
        </w:rPr>
        <w:t>的环境条件下运行。</w:t>
      </w:r>
      <w:r>
        <w:rPr>
          <w:rFonts w:hint="eastAsia" w:ascii="宋体" w:hAnsi="宋体" w:eastAsia="宋体" w:cs="Times New Roman"/>
          <w:b/>
          <w:sz w:val="24"/>
          <w:szCs w:val="24"/>
        </w:rPr>
        <w:t>能够连续正常工作。</w:t>
      </w:r>
    </w:p>
    <w:p w14:paraId="61744CD3">
      <w:pPr>
        <w:spacing w:line="360" w:lineRule="auto"/>
        <w:ind w:left="554" w:hanging="554" w:hangingChars="231"/>
        <w:rPr>
          <w:rFonts w:hint="eastAsia" w:ascii="宋体" w:hAnsi="宋体" w:eastAsia="宋体" w:cs="Times New Roman"/>
          <w:sz w:val="24"/>
          <w:szCs w:val="24"/>
        </w:rPr>
      </w:pPr>
      <w:r>
        <w:rPr>
          <w:rFonts w:hint="eastAsia" w:ascii="宋体" w:hAnsi="宋体" w:eastAsia="宋体" w:cs="Times New Roman"/>
          <w:sz w:val="24"/>
          <w:szCs w:val="24"/>
        </w:rPr>
        <w:t>3.3  配置符合中国有关标准要求的插头，如果没有这样的插头，则需</w:t>
      </w:r>
      <w:r>
        <w:rPr>
          <w:rFonts w:hint="eastAsia" w:ascii="宋体" w:hAnsi="Times New Roman" w:eastAsia="宋体" w:cs="Times New Roman"/>
          <w:sz w:val="24"/>
          <w:szCs w:val="24"/>
        </w:rPr>
        <w:t>提供适当的转</w:t>
      </w:r>
      <w:r>
        <w:rPr>
          <w:rFonts w:hint="eastAsia" w:ascii="宋体" w:hAnsi="宋体" w:eastAsia="宋体" w:cs="Times New Roman"/>
          <w:sz w:val="24"/>
          <w:szCs w:val="24"/>
        </w:rPr>
        <w:t>换插座。</w:t>
      </w:r>
    </w:p>
    <w:p w14:paraId="45B43622">
      <w:pPr>
        <w:spacing w:line="360" w:lineRule="auto"/>
        <w:ind w:left="554" w:hanging="554" w:hangingChars="231"/>
        <w:rPr>
          <w:rFonts w:hint="eastAsia" w:ascii="宋体" w:hAnsi="宋体" w:eastAsia="宋体" w:cs="Times New Roman"/>
          <w:sz w:val="24"/>
          <w:szCs w:val="24"/>
        </w:rPr>
      </w:pPr>
      <w:r>
        <w:rPr>
          <w:rFonts w:hint="eastAsia" w:ascii="宋体" w:hAnsi="宋体" w:eastAsia="宋体" w:cs="Times New Roman"/>
          <w:sz w:val="24"/>
          <w:szCs w:val="24"/>
        </w:rPr>
        <w:t>3.4  如产品达不到上述要求，投标人应注明其偏差。如仪器设备需要特殊工作条件（如水、电源、磁场强度、温度、湿度、动强度等）投标人应在投标书中加以说明。</w:t>
      </w:r>
    </w:p>
    <w:p w14:paraId="2D8D9D61">
      <w:pPr>
        <w:rPr>
          <w:rFonts w:hint="eastAsia" w:ascii="Times New Roman" w:hAnsi="Times New Roman" w:eastAsia="黑体" w:cs="Times New Roman"/>
          <w:b/>
          <w:bCs/>
          <w:kern w:val="44"/>
          <w:sz w:val="24"/>
          <w:szCs w:val="24"/>
        </w:rPr>
      </w:pPr>
    </w:p>
    <w:p w14:paraId="2CDB62B6">
      <w:pPr>
        <w:spacing w:before="156" w:beforeLines="50" w:after="156" w:afterLines="50" w:line="360" w:lineRule="auto"/>
        <w:ind w:left="601" w:hanging="601"/>
        <w:rPr>
          <w:rFonts w:ascii="宋体" w:hAnsi="宋体" w:eastAsia="宋体" w:cs="Times New Roman"/>
          <w:b/>
          <w:sz w:val="28"/>
          <w:szCs w:val="24"/>
        </w:rPr>
      </w:pPr>
      <w:r>
        <w:rPr>
          <w:rFonts w:hint="eastAsia" w:ascii="宋体" w:hAnsi="宋体" w:eastAsia="宋体" w:cs="Times New Roman"/>
          <w:b/>
          <w:sz w:val="28"/>
          <w:szCs w:val="24"/>
        </w:rPr>
        <w:t>4、验收标准</w:t>
      </w:r>
    </w:p>
    <w:p w14:paraId="7766BD1A">
      <w:pPr>
        <w:spacing w:after="312" w:afterLines="100"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除非在技术规格中另有说明，所有仪器、设备和系统按下列要求进行验收： </w:t>
      </w:r>
    </w:p>
    <w:p w14:paraId="3B71783F">
      <w:pPr>
        <w:spacing w:line="360" w:lineRule="auto"/>
        <w:ind w:left="554" w:hanging="554" w:hangingChars="231"/>
        <w:rPr>
          <w:rFonts w:hint="eastAsia" w:ascii="宋体" w:hAnsi="宋体" w:eastAsia="宋体" w:cs="Times New Roman"/>
          <w:sz w:val="24"/>
          <w:szCs w:val="24"/>
        </w:rPr>
      </w:pPr>
      <w:r>
        <w:rPr>
          <w:rFonts w:hint="eastAsia" w:ascii="宋体" w:hAnsi="宋体" w:eastAsia="宋体" w:cs="Times New Roman"/>
          <w:sz w:val="24"/>
          <w:szCs w:val="24"/>
        </w:rPr>
        <w:t>4.1  仪器设备运抵安装现场后，买方将与卖方共同开箱验收, 如卖方届时不派人来, 则验收结果应以买方的验收报告为最终验收结果。验收时发现短缺、破损, 买方有权要求卖方负责更换。</w:t>
      </w:r>
    </w:p>
    <w:p w14:paraId="0B1ECEA6">
      <w:pPr>
        <w:spacing w:line="360" w:lineRule="auto"/>
        <w:ind w:left="554" w:hanging="554" w:hangingChars="231"/>
        <w:rPr>
          <w:rFonts w:hint="eastAsia" w:ascii="宋体" w:hAnsi="宋体" w:eastAsia="宋体" w:cs="Times New Roman"/>
          <w:sz w:val="24"/>
          <w:szCs w:val="24"/>
        </w:rPr>
      </w:pPr>
      <w:r>
        <w:rPr>
          <w:rFonts w:hint="eastAsia" w:ascii="宋体" w:hAnsi="宋体" w:eastAsia="宋体" w:cs="Times New Roman"/>
          <w:sz w:val="24"/>
          <w:szCs w:val="24"/>
        </w:rPr>
        <w:t xml:space="preserve">4.2  </w:t>
      </w:r>
      <w:r>
        <w:rPr>
          <w:rFonts w:hint="eastAsia" w:ascii="Times New Roman" w:hAnsi="Times New Roman" w:eastAsia="宋体" w:cs="Times New Roman"/>
          <w:sz w:val="24"/>
          <w:szCs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37EA6DE7">
      <w:pPr>
        <w:spacing w:line="360" w:lineRule="auto"/>
        <w:ind w:left="554" w:hanging="554" w:hangingChars="231"/>
        <w:rPr>
          <w:rFonts w:hint="eastAsia" w:ascii="宋体" w:hAnsi="宋体" w:eastAsia="宋体" w:cs="Times New Roman"/>
          <w:sz w:val="24"/>
          <w:szCs w:val="24"/>
        </w:rPr>
      </w:pPr>
      <w:r>
        <w:rPr>
          <w:rFonts w:hint="eastAsia" w:ascii="宋体" w:hAnsi="宋体" w:eastAsia="宋体" w:cs="Times New Roman"/>
          <w:sz w:val="24"/>
          <w:szCs w:val="24"/>
        </w:rPr>
        <w:t>4.3  验收由采购人、中标人及相关人员依国家有关标准、合同及有关附件要求进行，验收完毕由采购人及中标人在验收报告上签名。</w:t>
      </w:r>
    </w:p>
    <w:p w14:paraId="37870837">
      <w:pPr>
        <w:spacing w:line="360" w:lineRule="auto"/>
        <w:ind w:left="410" w:hanging="410" w:hangingChars="170"/>
        <w:rPr>
          <w:rFonts w:hint="eastAsia" w:ascii="宋体" w:hAnsi="宋体" w:eastAsia="宋体" w:cs="Times New Roman"/>
          <w:b/>
          <w:sz w:val="24"/>
          <w:szCs w:val="24"/>
        </w:rPr>
      </w:pPr>
    </w:p>
    <w:p w14:paraId="525302E4">
      <w:pPr>
        <w:spacing w:line="360" w:lineRule="auto"/>
        <w:ind w:left="410" w:hanging="410" w:hangingChars="170"/>
        <w:rPr>
          <w:rFonts w:hint="eastAsia" w:ascii="宋体" w:hAnsi="宋体" w:eastAsia="宋体" w:cs="Times New Roman"/>
          <w:b/>
          <w:sz w:val="24"/>
          <w:szCs w:val="24"/>
        </w:rPr>
      </w:pPr>
      <w:r>
        <w:rPr>
          <w:rFonts w:hint="eastAsia" w:ascii="宋体" w:hAnsi="宋体" w:eastAsia="宋体" w:cs="Times New Roman"/>
          <w:b/>
          <w:sz w:val="24"/>
          <w:szCs w:val="24"/>
        </w:rPr>
        <w:t>5、本技术规格书中标注“*”号的为实质性要求，不满足其投标将被拒绝。</w:t>
      </w:r>
    </w:p>
    <w:p w14:paraId="55A2C7A8">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6、如在具体技术规格中有本总则不一致之处，以具体技术规格中的要求为准。</w:t>
      </w:r>
    </w:p>
    <w:p w14:paraId="60D26846">
      <w:pPr>
        <w:spacing w:after="156" w:afterLines="50"/>
        <w:ind w:left="601" w:hanging="601"/>
        <w:rPr>
          <w:rFonts w:hint="eastAsia" w:ascii="宋体" w:hAnsi="宋体" w:eastAsia="宋体" w:cs="Times New Roman"/>
          <w:b/>
          <w:sz w:val="28"/>
          <w:szCs w:val="24"/>
        </w:rPr>
      </w:pPr>
      <w:r>
        <w:rPr>
          <w:rFonts w:hint="eastAsia" w:ascii="宋体" w:hAnsi="宋体" w:eastAsia="宋体" w:cs="Times New Roman"/>
          <w:b/>
          <w:sz w:val="28"/>
          <w:szCs w:val="24"/>
        </w:rPr>
        <w:t>三、具体技术规格</w:t>
      </w:r>
    </w:p>
    <w:p w14:paraId="02F72305">
      <w:pPr>
        <w:rPr>
          <w:rFonts w:hint="eastAsia" w:ascii="Times New Roman" w:hAnsi="Times New Roman" w:eastAsia="宋体" w:cs="Times New Roman"/>
          <w:sz w:val="24"/>
          <w:szCs w:val="24"/>
        </w:rPr>
      </w:pPr>
    </w:p>
    <w:p w14:paraId="5E072545">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第</w:t>
      </w:r>
      <w:r>
        <w:rPr>
          <w:rFonts w:ascii="Times New Roman" w:hAnsi="Times New Roman" w:eastAsia="宋体" w:cs="Times New Roman"/>
          <w:b/>
          <w:sz w:val="24"/>
          <w:szCs w:val="24"/>
        </w:rPr>
        <w:t>1</w:t>
      </w:r>
      <w:r>
        <w:rPr>
          <w:rFonts w:hint="eastAsia" w:ascii="Times New Roman" w:hAnsi="Times New Roman" w:eastAsia="宋体" w:cs="Times New Roman"/>
          <w:b/>
          <w:sz w:val="24"/>
          <w:szCs w:val="24"/>
        </w:rPr>
        <w:t>包</w:t>
      </w:r>
      <w:r>
        <w:rPr>
          <w:rFonts w:ascii="Times New Roman" w:hAnsi="Times New Roman" w:eastAsia="宋体" w:cs="Times New Roman"/>
          <w:b/>
          <w:sz w:val="24"/>
          <w:szCs w:val="24"/>
        </w:rPr>
        <w:t xml:space="preserve"> </w:t>
      </w:r>
      <w:r>
        <w:rPr>
          <w:rFonts w:hint="eastAsia" w:ascii="宋体" w:hAnsi="宋体" w:eastAsia="宋体" w:cs="宋体"/>
          <w:b/>
          <w:bCs/>
          <w:kern w:val="0"/>
          <w:sz w:val="24"/>
          <w:szCs w:val="24"/>
        </w:rPr>
        <w:t xml:space="preserve">原子力显微镜 </w:t>
      </w:r>
    </w:p>
    <w:p w14:paraId="532DB996">
      <w:pPr>
        <w:rPr>
          <w:rFonts w:ascii="Times New Roman" w:hAnsi="Times New Roman" w:eastAsia="宋体" w:cs="Times New Roman"/>
          <w:b/>
          <w:sz w:val="24"/>
          <w:szCs w:val="24"/>
        </w:rPr>
      </w:pPr>
    </w:p>
    <w:p w14:paraId="1C358117">
      <w:pPr>
        <w:rPr>
          <w:rFonts w:ascii="Times New Roman" w:hAnsi="Times New Roman" w:eastAsia="宋体" w:cs="Times New Roman"/>
          <w:b/>
          <w:sz w:val="24"/>
          <w:szCs w:val="24"/>
        </w:rPr>
      </w:pPr>
    </w:p>
    <w:p w14:paraId="4BA621C7">
      <w:pPr>
        <w:numPr>
          <w:ilvl w:val="0"/>
          <w:numId w:val="1"/>
        </w:numPr>
        <w:rPr>
          <w:rFonts w:ascii="Times New Roman" w:hAnsi="Times New Roman" w:eastAsia="宋体" w:cs="Times New Roman"/>
          <w:b/>
          <w:sz w:val="24"/>
          <w:szCs w:val="24"/>
        </w:rPr>
      </w:pPr>
      <w:r>
        <w:rPr>
          <w:rFonts w:hint="eastAsia" w:ascii="Times New Roman" w:hAnsi="Times New Roman" w:eastAsia="宋体" w:cs="Times New Roman"/>
          <w:b/>
          <w:sz w:val="24"/>
          <w:szCs w:val="24"/>
        </w:rPr>
        <w:t>技术要求：</w:t>
      </w:r>
    </w:p>
    <w:p w14:paraId="3F6AA1A4">
      <w:pPr>
        <w:rPr>
          <w:rFonts w:ascii="Times New Roman" w:hAnsi="Times New Roman" w:eastAsia="宋体" w:cs="Times New Roman"/>
          <w:b/>
          <w:sz w:val="24"/>
          <w:szCs w:val="24"/>
        </w:rPr>
      </w:pPr>
    </w:p>
    <w:p w14:paraId="78C7DBF4">
      <w:pPr>
        <w:numPr>
          <w:ilvl w:val="0"/>
          <w:numId w:val="2"/>
        </w:num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工作条件：</w:t>
      </w:r>
    </w:p>
    <w:p w14:paraId="264E1581">
      <w:pPr>
        <w:numPr>
          <w:ilvl w:val="1"/>
          <w:numId w:val="3"/>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环境温度：</w:t>
      </w:r>
      <w:r>
        <w:rPr>
          <w:rFonts w:ascii="Times New Roman" w:hAnsi="Times New Roman" w:eastAsia="宋体" w:cs="Times New Roman"/>
          <w:sz w:val="24"/>
          <w:szCs w:val="24"/>
        </w:rPr>
        <w:t>15</w:t>
      </w:r>
      <w:r>
        <w:rPr>
          <w:rFonts w:hint="eastAsia" w:ascii="Times New Roman" w:hAnsi="Times New Roman" w:eastAsia="宋体" w:cs="Times New Roman"/>
          <w:sz w:val="24"/>
          <w:szCs w:val="24"/>
        </w:rPr>
        <w:t>℃～＋</w:t>
      </w:r>
      <w:r>
        <w:rPr>
          <w:rFonts w:ascii="Times New Roman" w:hAnsi="Times New Roman" w:eastAsia="宋体" w:cs="Times New Roman"/>
          <w:sz w:val="24"/>
          <w:szCs w:val="24"/>
        </w:rPr>
        <w:t>30</w:t>
      </w:r>
      <w:r>
        <w:rPr>
          <w:rFonts w:hint="eastAsia" w:ascii="Times New Roman" w:hAnsi="Times New Roman" w:eastAsia="宋体" w:cs="Times New Roman"/>
          <w:sz w:val="24"/>
          <w:szCs w:val="24"/>
        </w:rPr>
        <w:t>℃</w:t>
      </w:r>
    </w:p>
    <w:p w14:paraId="1C9BC511">
      <w:pPr>
        <w:numPr>
          <w:ilvl w:val="1"/>
          <w:numId w:val="3"/>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环境湿度：低于</w:t>
      </w:r>
      <w:r>
        <w:rPr>
          <w:rFonts w:ascii="Times New Roman" w:hAnsi="Times New Roman" w:eastAsia="宋体" w:cs="Times New Roman"/>
          <w:sz w:val="24"/>
          <w:szCs w:val="24"/>
        </w:rPr>
        <w:t>60%</w:t>
      </w:r>
    </w:p>
    <w:p w14:paraId="1EE3D06E">
      <w:pPr>
        <w:numPr>
          <w:ilvl w:val="1"/>
          <w:numId w:val="3"/>
        </w:num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电源条件：</w:t>
      </w:r>
      <w:r>
        <w:rPr>
          <w:rFonts w:ascii="Times New Roman" w:hAnsi="Times New Roman" w:eastAsia="宋体" w:cs="Times New Roman"/>
          <w:sz w:val="24"/>
          <w:szCs w:val="24"/>
        </w:rPr>
        <w:t>220V</w:t>
      </w:r>
      <w:r>
        <w:rPr>
          <w:rFonts w:hint="eastAsia" w:ascii="Times New Roman" w:hAnsi="Times New Roman" w:eastAsia="宋体" w:cs="Times New Roman"/>
          <w:sz w:val="24"/>
          <w:szCs w:val="24"/>
        </w:rPr>
        <w:t>（</w:t>
      </w:r>
      <w:r>
        <w:rPr>
          <w:rFonts w:ascii="Times New Roman" w:hAnsi="Times New Roman" w:eastAsia="宋体" w:cs="Times New Roman"/>
          <w:sz w:val="24"/>
          <w:szCs w:val="24"/>
        </w:rPr>
        <w:sym w:font="Symbol" w:char="F0B1"/>
      </w:r>
      <w:r>
        <w:rPr>
          <w:rFonts w:ascii="Times New Roman" w:hAnsi="Times New Roman" w:eastAsia="宋体" w:cs="Times New Roman"/>
          <w:sz w:val="24"/>
          <w:szCs w:val="24"/>
        </w:rPr>
        <w:t>10</w:t>
      </w:r>
      <w:r>
        <w:rPr>
          <w:rFonts w:hint="eastAsia" w:ascii="Times New Roman" w:hAnsi="Times New Roman" w:eastAsia="宋体" w:cs="Times New Roman"/>
          <w:sz w:val="24"/>
          <w:szCs w:val="24"/>
        </w:rPr>
        <w:t>％）</w:t>
      </w:r>
      <w:r>
        <w:rPr>
          <w:rFonts w:ascii="Times New Roman" w:hAnsi="Times New Roman" w:eastAsia="宋体" w:cs="Times New Roman"/>
          <w:sz w:val="24"/>
          <w:szCs w:val="24"/>
        </w:rPr>
        <w:t>/50Hz</w:t>
      </w:r>
    </w:p>
    <w:p w14:paraId="24BFC8BB">
      <w:pPr>
        <w:spacing w:line="360" w:lineRule="auto"/>
        <w:ind w:left="435" w:firstLine="240"/>
        <w:rPr>
          <w:rFonts w:ascii="Times New Roman" w:hAnsi="Times New Roman" w:eastAsia="宋体" w:cs="Times New Roman"/>
          <w:sz w:val="24"/>
          <w:szCs w:val="24"/>
        </w:rPr>
      </w:pPr>
    </w:p>
    <w:p w14:paraId="6C846D52">
      <w:pPr>
        <w:numPr>
          <w:ilvl w:val="0"/>
          <w:numId w:val="2"/>
        </w:num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设备用途：</w:t>
      </w:r>
    </w:p>
    <w:p w14:paraId="2F62D641">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主要用于分子铁电晶体、薄膜器件在纳米尺度上的高分辨形貌结构表征和高灵敏度的压电响应测试研究；还能用于高分子材料、聚合物薄膜材料的纳米力学性能测试。</w:t>
      </w:r>
    </w:p>
    <w:p w14:paraId="7DC25201">
      <w:pPr>
        <w:spacing w:line="360" w:lineRule="auto"/>
        <w:rPr>
          <w:rFonts w:ascii="Times New Roman" w:hAnsi="Times New Roman" w:eastAsia="宋体" w:cs="Times New Roman"/>
          <w:sz w:val="24"/>
          <w:szCs w:val="24"/>
        </w:rPr>
      </w:pPr>
    </w:p>
    <w:p w14:paraId="22D0DAC3">
      <w:pPr>
        <w:numPr>
          <w:ilvl w:val="0"/>
          <w:numId w:val="2"/>
        </w:num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技术规格：</w:t>
      </w:r>
    </w:p>
    <w:p w14:paraId="416541F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 </w:t>
      </w:r>
      <w:r>
        <w:rPr>
          <w:rFonts w:hint="eastAsia" w:ascii="Times New Roman" w:hAnsi="Times New Roman" w:eastAsia="宋体" w:cs="Times New Roman"/>
          <w:sz w:val="24"/>
          <w:szCs w:val="24"/>
        </w:rPr>
        <w:t>工作模式：</w:t>
      </w:r>
    </w:p>
    <w:p w14:paraId="64A11D89">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3.1.1</w:t>
      </w:r>
      <w:r>
        <w:rPr>
          <w:rFonts w:hint="eastAsia" w:ascii="Times New Roman" w:hAnsi="Times New Roman" w:eastAsia="宋体" w:cs="Times New Roman"/>
          <w:sz w:val="24"/>
          <w:szCs w:val="24"/>
        </w:rPr>
        <w:t>轻敲模式</w:t>
      </w:r>
    </w:p>
    <w:p w14:paraId="13F70B6E">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3.1.2</w:t>
      </w:r>
      <w:r>
        <w:rPr>
          <w:rFonts w:hint="eastAsia" w:ascii="Times New Roman" w:hAnsi="Times New Roman" w:eastAsia="宋体" w:cs="Times New Roman"/>
          <w:sz w:val="24"/>
          <w:szCs w:val="24"/>
        </w:rPr>
        <w:t>接触模式</w:t>
      </w:r>
    </w:p>
    <w:p w14:paraId="077E3BB4">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3.1.3</w:t>
      </w:r>
      <w:r>
        <w:rPr>
          <w:rFonts w:hint="eastAsia" w:ascii="Times New Roman" w:hAnsi="Times New Roman" w:eastAsia="宋体" w:cs="Times New Roman"/>
          <w:sz w:val="24"/>
          <w:szCs w:val="24"/>
        </w:rPr>
        <w:t>相位成像模式</w:t>
      </w:r>
    </w:p>
    <w:p w14:paraId="10C51979">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3.1.4</w:t>
      </w:r>
      <w:r>
        <w:rPr>
          <w:rFonts w:hint="eastAsia" w:ascii="Times New Roman" w:hAnsi="Times New Roman" w:eastAsia="宋体" w:cs="Times New Roman"/>
          <w:sz w:val="24"/>
          <w:szCs w:val="24"/>
        </w:rPr>
        <w:t>横向力模式</w:t>
      </w:r>
    </w:p>
    <w:p w14:paraId="746EE975">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3.1.5</w:t>
      </w:r>
      <w:r>
        <w:rPr>
          <w:rFonts w:hint="eastAsia" w:ascii="Times New Roman" w:hAnsi="Times New Roman" w:eastAsia="宋体" w:cs="Times New Roman"/>
          <w:sz w:val="24"/>
          <w:szCs w:val="24"/>
        </w:rPr>
        <w:t>磁场力显微镜</w:t>
      </w:r>
    </w:p>
    <w:p w14:paraId="5DFF17AD">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3.1.6</w:t>
      </w:r>
      <w:r>
        <w:rPr>
          <w:rFonts w:hint="eastAsia" w:ascii="Times New Roman" w:hAnsi="Times New Roman" w:eastAsia="宋体" w:cs="Times New Roman"/>
          <w:sz w:val="24"/>
          <w:szCs w:val="24"/>
        </w:rPr>
        <w:t>压电力显微镜</w:t>
      </w:r>
    </w:p>
    <w:p w14:paraId="1E3C3086">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3.1.7</w:t>
      </w:r>
      <w:r>
        <w:rPr>
          <w:rFonts w:hint="eastAsia" w:ascii="Times New Roman" w:hAnsi="Times New Roman" w:eastAsia="宋体" w:cs="Times New Roman"/>
          <w:sz w:val="24"/>
          <w:szCs w:val="24"/>
        </w:rPr>
        <w:t>极化翻转谱压电力显微镜</w:t>
      </w:r>
    </w:p>
    <w:p w14:paraId="061E5502">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3.1.8</w:t>
      </w:r>
      <w:r>
        <w:rPr>
          <w:rFonts w:hint="eastAsia" w:ascii="Times New Roman" w:hAnsi="Times New Roman" w:eastAsia="宋体" w:cs="Times New Roman"/>
          <w:sz w:val="24"/>
          <w:szCs w:val="24"/>
        </w:rPr>
        <w:t>静电力显微镜</w:t>
      </w:r>
    </w:p>
    <w:p w14:paraId="54AFD669">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3.1.9</w:t>
      </w:r>
      <w:r>
        <w:rPr>
          <w:rFonts w:hint="eastAsia" w:ascii="Times New Roman" w:hAnsi="Times New Roman" w:eastAsia="宋体" w:cs="Times New Roman"/>
          <w:sz w:val="24"/>
          <w:szCs w:val="24"/>
        </w:rPr>
        <w:t>表面电势显微镜</w:t>
      </w:r>
    </w:p>
    <w:p w14:paraId="78C16C2F">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3.1.10</w:t>
      </w:r>
      <w:r>
        <w:rPr>
          <w:rFonts w:hint="eastAsia" w:ascii="Times New Roman" w:hAnsi="Times New Roman" w:eastAsia="宋体" w:cs="Times New Roman"/>
          <w:sz w:val="24"/>
          <w:szCs w:val="24"/>
        </w:rPr>
        <w:t>力曲线</w:t>
      </w:r>
    </w:p>
    <w:p w14:paraId="2F603273">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3.1.11</w:t>
      </w:r>
      <w:r>
        <w:rPr>
          <w:rFonts w:hint="eastAsia" w:ascii="Times New Roman" w:hAnsi="Times New Roman" w:eastAsia="宋体" w:cs="Times New Roman"/>
          <w:sz w:val="24"/>
          <w:szCs w:val="24"/>
        </w:rPr>
        <w:t>高次谐波成像</w:t>
      </w:r>
    </w:p>
    <w:p w14:paraId="187C247F">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*3.1.12</w:t>
      </w:r>
      <w:r>
        <w:rPr>
          <w:rFonts w:hint="eastAsia" w:ascii="Times New Roman" w:hAnsi="Times New Roman" w:eastAsia="宋体" w:cs="Times New Roman"/>
          <w:sz w:val="24"/>
          <w:szCs w:val="24"/>
        </w:rPr>
        <w:t>双频共振追踪压电力显微镜模式</w:t>
      </w:r>
    </w:p>
    <w:p w14:paraId="6D90D0E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3.2 </w:t>
      </w:r>
      <w:r>
        <w:rPr>
          <w:rFonts w:hint="eastAsia" w:ascii="Times New Roman" w:hAnsi="Times New Roman" w:eastAsia="宋体" w:cs="Times New Roman"/>
          <w:sz w:val="24"/>
          <w:szCs w:val="24"/>
        </w:rPr>
        <w:t>扫描器：</w:t>
      </w:r>
    </w:p>
    <w:p w14:paraId="67AA6982">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#3.2.1 </w:t>
      </w:r>
      <w:r>
        <w:rPr>
          <w:rFonts w:hint="eastAsia" w:ascii="Times New Roman" w:hAnsi="Times New Roman" w:eastAsia="宋体" w:cs="Times New Roman"/>
          <w:sz w:val="24"/>
          <w:szCs w:val="24"/>
        </w:rPr>
        <w:t>扫描器须是</w:t>
      </w:r>
      <w:r>
        <w:rPr>
          <w:rFonts w:ascii="Times New Roman" w:hAnsi="Times New Roman" w:eastAsia="宋体" w:cs="Times New Roman"/>
          <w:sz w:val="24"/>
          <w:szCs w:val="24"/>
        </w:rPr>
        <w:t>X,Y,Z</w:t>
      </w:r>
      <w:r>
        <w:rPr>
          <w:rFonts w:hint="eastAsia" w:ascii="Times New Roman" w:hAnsi="Times New Roman" w:eastAsia="宋体" w:cs="Times New Roman"/>
          <w:sz w:val="24"/>
          <w:szCs w:val="24"/>
        </w:rPr>
        <w:t>三轴分离的扫描器，</w:t>
      </w:r>
      <w:r>
        <w:rPr>
          <w:rFonts w:ascii="Times New Roman" w:hAnsi="Times New Roman" w:eastAsia="宋体" w:cs="Times New Roman"/>
          <w:sz w:val="24"/>
          <w:szCs w:val="24"/>
        </w:rPr>
        <w:t>X,Y, Z</w:t>
      </w:r>
      <w:r>
        <w:rPr>
          <w:rFonts w:hint="eastAsia" w:ascii="Times New Roman" w:hAnsi="Times New Roman" w:eastAsia="宋体" w:cs="Times New Roman"/>
          <w:sz w:val="24"/>
          <w:szCs w:val="24"/>
        </w:rPr>
        <w:t>三个驱动轴须是严格正交</w:t>
      </w:r>
    </w:p>
    <w:p w14:paraId="0F9E805D">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*3.2.2 </w:t>
      </w:r>
      <w:r>
        <w:rPr>
          <w:rFonts w:hint="eastAsia" w:ascii="Times New Roman" w:hAnsi="Times New Roman" w:eastAsia="宋体" w:cs="Times New Roman"/>
          <w:sz w:val="24"/>
          <w:szCs w:val="24"/>
        </w:rPr>
        <w:t>无需更换扫描器，同一扫描器即可实现：</w:t>
      </w:r>
      <w:r>
        <w:rPr>
          <w:rFonts w:ascii="Times New Roman" w:hAnsi="Times New Roman" w:eastAsia="宋体" w:cs="Times New Roman"/>
          <w:sz w:val="24"/>
          <w:szCs w:val="24"/>
        </w:rPr>
        <w:t>X,Y</w:t>
      </w:r>
      <w:r>
        <w:rPr>
          <w:rFonts w:hint="eastAsia" w:ascii="Times New Roman" w:hAnsi="Times New Roman" w:eastAsia="宋体" w:cs="Times New Roman"/>
          <w:sz w:val="24"/>
          <w:szCs w:val="24"/>
        </w:rPr>
        <w:t>方向的扫描范围不低于</w:t>
      </w:r>
      <w:r>
        <w:rPr>
          <w:rFonts w:ascii="Times New Roman" w:hAnsi="Times New Roman" w:eastAsia="宋体" w:cs="Times New Roman"/>
          <w:sz w:val="24"/>
          <w:szCs w:val="24"/>
        </w:rPr>
        <w:t>120</w:t>
      </w:r>
      <w:r>
        <w:rPr>
          <w:rFonts w:hint="eastAsia" w:ascii="Times New Roman" w:hAnsi="Times New Roman" w:eastAsia="宋体" w:cs="Times New Roman"/>
          <w:sz w:val="24"/>
          <w:szCs w:val="24"/>
        </w:rPr>
        <w:t>μ</w:t>
      </w:r>
      <w:r>
        <w:rPr>
          <w:rFonts w:ascii="Times New Roman" w:hAnsi="Times New Roman" w:eastAsia="宋体" w:cs="Times New Roman"/>
          <w:sz w:val="24"/>
          <w:szCs w:val="24"/>
        </w:rPr>
        <w:t>m</w:t>
      </w:r>
      <w:r>
        <w:rPr>
          <w:rFonts w:hint="eastAsia" w:ascii="Times New Roman" w:hAnsi="Times New Roman" w:eastAsia="宋体" w:cs="Times New Roman"/>
          <w:sz w:val="24"/>
          <w:szCs w:val="24"/>
        </w:rPr>
        <w:t>，</w:t>
      </w:r>
      <w:r>
        <w:rPr>
          <w:rFonts w:ascii="Times New Roman" w:hAnsi="Times New Roman" w:eastAsia="宋体" w:cs="Times New Roman"/>
          <w:sz w:val="24"/>
          <w:szCs w:val="24"/>
        </w:rPr>
        <w:t>Z</w:t>
      </w:r>
      <w:r>
        <w:rPr>
          <w:rFonts w:hint="eastAsia" w:ascii="Times New Roman" w:hAnsi="Times New Roman" w:eastAsia="宋体" w:cs="Times New Roman"/>
          <w:sz w:val="24"/>
          <w:szCs w:val="24"/>
        </w:rPr>
        <w:t>方向不低于</w:t>
      </w:r>
      <w:r>
        <w:rPr>
          <w:rFonts w:ascii="Times New Roman" w:hAnsi="Times New Roman" w:eastAsia="宋体" w:cs="Times New Roman"/>
          <w:sz w:val="24"/>
          <w:szCs w:val="24"/>
        </w:rPr>
        <w:t>15</w:t>
      </w:r>
      <w:r>
        <w:rPr>
          <w:rFonts w:hint="eastAsia" w:ascii="Times New Roman" w:hAnsi="Times New Roman" w:eastAsia="宋体" w:cs="Times New Roman"/>
          <w:sz w:val="24"/>
          <w:szCs w:val="24"/>
        </w:rPr>
        <w:t>μ</w:t>
      </w:r>
      <w:r>
        <w:rPr>
          <w:rFonts w:ascii="Times New Roman" w:hAnsi="Times New Roman" w:eastAsia="宋体" w:cs="Times New Roman"/>
          <w:sz w:val="24"/>
          <w:szCs w:val="24"/>
        </w:rPr>
        <w:t>m</w:t>
      </w:r>
    </w:p>
    <w:p w14:paraId="4EAF24FC">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3.2.3 </w:t>
      </w:r>
      <w:r>
        <w:rPr>
          <w:rFonts w:hint="eastAsia" w:ascii="Times New Roman" w:hAnsi="Times New Roman" w:eastAsia="宋体" w:cs="Times New Roman"/>
          <w:sz w:val="24"/>
          <w:szCs w:val="24"/>
        </w:rPr>
        <w:t>系统高度噪音</w:t>
      </w:r>
      <w:r>
        <w:rPr>
          <w:rFonts w:ascii="Times New Roman" w:hAnsi="Times New Roman" w:eastAsia="宋体" w:cs="Times New Roman"/>
          <w:sz w:val="24"/>
          <w:szCs w:val="24"/>
        </w:rPr>
        <w:t>(</w:t>
      </w:r>
      <w:r>
        <w:rPr>
          <w:rFonts w:hint="eastAsia" w:ascii="Times New Roman" w:hAnsi="Times New Roman" w:eastAsia="宋体" w:cs="Times New Roman"/>
          <w:sz w:val="24"/>
          <w:szCs w:val="24"/>
        </w:rPr>
        <w:t>探针接触样品表面</w:t>
      </w:r>
      <w:r>
        <w:rPr>
          <w:rFonts w:ascii="Times New Roman" w:hAnsi="Times New Roman" w:eastAsia="宋体" w:cs="Times New Roman"/>
          <w:sz w:val="24"/>
          <w:szCs w:val="24"/>
        </w:rPr>
        <w:t>)</w:t>
      </w:r>
      <w:r>
        <w:rPr>
          <w:rFonts w:hint="eastAsia" w:ascii="Times New Roman" w:hAnsi="Times New Roman" w:eastAsia="宋体" w:cs="Times New Roman"/>
          <w:sz w:val="24"/>
          <w:szCs w:val="24"/>
        </w:rPr>
        <w:t>≤</w:t>
      </w:r>
      <w:r>
        <w:rPr>
          <w:rFonts w:ascii="Times New Roman" w:hAnsi="Times New Roman" w:eastAsia="宋体" w:cs="Times New Roman"/>
          <w:sz w:val="24"/>
          <w:szCs w:val="24"/>
        </w:rPr>
        <w:t>50pm</w:t>
      </w:r>
      <w:r>
        <w:rPr>
          <w:rFonts w:hint="eastAsia" w:ascii="Times New Roman" w:hAnsi="Times New Roman" w:eastAsia="宋体" w:cs="Times New Roman"/>
          <w:sz w:val="24"/>
          <w:szCs w:val="24"/>
        </w:rPr>
        <w:t>（平均偏差，</w:t>
      </w:r>
      <w:r>
        <w:rPr>
          <w:rFonts w:ascii="Times New Roman" w:hAnsi="Times New Roman" w:eastAsia="宋体" w:cs="Times New Roman"/>
          <w:sz w:val="24"/>
          <w:szCs w:val="24"/>
        </w:rPr>
        <w:t>1Hz</w:t>
      </w:r>
      <w:r>
        <w:rPr>
          <w:rFonts w:hint="eastAsia" w:ascii="Times New Roman" w:hAnsi="Times New Roman" w:eastAsia="宋体" w:cs="Times New Roman"/>
          <w:sz w:val="24"/>
          <w:szCs w:val="24"/>
        </w:rPr>
        <w:t>到</w:t>
      </w:r>
      <w:r>
        <w:rPr>
          <w:rFonts w:ascii="Times New Roman" w:hAnsi="Times New Roman" w:eastAsia="宋体" w:cs="Times New Roman"/>
          <w:sz w:val="24"/>
          <w:szCs w:val="24"/>
        </w:rPr>
        <w:t>1KHz</w:t>
      </w:r>
      <w:r>
        <w:rPr>
          <w:rFonts w:hint="eastAsia" w:ascii="Times New Roman" w:hAnsi="Times New Roman" w:eastAsia="宋体" w:cs="Times New Roman"/>
          <w:sz w:val="24"/>
          <w:szCs w:val="24"/>
        </w:rPr>
        <w:t>带宽）；</w:t>
      </w:r>
    </w:p>
    <w:p w14:paraId="302AB00A">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3.2.4 </w:t>
      </w:r>
      <w:r>
        <w:rPr>
          <w:rFonts w:hint="eastAsia" w:ascii="Times New Roman" w:hAnsi="Times New Roman" w:eastAsia="宋体" w:cs="Times New Roman"/>
          <w:sz w:val="24"/>
          <w:szCs w:val="24"/>
        </w:rPr>
        <w:t>系统光学噪音</w:t>
      </w:r>
      <w:r>
        <w:rPr>
          <w:rFonts w:ascii="Times New Roman" w:hAnsi="Times New Roman" w:eastAsia="宋体" w:cs="Times New Roman"/>
          <w:sz w:val="24"/>
          <w:szCs w:val="24"/>
        </w:rPr>
        <w:t>(</w:t>
      </w:r>
      <w:r>
        <w:rPr>
          <w:rFonts w:hint="eastAsia" w:ascii="Times New Roman" w:hAnsi="Times New Roman" w:eastAsia="宋体" w:cs="Times New Roman"/>
          <w:sz w:val="24"/>
          <w:szCs w:val="24"/>
        </w:rPr>
        <w:t>探针未接触样品表面</w:t>
      </w:r>
      <w:r>
        <w:rPr>
          <w:rFonts w:ascii="Times New Roman" w:hAnsi="Times New Roman" w:eastAsia="宋体" w:cs="Times New Roman"/>
          <w:sz w:val="24"/>
          <w:szCs w:val="24"/>
        </w:rPr>
        <w:t>)</w:t>
      </w:r>
      <w:r>
        <w:rPr>
          <w:rFonts w:hint="eastAsia" w:ascii="Times New Roman" w:hAnsi="Times New Roman" w:eastAsia="宋体" w:cs="Times New Roman"/>
          <w:sz w:val="24"/>
          <w:szCs w:val="24"/>
        </w:rPr>
        <w:t>≤</w:t>
      </w:r>
      <w:r>
        <w:rPr>
          <w:rFonts w:ascii="Times New Roman" w:hAnsi="Times New Roman" w:eastAsia="宋体" w:cs="Times New Roman"/>
          <w:sz w:val="24"/>
          <w:szCs w:val="24"/>
        </w:rPr>
        <w:t>15pm</w:t>
      </w:r>
    </w:p>
    <w:p w14:paraId="70B036F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3.3 </w:t>
      </w:r>
      <w:r>
        <w:rPr>
          <w:rFonts w:hint="eastAsia" w:ascii="Times New Roman" w:hAnsi="Times New Roman" w:eastAsia="宋体" w:cs="Times New Roman"/>
          <w:sz w:val="24"/>
          <w:szCs w:val="24"/>
        </w:rPr>
        <w:t>全数字化控制器</w:t>
      </w:r>
      <w:r>
        <w:rPr>
          <w:rFonts w:ascii="Times New Roman" w:hAnsi="Times New Roman" w:eastAsia="宋体" w:cs="Times New Roman"/>
          <w:sz w:val="24"/>
          <w:szCs w:val="24"/>
        </w:rPr>
        <w:t>:</w:t>
      </w:r>
      <w:r>
        <w:rPr>
          <w:rFonts w:hint="eastAsia" w:ascii="Times New Roman" w:hAnsi="Times New Roman" w:eastAsia="宋体" w:cs="Times New Roman"/>
          <w:sz w:val="24"/>
          <w:szCs w:val="24"/>
        </w:rPr>
        <w:t>开放的</w:t>
      </w:r>
      <w:r>
        <w:rPr>
          <w:rFonts w:ascii="Times New Roman" w:hAnsi="Times New Roman" w:eastAsia="宋体" w:cs="Times New Roman"/>
          <w:sz w:val="24"/>
          <w:szCs w:val="24"/>
        </w:rPr>
        <w:t>BNC</w:t>
      </w:r>
      <w:r>
        <w:rPr>
          <w:rFonts w:hint="eastAsia" w:ascii="Times New Roman" w:hAnsi="Times New Roman" w:eastAsia="宋体" w:cs="Times New Roman"/>
          <w:sz w:val="24"/>
          <w:szCs w:val="24"/>
        </w:rPr>
        <w:t>信号接口，用户可通过开放接口提取或控制系统，可与其他设备信号交换。</w:t>
      </w:r>
    </w:p>
    <w:p w14:paraId="33397893">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3.4 </w:t>
      </w:r>
      <w:r>
        <w:rPr>
          <w:rFonts w:hint="eastAsia" w:ascii="Times New Roman" w:hAnsi="Times New Roman" w:eastAsia="宋体" w:cs="Times New Roman"/>
          <w:sz w:val="24"/>
          <w:szCs w:val="24"/>
        </w:rPr>
        <w:t>操作软件：</w:t>
      </w:r>
    </w:p>
    <w:p w14:paraId="3ED366F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*3.4.1 </w:t>
      </w:r>
      <w:r>
        <w:rPr>
          <w:rFonts w:hint="eastAsia" w:ascii="Times New Roman" w:hAnsi="Times New Roman" w:eastAsia="宋体" w:cs="Times New Roman"/>
          <w:sz w:val="24"/>
          <w:szCs w:val="24"/>
        </w:rPr>
        <w:t>操作软件源代码开放，用户可直接在系统操作软件上进行二次开发；原子力显微镜</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内部的信号图全部开放，支持用户对原子力显微镜中的任意信号进行调用。</w:t>
      </w:r>
    </w:p>
    <w:p w14:paraId="4F21B0C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 </w:t>
      </w:r>
      <w:r>
        <w:rPr>
          <w:rFonts w:hint="eastAsia" w:ascii="Times New Roman" w:hAnsi="Times New Roman" w:eastAsia="宋体" w:cs="Times New Roman"/>
          <w:sz w:val="24"/>
          <w:szCs w:val="24"/>
        </w:rPr>
        <w:t>智能编程模式：利用智能编程模式，无需写代码即可实现自动切换扫描中心点的三次扫描。具体过程如下：以标准光栅作为样品，扫描</w:t>
      </w:r>
      <w:r>
        <w:rPr>
          <w:rFonts w:ascii="Times New Roman" w:hAnsi="Times New Roman" w:eastAsia="宋体" w:cs="Times New Roman"/>
          <w:sz w:val="24"/>
          <w:szCs w:val="24"/>
        </w:rPr>
        <w:t>30</w:t>
      </w:r>
      <w:r>
        <w:rPr>
          <w:rFonts w:hint="eastAsia" w:ascii="Times New Roman" w:hAnsi="Times New Roman" w:eastAsia="宋体" w:cs="Times New Roman"/>
          <w:sz w:val="24"/>
          <w:szCs w:val="24"/>
        </w:rPr>
        <w:t>微米的区域。之后扫描微米区域的中心点作为坐标原点，自动实现以（</w:t>
      </w:r>
      <w:r>
        <w:rPr>
          <w:rFonts w:ascii="Times New Roman" w:hAnsi="Times New Roman" w:eastAsia="宋体" w:cs="Times New Roman"/>
          <w:sz w:val="24"/>
          <w:szCs w:val="24"/>
        </w:rPr>
        <w:t>0, 2.5</w:t>
      </w:r>
      <w:r>
        <w:rPr>
          <w:rFonts w:hint="eastAsia" w:ascii="Times New Roman" w:hAnsi="Times New Roman" w:eastAsia="宋体" w:cs="Times New Roman"/>
          <w:sz w:val="24"/>
          <w:szCs w:val="24"/>
        </w:rPr>
        <w:t>μ</w:t>
      </w:r>
      <w:r>
        <w:rPr>
          <w:rFonts w:ascii="Times New Roman" w:hAnsi="Times New Roman" w:eastAsia="宋体" w:cs="Times New Roman"/>
          <w:sz w:val="24"/>
          <w:szCs w:val="24"/>
        </w:rPr>
        <w:t>m</w:t>
      </w:r>
      <w:r>
        <w:rPr>
          <w:rFonts w:hint="eastAsia" w:ascii="Times New Roman" w:hAnsi="Times New Roman" w:eastAsia="宋体" w:cs="Times New Roman"/>
          <w:sz w:val="24"/>
          <w:szCs w:val="24"/>
        </w:rPr>
        <w:t>），（</w:t>
      </w:r>
      <w:r>
        <w:rPr>
          <w:rFonts w:ascii="Times New Roman" w:hAnsi="Times New Roman" w:eastAsia="宋体" w:cs="Times New Roman"/>
          <w:sz w:val="24"/>
          <w:szCs w:val="24"/>
        </w:rPr>
        <w:t>0, 5</w:t>
      </w:r>
      <w:r>
        <w:rPr>
          <w:rFonts w:hint="eastAsia" w:ascii="Times New Roman" w:hAnsi="Times New Roman" w:eastAsia="宋体" w:cs="Times New Roman"/>
          <w:sz w:val="24"/>
          <w:szCs w:val="24"/>
        </w:rPr>
        <w:t>μ</w:t>
      </w:r>
      <w:r>
        <w:rPr>
          <w:rFonts w:ascii="Times New Roman" w:hAnsi="Times New Roman" w:eastAsia="宋体" w:cs="Times New Roman"/>
          <w:sz w:val="24"/>
          <w:szCs w:val="24"/>
        </w:rPr>
        <w:t>m</w:t>
      </w:r>
      <w:r>
        <w:rPr>
          <w:rFonts w:hint="eastAsia" w:ascii="Times New Roman" w:hAnsi="Times New Roman" w:eastAsia="宋体" w:cs="Times New Roman"/>
          <w:sz w:val="24"/>
          <w:szCs w:val="24"/>
        </w:rPr>
        <w:t>）和（</w:t>
      </w:r>
      <w:r>
        <w:rPr>
          <w:rFonts w:ascii="Times New Roman" w:hAnsi="Times New Roman" w:eastAsia="宋体" w:cs="Times New Roman"/>
          <w:sz w:val="24"/>
          <w:szCs w:val="24"/>
        </w:rPr>
        <w:t>0, 7.5</w:t>
      </w:r>
      <w:r>
        <w:rPr>
          <w:rFonts w:hint="eastAsia" w:ascii="Times New Roman" w:hAnsi="Times New Roman" w:eastAsia="宋体" w:cs="Times New Roman"/>
          <w:sz w:val="24"/>
          <w:szCs w:val="24"/>
        </w:rPr>
        <w:t>μ</w:t>
      </w:r>
      <w:r>
        <w:rPr>
          <w:rFonts w:ascii="Times New Roman" w:hAnsi="Times New Roman" w:eastAsia="宋体" w:cs="Times New Roman"/>
          <w:sz w:val="24"/>
          <w:szCs w:val="24"/>
        </w:rPr>
        <w:t>m</w:t>
      </w:r>
      <w:r>
        <w:rPr>
          <w:rFonts w:hint="eastAsia" w:ascii="Times New Roman" w:hAnsi="Times New Roman" w:eastAsia="宋体" w:cs="Times New Roman"/>
          <w:sz w:val="24"/>
          <w:szCs w:val="24"/>
        </w:rPr>
        <w:t>）为扫描区域中心点的</w:t>
      </w:r>
      <w:r>
        <w:rPr>
          <w:rFonts w:ascii="Times New Roman" w:hAnsi="Times New Roman" w:eastAsia="宋体" w:cs="Times New Roman"/>
          <w:sz w:val="24"/>
          <w:szCs w:val="24"/>
        </w:rPr>
        <w:t>5</w:t>
      </w:r>
      <w:r>
        <w:rPr>
          <w:rFonts w:hint="eastAsia" w:ascii="Times New Roman" w:hAnsi="Times New Roman" w:eastAsia="宋体" w:cs="Times New Roman"/>
          <w:sz w:val="24"/>
          <w:szCs w:val="24"/>
        </w:rPr>
        <w:t>μ</w:t>
      </w:r>
      <w:r>
        <w:rPr>
          <w:rFonts w:ascii="Times New Roman" w:hAnsi="Times New Roman" w:eastAsia="宋体" w:cs="Times New Roman"/>
          <w:sz w:val="24"/>
          <w:szCs w:val="24"/>
        </w:rPr>
        <w:t>m</w:t>
      </w:r>
      <w:r>
        <w:rPr>
          <w:rFonts w:hint="eastAsia" w:ascii="Times New Roman" w:hAnsi="Times New Roman" w:eastAsia="宋体" w:cs="Times New Roman"/>
          <w:sz w:val="24"/>
          <w:szCs w:val="24"/>
        </w:rPr>
        <w:t>范围内的扫描。</w:t>
      </w:r>
    </w:p>
    <w:p w14:paraId="5A86973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#3.6 </w:t>
      </w:r>
      <w:r>
        <w:rPr>
          <w:rFonts w:hint="eastAsia" w:ascii="Times New Roman" w:hAnsi="Times New Roman" w:eastAsia="宋体" w:cs="Times New Roman"/>
          <w:sz w:val="24"/>
          <w:szCs w:val="24"/>
        </w:rPr>
        <w:t>智能探针校准：探针不需要接触基底即可直接标定出弹性系数和灵敏度，避免传统方法为标定灵敏度而使探针与基底接触，最大限度的保护探针。</w:t>
      </w:r>
    </w:p>
    <w:p w14:paraId="7864985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 </w:t>
      </w:r>
      <w:r>
        <w:rPr>
          <w:rFonts w:hint="eastAsia" w:ascii="Times New Roman" w:hAnsi="Times New Roman" w:eastAsia="宋体" w:cs="Times New Roman"/>
          <w:sz w:val="24"/>
          <w:szCs w:val="24"/>
        </w:rPr>
        <w:t>高压原子力显微镜</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模块：系统本身能直接输出（无需外接任何锁相放大器）高达</w:t>
      </w:r>
      <w:r>
        <w:rPr>
          <w:rFonts w:ascii="Times New Roman" w:hAnsi="Times New Roman" w:eastAsia="宋体" w:cs="Times New Roman"/>
          <w:sz w:val="24"/>
          <w:szCs w:val="24"/>
        </w:rPr>
        <w:t>220V</w:t>
      </w:r>
      <w:r>
        <w:rPr>
          <w:rFonts w:hint="eastAsia" w:ascii="Times New Roman" w:hAnsi="Times New Roman" w:eastAsia="宋体" w:cs="Times New Roman"/>
          <w:sz w:val="24"/>
          <w:szCs w:val="24"/>
        </w:rPr>
        <w:t>的测试电压，能够在高压模式下实现双频共振追踪原子力显微镜</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模式和极化翻转谱测试。测试电压须能够通过原子力显微镜主机的操作软件直接进行调节；能够保证正常的原子力显微镜成像基础上，在不低于</w:t>
      </w:r>
      <w:r>
        <w:rPr>
          <w:rFonts w:ascii="Times New Roman" w:hAnsi="Times New Roman" w:eastAsia="宋体" w:cs="Times New Roman"/>
          <w:sz w:val="24"/>
          <w:szCs w:val="24"/>
        </w:rPr>
        <w:t>5</w:t>
      </w:r>
      <w:r>
        <w:rPr>
          <w:rFonts w:hint="eastAsia" w:ascii="Times New Roman" w:hAnsi="Times New Roman" w:eastAsia="宋体" w:cs="Times New Roman"/>
          <w:sz w:val="24"/>
          <w:szCs w:val="24"/>
        </w:rPr>
        <w:t>微米扫描范围内，实现不低于</w:t>
      </w:r>
      <w:r>
        <w:rPr>
          <w:rFonts w:ascii="Times New Roman" w:hAnsi="Times New Roman" w:eastAsia="宋体" w:cs="Times New Roman"/>
          <w:sz w:val="24"/>
          <w:szCs w:val="24"/>
        </w:rPr>
        <w:t>30Hz</w:t>
      </w:r>
      <w:r>
        <w:rPr>
          <w:rFonts w:hint="eastAsia" w:ascii="Times New Roman" w:hAnsi="Times New Roman" w:eastAsia="宋体" w:cs="Times New Roman"/>
          <w:sz w:val="24"/>
          <w:szCs w:val="24"/>
        </w:rPr>
        <w:t>扫描速度的原子力显微镜扫描。</w:t>
      </w:r>
    </w:p>
    <w:p w14:paraId="4634F64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#3.8 </w:t>
      </w:r>
      <w:r>
        <w:rPr>
          <w:rFonts w:hint="eastAsia" w:ascii="Times New Roman" w:hAnsi="Times New Roman" w:eastAsia="宋体" w:cs="Times New Roman"/>
          <w:sz w:val="24"/>
          <w:szCs w:val="24"/>
        </w:rPr>
        <w:t>材料高温加热器：可在大气环境下对样品施加室温至</w:t>
      </w:r>
      <w:r>
        <w:rPr>
          <w:rFonts w:ascii="Times New Roman" w:hAnsi="Times New Roman" w:eastAsia="宋体" w:cs="Times New Roman"/>
          <w:sz w:val="24"/>
          <w:szCs w:val="24"/>
        </w:rPr>
        <w:t>300</w:t>
      </w:r>
      <w:r>
        <w:rPr>
          <w:rFonts w:hint="eastAsia" w:ascii="Times New Roman" w:hAnsi="Times New Roman" w:eastAsia="宋体" w:cs="Times New Roman"/>
          <w:sz w:val="24"/>
          <w:szCs w:val="24"/>
        </w:rPr>
        <w:t>℃的温控；能够在样品变温时进行正常的原子力显微镜测试，实现变温下的表面电势和压电响应研究。</w:t>
      </w:r>
    </w:p>
    <w:p w14:paraId="78D8F64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3.9 </w:t>
      </w:r>
      <w:r>
        <w:rPr>
          <w:rFonts w:hint="eastAsia" w:ascii="Times New Roman" w:hAnsi="Times New Roman" w:eastAsia="宋体" w:cs="Times New Roman"/>
          <w:sz w:val="24"/>
          <w:szCs w:val="24"/>
        </w:rPr>
        <w:t>高性能防震隔音系统：提供高性能的防震隔音系统，保证原子力显微镜正常工作</w:t>
      </w:r>
    </w:p>
    <w:p w14:paraId="366DF97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3.10 </w:t>
      </w:r>
      <w:r>
        <w:rPr>
          <w:rFonts w:hint="eastAsia" w:ascii="Times New Roman" w:hAnsi="Times New Roman" w:eastAsia="宋体" w:cs="Times New Roman"/>
          <w:sz w:val="24"/>
          <w:szCs w:val="24"/>
        </w:rPr>
        <w:t>样品台：样品台直径不低于</w:t>
      </w:r>
      <w:r>
        <w:rPr>
          <w:rFonts w:ascii="Times New Roman" w:hAnsi="Times New Roman" w:eastAsia="宋体" w:cs="Times New Roman"/>
          <w:sz w:val="24"/>
          <w:szCs w:val="24"/>
        </w:rPr>
        <w:t>80mm</w:t>
      </w:r>
      <w:r>
        <w:rPr>
          <w:rFonts w:hint="eastAsia" w:ascii="Times New Roman" w:hAnsi="Times New Roman" w:eastAsia="宋体" w:cs="Times New Roman"/>
          <w:sz w:val="24"/>
          <w:szCs w:val="24"/>
        </w:rPr>
        <w:t>，最高可容纳样品厚度不低于</w:t>
      </w:r>
      <w:r>
        <w:rPr>
          <w:rFonts w:ascii="Times New Roman" w:hAnsi="Times New Roman" w:eastAsia="宋体" w:cs="Times New Roman"/>
          <w:sz w:val="24"/>
          <w:szCs w:val="24"/>
        </w:rPr>
        <w:t>10mm</w:t>
      </w:r>
      <w:r>
        <w:rPr>
          <w:rFonts w:hint="eastAsia" w:ascii="Times New Roman" w:hAnsi="Times New Roman" w:eastAsia="宋体" w:cs="Times New Roman"/>
          <w:sz w:val="24"/>
          <w:szCs w:val="24"/>
        </w:rPr>
        <w:t>。</w:t>
      </w:r>
    </w:p>
    <w:p w14:paraId="3408DA4C">
      <w:pPr>
        <w:spacing w:line="360" w:lineRule="auto"/>
        <w:rPr>
          <w:rFonts w:ascii="Times New Roman" w:hAnsi="Times New Roman" w:eastAsia="宋体" w:cs="Times New Roman"/>
          <w:sz w:val="24"/>
          <w:szCs w:val="24"/>
        </w:rPr>
      </w:pPr>
    </w:p>
    <w:p w14:paraId="52AB5DB1">
      <w:pPr>
        <w:numPr>
          <w:ilvl w:val="0"/>
          <w:numId w:val="2"/>
        </w:num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产品配置要求</w:t>
      </w:r>
    </w:p>
    <w:p w14:paraId="13361F1A">
      <w:pPr>
        <w:spacing w:line="360" w:lineRule="auto"/>
        <w:ind w:left="523" w:hanging="523" w:hangingChars="218"/>
        <w:rPr>
          <w:rFonts w:ascii="Times New Roman" w:hAnsi="Times New Roman" w:eastAsia="宋体" w:cs="Times New Roman"/>
          <w:sz w:val="24"/>
          <w:szCs w:val="24"/>
        </w:rPr>
      </w:pPr>
      <w:r>
        <w:rPr>
          <w:rFonts w:ascii="Times New Roman" w:hAnsi="Times New Roman" w:eastAsia="宋体" w:cs="Times New Roman"/>
          <w:sz w:val="24"/>
          <w:szCs w:val="24"/>
        </w:rPr>
        <w:t xml:space="preserve">4.1 </w:t>
      </w:r>
      <w:r>
        <w:rPr>
          <w:rFonts w:hint="eastAsia" w:ascii="Times New Roman" w:hAnsi="Times New Roman" w:eastAsia="宋体" w:cs="Times New Roman"/>
          <w:sz w:val="24"/>
          <w:szCs w:val="24"/>
        </w:rPr>
        <w:t>原子力显微镜</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主机（含隔音罩和防震平台）</w:t>
      </w:r>
      <w:r>
        <w:rPr>
          <w:rFonts w:ascii="Times New Roman" w:hAnsi="Times New Roman" w:eastAsia="宋体" w:cs="Times New Roman"/>
          <w:sz w:val="24"/>
          <w:szCs w:val="24"/>
        </w:rPr>
        <w:t xml:space="preserve"> 1</w:t>
      </w:r>
      <w:r>
        <w:rPr>
          <w:rFonts w:hint="eastAsia" w:ascii="Times New Roman" w:hAnsi="Times New Roman" w:eastAsia="宋体" w:cs="Times New Roman"/>
          <w:sz w:val="24"/>
          <w:szCs w:val="24"/>
        </w:rPr>
        <w:t>台</w:t>
      </w:r>
    </w:p>
    <w:p w14:paraId="1E53ED15">
      <w:pPr>
        <w:spacing w:line="360" w:lineRule="auto"/>
        <w:ind w:left="523" w:hanging="523" w:hangingChars="218"/>
        <w:rPr>
          <w:rFonts w:ascii="Times New Roman" w:hAnsi="Times New Roman" w:eastAsia="宋体" w:cs="Times New Roman"/>
          <w:sz w:val="24"/>
          <w:szCs w:val="24"/>
        </w:rPr>
      </w:pPr>
      <w:r>
        <w:rPr>
          <w:rFonts w:ascii="Times New Roman" w:hAnsi="Times New Roman" w:eastAsia="宋体" w:cs="Times New Roman"/>
          <w:sz w:val="24"/>
          <w:szCs w:val="24"/>
        </w:rPr>
        <w:t xml:space="preserve">4.2 </w:t>
      </w:r>
      <w:r>
        <w:rPr>
          <w:rFonts w:hint="eastAsia" w:ascii="Times New Roman" w:hAnsi="Times New Roman" w:eastAsia="宋体" w:cs="Times New Roman"/>
          <w:sz w:val="24"/>
          <w:szCs w:val="24"/>
        </w:rPr>
        <w:t>高压原子力显微镜</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模块</w:t>
      </w:r>
      <w:r>
        <w:rPr>
          <w:rFonts w:ascii="Times New Roman" w:hAnsi="Times New Roman" w:eastAsia="宋体" w:cs="Times New Roman"/>
          <w:sz w:val="24"/>
          <w:szCs w:val="24"/>
        </w:rPr>
        <w:t xml:space="preserve"> 1</w:t>
      </w:r>
      <w:r>
        <w:rPr>
          <w:rFonts w:hint="eastAsia" w:ascii="Times New Roman" w:hAnsi="Times New Roman" w:eastAsia="宋体" w:cs="Times New Roman"/>
          <w:sz w:val="24"/>
          <w:szCs w:val="24"/>
        </w:rPr>
        <w:t>个</w:t>
      </w:r>
    </w:p>
    <w:p w14:paraId="14BB00CB">
      <w:pPr>
        <w:spacing w:line="360" w:lineRule="auto"/>
        <w:ind w:left="523" w:hanging="523" w:hangingChars="218"/>
        <w:rPr>
          <w:rFonts w:ascii="Times New Roman" w:hAnsi="Times New Roman" w:eastAsia="宋体" w:cs="Times New Roman"/>
          <w:sz w:val="24"/>
          <w:szCs w:val="24"/>
        </w:rPr>
      </w:pPr>
      <w:r>
        <w:rPr>
          <w:rFonts w:ascii="Times New Roman" w:hAnsi="Times New Roman" w:eastAsia="宋体" w:cs="Times New Roman"/>
          <w:sz w:val="24"/>
          <w:szCs w:val="24"/>
        </w:rPr>
        <w:t xml:space="preserve">4.3 </w:t>
      </w:r>
      <w:r>
        <w:rPr>
          <w:rFonts w:hint="eastAsia" w:ascii="Times New Roman" w:hAnsi="Times New Roman" w:eastAsia="宋体" w:cs="Times New Roman"/>
          <w:sz w:val="24"/>
          <w:szCs w:val="24"/>
        </w:rPr>
        <w:t>材料高温加热器</w:t>
      </w:r>
      <w:r>
        <w:rPr>
          <w:rFonts w:ascii="Times New Roman" w:hAnsi="Times New Roman" w:eastAsia="宋体" w:cs="Times New Roman"/>
          <w:sz w:val="24"/>
          <w:szCs w:val="24"/>
        </w:rPr>
        <w:t xml:space="preserve"> 1</w:t>
      </w:r>
      <w:r>
        <w:rPr>
          <w:rFonts w:hint="eastAsia" w:ascii="Times New Roman" w:hAnsi="Times New Roman" w:eastAsia="宋体" w:cs="Times New Roman"/>
          <w:sz w:val="24"/>
          <w:szCs w:val="24"/>
        </w:rPr>
        <w:t>个</w:t>
      </w:r>
    </w:p>
    <w:p w14:paraId="651A2E21">
      <w:pPr>
        <w:spacing w:line="360" w:lineRule="auto"/>
        <w:ind w:left="523" w:hanging="523" w:hangingChars="218"/>
        <w:rPr>
          <w:rFonts w:ascii="Times New Roman" w:hAnsi="Times New Roman" w:eastAsia="宋体" w:cs="Times New Roman"/>
          <w:sz w:val="24"/>
          <w:szCs w:val="24"/>
        </w:rPr>
      </w:pPr>
      <w:r>
        <w:rPr>
          <w:rFonts w:ascii="Times New Roman" w:hAnsi="Times New Roman" w:eastAsia="宋体" w:cs="Times New Roman"/>
          <w:sz w:val="24"/>
          <w:szCs w:val="24"/>
        </w:rPr>
        <w:t xml:space="preserve">4.4 </w:t>
      </w:r>
      <w:r>
        <w:rPr>
          <w:rFonts w:hint="eastAsia" w:ascii="Times New Roman" w:hAnsi="Times New Roman" w:eastAsia="宋体" w:cs="Times New Roman"/>
          <w:sz w:val="24"/>
          <w:szCs w:val="24"/>
        </w:rPr>
        <w:t>环境控制器</w:t>
      </w:r>
      <w:r>
        <w:rPr>
          <w:rFonts w:ascii="Times New Roman" w:hAnsi="Times New Roman" w:eastAsia="宋体" w:cs="Times New Roman"/>
          <w:sz w:val="24"/>
          <w:szCs w:val="24"/>
        </w:rPr>
        <w:t xml:space="preserve"> 1</w:t>
      </w:r>
      <w:r>
        <w:rPr>
          <w:rFonts w:hint="eastAsia" w:ascii="Times New Roman" w:hAnsi="Times New Roman" w:eastAsia="宋体" w:cs="Times New Roman"/>
          <w:sz w:val="24"/>
          <w:szCs w:val="24"/>
        </w:rPr>
        <w:t>个</w:t>
      </w:r>
    </w:p>
    <w:p w14:paraId="3868A5A5">
      <w:pPr>
        <w:spacing w:line="360" w:lineRule="auto"/>
        <w:ind w:left="523" w:hanging="523" w:hangingChars="218"/>
        <w:rPr>
          <w:rFonts w:ascii="Times New Roman" w:hAnsi="Times New Roman" w:eastAsia="宋体" w:cs="Times New Roman"/>
          <w:sz w:val="24"/>
          <w:szCs w:val="24"/>
        </w:rPr>
      </w:pPr>
      <w:r>
        <w:rPr>
          <w:rFonts w:ascii="Times New Roman" w:hAnsi="Times New Roman" w:eastAsia="宋体" w:cs="Times New Roman"/>
          <w:sz w:val="24"/>
          <w:szCs w:val="24"/>
        </w:rPr>
        <w:t xml:space="preserve">4.5 </w:t>
      </w:r>
      <w:r>
        <w:rPr>
          <w:rFonts w:hint="eastAsia" w:ascii="Times New Roman" w:hAnsi="Times New Roman" w:eastAsia="宋体" w:cs="Times New Roman"/>
          <w:sz w:val="24"/>
          <w:szCs w:val="24"/>
        </w:rPr>
        <w:t>工作站</w:t>
      </w:r>
      <w:r>
        <w:rPr>
          <w:rFonts w:ascii="Times New Roman" w:hAnsi="Times New Roman" w:eastAsia="宋体" w:cs="Times New Roman"/>
          <w:sz w:val="24"/>
          <w:szCs w:val="24"/>
        </w:rPr>
        <w:t xml:space="preserve"> 1</w:t>
      </w:r>
      <w:r>
        <w:rPr>
          <w:rFonts w:hint="eastAsia" w:ascii="Times New Roman" w:hAnsi="Times New Roman" w:eastAsia="宋体" w:cs="Times New Roman"/>
          <w:sz w:val="24"/>
          <w:szCs w:val="24"/>
        </w:rPr>
        <w:t>套</w:t>
      </w:r>
    </w:p>
    <w:p w14:paraId="21A775DF">
      <w:pPr>
        <w:spacing w:line="360" w:lineRule="auto"/>
        <w:ind w:left="523" w:hanging="523" w:hangingChars="218"/>
        <w:rPr>
          <w:rFonts w:ascii="Times New Roman" w:hAnsi="Times New Roman" w:eastAsia="宋体" w:cs="Times New Roman"/>
          <w:sz w:val="24"/>
          <w:szCs w:val="24"/>
        </w:rPr>
      </w:pPr>
      <w:r>
        <w:rPr>
          <w:rFonts w:ascii="Times New Roman" w:hAnsi="Times New Roman" w:eastAsia="宋体" w:cs="Times New Roman"/>
          <w:sz w:val="24"/>
          <w:szCs w:val="24"/>
        </w:rPr>
        <w:t xml:space="preserve">4.6 </w:t>
      </w:r>
      <w:r>
        <w:rPr>
          <w:rFonts w:hint="eastAsia" w:ascii="Times New Roman" w:hAnsi="Times New Roman" w:eastAsia="宋体" w:cs="Times New Roman"/>
          <w:sz w:val="24"/>
          <w:szCs w:val="24"/>
        </w:rPr>
        <w:t>操作软件</w:t>
      </w:r>
      <w:r>
        <w:rPr>
          <w:rFonts w:ascii="Times New Roman" w:hAnsi="Times New Roman" w:eastAsia="宋体" w:cs="Times New Roman"/>
          <w:sz w:val="24"/>
          <w:szCs w:val="24"/>
        </w:rPr>
        <w:t xml:space="preserve"> 1</w:t>
      </w:r>
      <w:r>
        <w:rPr>
          <w:rFonts w:hint="eastAsia" w:ascii="Times New Roman" w:hAnsi="Times New Roman" w:eastAsia="宋体" w:cs="Times New Roman"/>
          <w:sz w:val="24"/>
          <w:szCs w:val="24"/>
        </w:rPr>
        <w:t>套</w:t>
      </w:r>
    </w:p>
    <w:p w14:paraId="3061B811">
      <w:pPr>
        <w:spacing w:line="360" w:lineRule="auto"/>
        <w:ind w:left="420" w:firstLine="240"/>
        <w:rPr>
          <w:rFonts w:ascii="Times New Roman" w:hAnsi="Times New Roman" w:eastAsia="宋体" w:cs="Times New Roman"/>
          <w:sz w:val="24"/>
          <w:szCs w:val="24"/>
        </w:rPr>
      </w:pPr>
    </w:p>
    <w:p w14:paraId="2FDF25AA">
      <w:pP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5. </w:t>
      </w:r>
      <w:r>
        <w:rPr>
          <w:rFonts w:hint="eastAsia" w:ascii="Times New Roman" w:hAnsi="Times New Roman" w:eastAsia="宋体" w:cs="Times New Roman"/>
          <w:b/>
          <w:sz w:val="24"/>
          <w:szCs w:val="24"/>
        </w:rPr>
        <w:t>选购附件、备件及消耗品（请参考总则第</w:t>
      </w:r>
      <w:r>
        <w:rPr>
          <w:rFonts w:ascii="Times New Roman" w:hAnsi="Times New Roman" w:eastAsia="宋体" w:cs="Times New Roman"/>
          <w:b/>
          <w:sz w:val="24"/>
          <w:szCs w:val="24"/>
        </w:rPr>
        <w:t>2.2</w:t>
      </w:r>
      <w:r>
        <w:rPr>
          <w:rFonts w:hint="eastAsia" w:ascii="Times New Roman" w:hAnsi="Times New Roman" w:eastAsia="宋体" w:cs="Times New Roman"/>
          <w:b/>
          <w:sz w:val="24"/>
          <w:szCs w:val="24"/>
        </w:rPr>
        <w:t>条）</w:t>
      </w:r>
    </w:p>
    <w:p w14:paraId="1EB4BB2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5.1 </w:t>
      </w:r>
      <w:r>
        <w:rPr>
          <w:rFonts w:hint="eastAsia" w:ascii="Times New Roman" w:hAnsi="Times New Roman" w:eastAsia="宋体" w:cs="Times New Roman"/>
          <w:sz w:val="24"/>
          <w:szCs w:val="24"/>
        </w:rPr>
        <w:t>探针</w:t>
      </w:r>
      <w:r>
        <w:rPr>
          <w:rFonts w:ascii="Times New Roman" w:hAnsi="Times New Roman" w:eastAsia="宋体" w:cs="Times New Roman"/>
          <w:sz w:val="24"/>
          <w:szCs w:val="24"/>
        </w:rPr>
        <w:t xml:space="preserve">  </w:t>
      </w:r>
    </w:p>
    <w:p w14:paraId="167CC38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5.2 </w:t>
      </w:r>
      <w:r>
        <w:rPr>
          <w:rFonts w:hint="eastAsia" w:ascii="Times New Roman" w:hAnsi="Times New Roman" w:eastAsia="宋体" w:cs="Times New Roman"/>
          <w:sz w:val="24"/>
          <w:szCs w:val="24"/>
        </w:rPr>
        <w:t>延长保修期</w:t>
      </w:r>
      <w:r>
        <w:rPr>
          <w:rFonts w:ascii="Times New Roman" w:hAnsi="Times New Roman" w:eastAsia="宋体" w:cs="Times New Roman"/>
          <w:sz w:val="24"/>
          <w:szCs w:val="24"/>
        </w:rPr>
        <w:t>1</w:t>
      </w:r>
      <w:r>
        <w:rPr>
          <w:rFonts w:hint="eastAsia" w:ascii="Times New Roman" w:hAnsi="Times New Roman" w:eastAsia="宋体" w:cs="Times New Roman"/>
          <w:sz w:val="24"/>
          <w:szCs w:val="24"/>
        </w:rPr>
        <w:t>年价格</w:t>
      </w:r>
      <w:r>
        <w:rPr>
          <w:rFonts w:ascii="Times New Roman" w:hAnsi="Times New Roman" w:eastAsia="宋体" w:cs="Times New Roman"/>
          <w:sz w:val="24"/>
          <w:szCs w:val="24"/>
        </w:rPr>
        <w:t xml:space="preserve">              </w:t>
      </w:r>
    </w:p>
    <w:p w14:paraId="4B66BFC7">
      <w:pPr>
        <w:tabs>
          <w:tab w:val="left" w:pos="54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   </w:t>
      </w:r>
    </w:p>
    <w:p w14:paraId="3FD8210A">
      <w:pPr>
        <w:tabs>
          <w:tab w:val="left" w:pos="540"/>
        </w:tabs>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6.  </w:t>
      </w:r>
      <w:r>
        <w:rPr>
          <w:rFonts w:hint="eastAsia" w:ascii="Times New Roman" w:hAnsi="Times New Roman" w:eastAsia="宋体" w:cs="Times New Roman"/>
          <w:b/>
          <w:sz w:val="24"/>
          <w:szCs w:val="24"/>
        </w:rPr>
        <w:t>技术文件：</w:t>
      </w:r>
    </w:p>
    <w:p w14:paraId="61785E1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6.1 </w:t>
      </w:r>
      <w:r>
        <w:rPr>
          <w:rFonts w:hint="eastAsia" w:ascii="Times New Roman" w:hAnsi="Times New Roman" w:eastAsia="宋体" w:cs="Times New Roman"/>
          <w:sz w:val="24"/>
          <w:szCs w:val="24"/>
        </w:rPr>
        <w:t>投标人应提供仪器主体及主要附件的详细的操作、安装及调整说明书。</w:t>
      </w:r>
    </w:p>
    <w:p w14:paraId="61BF647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6.2 </w:t>
      </w:r>
      <w:r>
        <w:rPr>
          <w:rFonts w:hint="eastAsia" w:ascii="Times New Roman" w:hAnsi="Times New Roman" w:eastAsia="宋体" w:cs="Times New Roman"/>
          <w:sz w:val="24"/>
          <w:szCs w:val="24"/>
        </w:rPr>
        <w:t>投标人应提供仪器使用软件的所有说明书。</w:t>
      </w:r>
    </w:p>
    <w:p w14:paraId="067CF7B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6.3 </w:t>
      </w:r>
      <w:r>
        <w:rPr>
          <w:rFonts w:hint="eastAsia" w:ascii="Times New Roman" w:hAnsi="Times New Roman" w:eastAsia="宋体" w:cs="Times New Roman"/>
          <w:sz w:val="24"/>
          <w:szCs w:val="24"/>
        </w:rPr>
        <w:t>投标人应提供电子版说明书。</w:t>
      </w:r>
    </w:p>
    <w:p w14:paraId="033868A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6.4 </w:t>
      </w:r>
      <w:r>
        <w:rPr>
          <w:rFonts w:hint="eastAsia" w:ascii="Times New Roman" w:hAnsi="Times New Roman" w:eastAsia="宋体" w:cs="Times New Roman"/>
          <w:sz w:val="24"/>
          <w:szCs w:val="24"/>
        </w:rPr>
        <w:t>投标人应提供仪器使用软件的备份。</w:t>
      </w:r>
    </w:p>
    <w:p w14:paraId="2613661F">
      <w:pPr>
        <w:spacing w:line="360" w:lineRule="auto"/>
        <w:rPr>
          <w:rFonts w:ascii="Times New Roman" w:hAnsi="Times New Roman" w:eastAsia="宋体" w:cs="Times New Roman"/>
          <w:sz w:val="24"/>
          <w:szCs w:val="24"/>
        </w:rPr>
      </w:pPr>
    </w:p>
    <w:p w14:paraId="5141877C">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（二）质保及售后服务：</w:t>
      </w:r>
    </w:p>
    <w:p w14:paraId="59F770D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1.1 </w:t>
      </w:r>
      <w:r>
        <w:rPr>
          <w:rFonts w:hint="eastAsia" w:ascii="Times New Roman" w:hAnsi="Times New Roman" w:eastAsia="宋体" w:cs="Times New Roman"/>
          <w:sz w:val="24"/>
          <w:szCs w:val="24"/>
        </w:rPr>
        <w:t>设备安装调试</w:t>
      </w:r>
      <w:r>
        <w:rPr>
          <w:rFonts w:ascii="Times New Roman" w:hAnsi="Times New Roman" w:eastAsia="宋体" w:cs="Times New Roman"/>
          <w:sz w:val="24"/>
          <w:szCs w:val="24"/>
        </w:rPr>
        <w:t xml:space="preserve"> </w:t>
      </w:r>
    </w:p>
    <w:p w14:paraId="04AFFACA">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1.1.1 </w:t>
      </w:r>
      <w:r>
        <w:rPr>
          <w:rFonts w:hint="eastAsia" w:ascii="Times New Roman" w:hAnsi="Times New Roman" w:eastAsia="宋体" w:cs="Times New Roman"/>
          <w:sz w:val="24"/>
          <w:szCs w:val="24"/>
        </w:rPr>
        <w:t>卖方应在合同生效后的</w:t>
      </w:r>
      <w:r>
        <w:rPr>
          <w:rFonts w:ascii="Times New Roman" w:hAnsi="Times New Roman" w:eastAsia="宋体" w:cs="Times New Roman"/>
          <w:sz w:val="24"/>
          <w:szCs w:val="24"/>
        </w:rPr>
        <w:t>1</w:t>
      </w:r>
      <w:r>
        <w:rPr>
          <w:rFonts w:hint="eastAsia" w:ascii="Times New Roman" w:hAnsi="Times New Roman" w:eastAsia="宋体" w:cs="Times New Roman"/>
          <w:sz w:val="24"/>
          <w:szCs w:val="24"/>
        </w:rPr>
        <w:t>个月内到向买方提出详细的安装要求并提供技术咨询。</w:t>
      </w:r>
    </w:p>
    <w:p w14:paraId="6E34CA55">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1.1.2 </w:t>
      </w:r>
      <w:r>
        <w:rPr>
          <w:rFonts w:hint="eastAsia" w:ascii="Times New Roman" w:hAnsi="Times New Roman" w:eastAsia="宋体" w:cs="Times New Roman"/>
          <w:sz w:val="24"/>
          <w:szCs w:val="24"/>
        </w:rPr>
        <w:t>仪器到达买方所在地后，在接到买方通知后</w:t>
      </w:r>
      <w:r>
        <w:rPr>
          <w:rFonts w:ascii="Times New Roman" w:hAnsi="Times New Roman" w:eastAsia="宋体" w:cs="Times New Roman"/>
          <w:sz w:val="24"/>
          <w:szCs w:val="24"/>
        </w:rPr>
        <w:t>2</w:t>
      </w:r>
      <w:r>
        <w:rPr>
          <w:rFonts w:hint="eastAsia" w:ascii="Times New Roman" w:hAnsi="Times New Roman" w:eastAsia="宋体" w:cs="Times New Roman"/>
          <w:sz w:val="24"/>
          <w:szCs w:val="24"/>
        </w:rPr>
        <w:t>周内卖方进行安装调试，并在</w:t>
      </w:r>
      <w:r>
        <w:rPr>
          <w:rFonts w:ascii="Times New Roman" w:hAnsi="Times New Roman" w:eastAsia="宋体" w:cs="Times New Roman"/>
          <w:sz w:val="24"/>
          <w:szCs w:val="24"/>
        </w:rPr>
        <w:t>1</w:t>
      </w:r>
      <w:r>
        <w:rPr>
          <w:rFonts w:hint="eastAsia" w:ascii="Times New Roman" w:hAnsi="Times New Roman" w:eastAsia="宋体" w:cs="Times New Roman"/>
          <w:sz w:val="24"/>
          <w:szCs w:val="24"/>
        </w:rPr>
        <w:t>个月内完成所有技术指标。</w:t>
      </w:r>
    </w:p>
    <w:p w14:paraId="7A430C7F">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1.1.3 </w:t>
      </w:r>
      <w:r>
        <w:rPr>
          <w:rFonts w:hint="eastAsia" w:ascii="Times New Roman" w:hAnsi="Times New Roman" w:eastAsia="宋体" w:cs="Times New Roman"/>
          <w:sz w:val="24"/>
          <w:szCs w:val="24"/>
        </w:rPr>
        <w:t>卖方、买方共同参加开箱检验，及时对货物数量、品种、型号、规格进行核对、检验，如果在联合开箱检验中发现货物有任何短少，缺损，缺陷或与合同规定不符，双方代表应当场签署</w:t>
      </w:r>
      <w:r>
        <w:rPr>
          <w:rFonts w:ascii="Times New Roman" w:hAnsi="Times New Roman" w:eastAsia="宋体" w:cs="Times New Roman"/>
          <w:sz w:val="24"/>
          <w:szCs w:val="24"/>
        </w:rPr>
        <w:t>1</w:t>
      </w:r>
      <w:r>
        <w:rPr>
          <w:rFonts w:hint="eastAsia" w:ascii="Times New Roman" w:hAnsi="Times New Roman" w:eastAsia="宋体" w:cs="Times New Roman"/>
          <w:sz w:val="24"/>
          <w:szCs w:val="24"/>
        </w:rPr>
        <w:t>份详细报告，该报告将作为买方在卖方有责任的情况下要求卖方进行更换、修理或补充发货的有效证据。</w:t>
      </w:r>
    </w:p>
    <w:p w14:paraId="79435A7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1.2 </w:t>
      </w:r>
      <w:r>
        <w:rPr>
          <w:rFonts w:hint="eastAsia" w:ascii="Times New Roman" w:hAnsi="Times New Roman" w:eastAsia="宋体" w:cs="Times New Roman"/>
          <w:sz w:val="24"/>
          <w:szCs w:val="24"/>
        </w:rPr>
        <w:t>技术培训：卖方设备安装调试完成后，应对用户技术人员进行调试、操作、仪器维护、故障排除等方面的现场培训，现场培训时间至少</w:t>
      </w:r>
      <w:r>
        <w:rPr>
          <w:rFonts w:ascii="Times New Roman" w:hAnsi="Times New Roman" w:eastAsia="宋体" w:cs="Times New Roman"/>
          <w:sz w:val="24"/>
          <w:szCs w:val="24"/>
        </w:rPr>
        <w:t>2</w:t>
      </w:r>
      <w:r>
        <w:rPr>
          <w:rFonts w:hint="eastAsia" w:ascii="Times New Roman" w:hAnsi="Times New Roman" w:eastAsia="宋体" w:cs="Times New Roman"/>
          <w:sz w:val="24"/>
          <w:szCs w:val="24"/>
        </w:rPr>
        <w:t>天。</w:t>
      </w:r>
    </w:p>
    <w:p w14:paraId="27F1C06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1.3 </w:t>
      </w:r>
      <w:r>
        <w:rPr>
          <w:rFonts w:hint="eastAsia" w:ascii="Times New Roman" w:hAnsi="Times New Roman" w:eastAsia="宋体" w:cs="Times New Roman"/>
          <w:sz w:val="24"/>
          <w:szCs w:val="24"/>
        </w:rPr>
        <w:t>保修期：保修期至少为壹年，保修期自用户验收签字之日起计算。如因用户原因未能及时安装调试，保修期从到货之日计起至少</w:t>
      </w:r>
      <w:r>
        <w:rPr>
          <w:rFonts w:ascii="Times New Roman" w:hAnsi="Times New Roman" w:eastAsia="宋体" w:cs="Times New Roman"/>
          <w:sz w:val="24"/>
          <w:szCs w:val="24"/>
        </w:rPr>
        <w:t>15</w:t>
      </w:r>
      <w:r>
        <w:rPr>
          <w:rFonts w:hint="eastAsia" w:ascii="Times New Roman" w:hAnsi="Times New Roman" w:eastAsia="宋体" w:cs="Times New Roman"/>
          <w:sz w:val="24"/>
          <w:szCs w:val="24"/>
        </w:rPr>
        <w:t>个月。</w:t>
      </w:r>
    </w:p>
    <w:p w14:paraId="006FD69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1.4 </w:t>
      </w:r>
      <w:r>
        <w:rPr>
          <w:rFonts w:hint="eastAsia" w:ascii="Times New Roman" w:hAnsi="Times New Roman" w:eastAsia="宋体" w:cs="Times New Roman"/>
          <w:sz w:val="24"/>
          <w:szCs w:val="24"/>
        </w:rPr>
        <w:t>维修响应时间：卖方应在</w:t>
      </w:r>
      <w:r>
        <w:rPr>
          <w:rFonts w:ascii="Times New Roman" w:hAnsi="Times New Roman" w:eastAsia="宋体" w:cs="Times New Roman"/>
          <w:sz w:val="24"/>
          <w:szCs w:val="24"/>
        </w:rPr>
        <w:t>24</w:t>
      </w:r>
      <w:r>
        <w:rPr>
          <w:rFonts w:hint="eastAsia" w:ascii="Times New Roman" w:hAnsi="Times New Roman" w:eastAsia="宋体" w:cs="Times New Roman"/>
          <w:sz w:val="24"/>
          <w:szCs w:val="24"/>
        </w:rPr>
        <w:t>小时内对用户的服务要求作出响应，维修服务包括电话指导和现场维修；需要现场维修的，卖方工程师应尽快到达仪器现场；当设备故障严重时</w:t>
      </w:r>
      <w:r>
        <w:rPr>
          <w:rFonts w:ascii="Times New Roman" w:hAnsi="Times New Roman" w:eastAsia="宋体" w:cs="Times New Roman"/>
          <w:sz w:val="24"/>
          <w:szCs w:val="24"/>
        </w:rPr>
        <w:t>,</w:t>
      </w:r>
      <w:r>
        <w:rPr>
          <w:rFonts w:hint="eastAsia" w:ascii="Times New Roman" w:hAnsi="Times New Roman" w:eastAsia="宋体" w:cs="Times New Roman"/>
          <w:sz w:val="24"/>
          <w:szCs w:val="24"/>
        </w:rPr>
        <w:t>须在五个工作日内到现场解决问题。</w:t>
      </w:r>
    </w:p>
    <w:p w14:paraId="5D87184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1.5 </w:t>
      </w:r>
      <w:r>
        <w:rPr>
          <w:rFonts w:hint="eastAsia" w:ascii="Times New Roman" w:hAnsi="Times New Roman" w:eastAsia="宋体" w:cs="Times New Roman"/>
          <w:sz w:val="24"/>
          <w:szCs w:val="24"/>
        </w:rPr>
        <w:t>软、硬件升级：操作软件永久免费使用和升级。仪器在保修期内或保修期外，卖方应免费向用户提供仪器软件升级服务，与之相关的硬件升级收取成本费</w:t>
      </w:r>
    </w:p>
    <w:p w14:paraId="22BBE81D">
      <w:pPr>
        <w:spacing w:line="360" w:lineRule="auto"/>
        <w:rPr>
          <w:rFonts w:ascii="Times New Roman" w:hAnsi="Times New Roman" w:eastAsia="宋体" w:cs="Times New Roman"/>
          <w:sz w:val="24"/>
          <w:szCs w:val="24"/>
        </w:rPr>
      </w:pPr>
    </w:p>
    <w:p w14:paraId="1DC470F0">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（三）</w:t>
      </w:r>
      <w:r>
        <w:rPr>
          <w:rFonts w:ascii="Times New Roman" w:hAnsi="Times New Roman" w:eastAsia="宋体" w:cs="Times New Roman"/>
          <w:b/>
          <w:sz w:val="24"/>
          <w:szCs w:val="24"/>
        </w:rPr>
        <w:t xml:space="preserve"> </w:t>
      </w:r>
      <w:r>
        <w:rPr>
          <w:rFonts w:hint="eastAsia" w:ascii="Times New Roman" w:hAnsi="Times New Roman" w:eastAsia="宋体" w:cs="Times New Roman"/>
          <w:b/>
          <w:sz w:val="24"/>
          <w:szCs w:val="24"/>
        </w:rPr>
        <w:t>订货数量：</w:t>
      </w:r>
    </w:p>
    <w:p w14:paraId="142D56D8">
      <w:pPr>
        <w:spacing w:line="360" w:lineRule="auto"/>
        <w:ind w:firstLine="240" w:firstLineChars="100"/>
        <w:rPr>
          <w:rFonts w:ascii="Times New Roman" w:hAnsi="Times New Roman" w:eastAsia="宋体" w:cs="Times New Roman"/>
          <w:sz w:val="24"/>
          <w:szCs w:val="24"/>
        </w:rPr>
      </w:pPr>
      <w:r>
        <w:rPr>
          <w:rFonts w:ascii="Times New Roman" w:hAnsi="Times New Roman" w:eastAsia="宋体" w:cs="Times New Roman"/>
          <w:sz w:val="24"/>
          <w:szCs w:val="24"/>
        </w:rPr>
        <w:t xml:space="preserve"> 1</w:t>
      </w:r>
      <w:r>
        <w:rPr>
          <w:rFonts w:hint="eastAsia" w:ascii="Times New Roman" w:hAnsi="Times New Roman" w:eastAsia="宋体" w:cs="Times New Roman"/>
          <w:sz w:val="24"/>
          <w:szCs w:val="24"/>
        </w:rPr>
        <w:t>套</w:t>
      </w:r>
    </w:p>
    <w:p w14:paraId="2A696407">
      <w:pPr>
        <w:spacing w:line="360" w:lineRule="auto"/>
        <w:rPr>
          <w:rFonts w:ascii="Times New Roman" w:hAnsi="Times New Roman" w:eastAsia="宋体" w:cs="Times New Roman"/>
          <w:sz w:val="24"/>
          <w:szCs w:val="24"/>
        </w:rPr>
      </w:pPr>
    </w:p>
    <w:p w14:paraId="282F25EE">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（四）</w:t>
      </w:r>
      <w:r>
        <w:rPr>
          <w:rFonts w:ascii="Times New Roman" w:hAnsi="Times New Roman" w:eastAsia="宋体" w:cs="Times New Roman"/>
          <w:b/>
          <w:sz w:val="24"/>
          <w:szCs w:val="24"/>
        </w:rPr>
        <w:t xml:space="preserve"> </w:t>
      </w:r>
      <w:r>
        <w:rPr>
          <w:rFonts w:hint="eastAsia" w:ascii="Times New Roman" w:hAnsi="Times New Roman" w:eastAsia="宋体" w:cs="Times New Roman"/>
          <w:b/>
          <w:sz w:val="24"/>
          <w:szCs w:val="24"/>
        </w:rPr>
        <w:t>交货地</w:t>
      </w:r>
      <w:r>
        <w:rPr>
          <w:rFonts w:ascii="Times New Roman" w:hAnsi="Times New Roman" w:eastAsia="宋体" w:cs="Times New Roman"/>
          <w:b/>
          <w:sz w:val="24"/>
          <w:szCs w:val="24"/>
        </w:rPr>
        <w:t>/</w:t>
      </w:r>
      <w:r>
        <w:rPr>
          <w:rFonts w:hint="eastAsia" w:ascii="Times New Roman" w:hAnsi="Times New Roman" w:eastAsia="宋体" w:cs="Times New Roman"/>
          <w:b/>
          <w:sz w:val="24"/>
          <w:szCs w:val="24"/>
        </w:rPr>
        <w:t>目的港：</w:t>
      </w:r>
    </w:p>
    <w:p w14:paraId="33CED695">
      <w:pPr>
        <w:spacing w:line="360" w:lineRule="auto"/>
        <w:ind w:firstLine="240"/>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用户指定地点。</w:t>
      </w:r>
    </w:p>
    <w:p w14:paraId="210AD1AC">
      <w:pPr>
        <w:spacing w:line="360" w:lineRule="auto"/>
        <w:rPr>
          <w:rFonts w:ascii="Times New Roman" w:hAnsi="Times New Roman" w:eastAsia="宋体" w:cs="Times New Roman"/>
          <w:sz w:val="24"/>
          <w:szCs w:val="24"/>
        </w:rPr>
      </w:pPr>
    </w:p>
    <w:p w14:paraId="371A6829">
      <w:pPr>
        <w:numPr>
          <w:ilvl w:val="0"/>
          <w:numId w:val="4"/>
        </w:num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交货日期：</w:t>
      </w:r>
    </w:p>
    <w:p w14:paraId="0B1ABAF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合同生效后</w:t>
      </w:r>
      <w:r>
        <w:rPr>
          <w:rFonts w:ascii="Times New Roman" w:hAnsi="Times New Roman" w:eastAsia="宋体" w:cs="Times New Roman"/>
          <w:sz w:val="24"/>
          <w:szCs w:val="24"/>
        </w:rPr>
        <w:t>6</w:t>
      </w:r>
      <w:r>
        <w:rPr>
          <w:rFonts w:hint="eastAsia" w:ascii="Times New Roman" w:hAnsi="Times New Roman" w:eastAsia="宋体" w:cs="Times New Roman"/>
          <w:sz w:val="24"/>
          <w:szCs w:val="24"/>
        </w:rPr>
        <w:t>个月内。</w:t>
      </w:r>
    </w:p>
    <w:p w14:paraId="1B83A047">
      <w:pPr>
        <w:widowControl/>
        <w:spacing w:line="360" w:lineRule="atLeast"/>
        <w:rPr>
          <w:rFonts w:ascii="宋体" w:hAnsi="宋体" w:eastAsia="宋体" w:cs="Times New Roman"/>
          <w:b/>
          <w:sz w:val="30"/>
          <w:szCs w:val="30"/>
        </w:rPr>
      </w:pPr>
    </w:p>
    <w:p w14:paraId="79E262CA">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3E494D"/>
    <w:multiLevelType w:val="singleLevel"/>
    <w:tmpl w:val="AA3E494D"/>
    <w:lvl w:ilvl="0" w:tentative="0">
      <w:start w:val="5"/>
      <w:numFmt w:val="chineseCounting"/>
      <w:suff w:val="space"/>
      <w:lvlText w:val="（%1）"/>
      <w:lvlJc w:val="left"/>
      <w:pPr>
        <w:ind w:left="0" w:firstLine="0"/>
      </w:pPr>
    </w:lvl>
  </w:abstractNum>
  <w:abstractNum w:abstractNumId="1">
    <w:nsid w:val="D785B104"/>
    <w:multiLevelType w:val="singleLevel"/>
    <w:tmpl w:val="D785B104"/>
    <w:lvl w:ilvl="0" w:tentative="0">
      <w:start w:val="1"/>
      <w:numFmt w:val="chineseCounting"/>
      <w:suff w:val="nothing"/>
      <w:lvlText w:val="（%1）"/>
      <w:lvlJc w:val="left"/>
      <w:pPr>
        <w:ind w:left="0" w:firstLine="0"/>
      </w:pPr>
    </w:lvl>
  </w:abstractNum>
  <w:abstractNum w:abstractNumId="2">
    <w:nsid w:val="08D75347"/>
    <w:multiLevelType w:val="multilevel"/>
    <w:tmpl w:val="08D75347"/>
    <w:lvl w:ilvl="0" w:tentative="0">
      <w:start w:val="1"/>
      <w:numFmt w:val="decimal"/>
      <w:lvlText w:val="%1"/>
      <w:lvlJc w:val="left"/>
      <w:pPr>
        <w:ind w:left="420" w:hanging="420"/>
      </w:pPr>
      <w:rPr>
        <w:rFonts w:hint="default" w:ascii="Times New Roman" w:hAnsi="Times New Roman" w:cs="Times New Roman"/>
        <w:b w:val="0"/>
      </w:rPr>
    </w:lvl>
    <w:lvl w:ilvl="1" w:tentative="0">
      <w:start w:val="1"/>
      <w:numFmt w:val="decimal"/>
      <w:lvlText w:val="%1.%2"/>
      <w:lvlJc w:val="left"/>
      <w:pPr>
        <w:ind w:left="420" w:hanging="420"/>
      </w:pPr>
      <w:rPr>
        <w:rFonts w:hint="default" w:ascii="Times New Roman" w:hAnsi="Times New Roman" w:cs="Times New Roman"/>
        <w:b w:val="0"/>
      </w:rPr>
    </w:lvl>
    <w:lvl w:ilvl="2" w:tentative="0">
      <w:start w:val="1"/>
      <w:numFmt w:val="decimal"/>
      <w:lvlText w:val="%1.%2.%3"/>
      <w:lvlJc w:val="left"/>
      <w:pPr>
        <w:ind w:left="720" w:hanging="720"/>
      </w:pPr>
      <w:rPr>
        <w:rFonts w:hint="default" w:ascii="Times New Roman" w:hAnsi="Times New Roman" w:cs="Times New Roman"/>
        <w:b w:val="0"/>
      </w:rPr>
    </w:lvl>
    <w:lvl w:ilvl="3" w:tentative="0">
      <w:start w:val="1"/>
      <w:numFmt w:val="decimal"/>
      <w:lvlText w:val="%1.%2.%3.%4"/>
      <w:lvlJc w:val="left"/>
      <w:pPr>
        <w:ind w:left="720" w:hanging="720"/>
      </w:pPr>
      <w:rPr>
        <w:rFonts w:hint="default" w:ascii="Times New Roman" w:hAnsi="Times New Roman" w:cs="Times New Roman"/>
        <w:b w:val="0"/>
      </w:rPr>
    </w:lvl>
    <w:lvl w:ilvl="4" w:tentative="0">
      <w:start w:val="1"/>
      <w:numFmt w:val="decimal"/>
      <w:lvlText w:val="%1.%2.%3.%4.%5"/>
      <w:lvlJc w:val="left"/>
      <w:pPr>
        <w:ind w:left="1080" w:hanging="1080"/>
      </w:pPr>
      <w:rPr>
        <w:rFonts w:hint="default" w:ascii="Times New Roman" w:hAnsi="Times New Roman" w:cs="Times New Roman"/>
        <w:b w:val="0"/>
      </w:rPr>
    </w:lvl>
    <w:lvl w:ilvl="5" w:tentative="0">
      <w:start w:val="1"/>
      <w:numFmt w:val="decimal"/>
      <w:lvlText w:val="%1.%2.%3.%4.%5.%6"/>
      <w:lvlJc w:val="left"/>
      <w:pPr>
        <w:ind w:left="1080" w:hanging="1080"/>
      </w:pPr>
      <w:rPr>
        <w:rFonts w:hint="default" w:ascii="Times New Roman" w:hAnsi="Times New Roman" w:cs="Times New Roman"/>
        <w:b w:val="0"/>
      </w:rPr>
    </w:lvl>
    <w:lvl w:ilvl="6" w:tentative="0">
      <w:start w:val="1"/>
      <w:numFmt w:val="decimal"/>
      <w:lvlText w:val="%1.%2.%3.%4.%5.%6.%7"/>
      <w:lvlJc w:val="left"/>
      <w:pPr>
        <w:ind w:left="1440" w:hanging="1440"/>
      </w:pPr>
      <w:rPr>
        <w:rFonts w:hint="default" w:ascii="Times New Roman" w:hAnsi="Times New Roman" w:cs="Times New Roman"/>
        <w:b w:val="0"/>
      </w:rPr>
    </w:lvl>
    <w:lvl w:ilvl="7" w:tentative="0">
      <w:start w:val="1"/>
      <w:numFmt w:val="decimal"/>
      <w:lvlText w:val="%1.%2.%3.%4.%5.%6.%7.%8"/>
      <w:lvlJc w:val="left"/>
      <w:pPr>
        <w:ind w:left="1440" w:hanging="1440"/>
      </w:pPr>
      <w:rPr>
        <w:rFonts w:hint="default" w:ascii="Times New Roman" w:hAnsi="Times New Roman" w:cs="Times New Roman"/>
        <w:b w:val="0"/>
      </w:rPr>
    </w:lvl>
    <w:lvl w:ilvl="8" w:tentative="0">
      <w:start w:val="1"/>
      <w:numFmt w:val="decimal"/>
      <w:lvlText w:val="%1.%2.%3.%4.%5.%6.%7.%8.%9"/>
      <w:lvlJc w:val="left"/>
      <w:pPr>
        <w:ind w:left="1800" w:hanging="1800"/>
      </w:pPr>
      <w:rPr>
        <w:rFonts w:hint="default" w:ascii="Times New Roman" w:hAnsi="Times New Roman" w:cs="Times New Roman"/>
        <w:b w:val="0"/>
      </w:rPr>
    </w:lvl>
  </w:abstractNum>
  <w:abstractNum w:abstractNumId="3">
    <w:nsid w:val="4E5B42B3"/>
    <w:multiLevelType w:val="multilevel"/>
    <w:tmpl w:val="4E5B42B3"/>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lvlOverride w:ilvl="0">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89F"/>
    <w:rsid w:val="000C3E13"/>
    <w:rsid w:val="001C679E"/>
    <w:rsid w:val="00481F63"/>
    <w:rsid w:val="0091475F"/>
    <w:rsid w:val="00F3589F"/>
    <w:rsid w:val="734169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5"/>
    <w:semiHidden/>
    <w:unhideWhenUsed/>
    <w:uiPriority w:val="0"/>
    <w:pPr>
      <w:jc w:val="left"/>
    </w:pPr>
    <w:rPr>
      <w:rFonts w:ascii="Times New Roman" w:hAnsi="Times New Roman" w:eastAsia="宋体" w:cs="Times New Roman"/>
      <w:szCs w:val="24"/>
    </w:rPr>
  </w:style>
  <w:style w:type="character" w:customStyle="1" w:styleId="5">
    <w:name w:val="批注文字 字符"/>
    <w:basedOn w:val="4"/>
    <w:link w:val="2"/>
    <w:semiHidden/>
    <w:uiPriority w:val="0"/>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3234</Words>
  <Characters>3507</Characters>
  <Lines>26</Lines>
  <Paragraphs>7</Paragraphs>
  <TotalTime>0</TotalTime>
  <ScaleCrop>false</ScaleCrop>
  <LinksUpToDate>false</LinksUpToDate>
  <CharactersWithSpaces>3629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2024-10-18T12:29:00Z</dcterms:created>
  <dc:creator>泽龙 张</dc:creator>
  <cp:lastModifiedBy>清</cp:lastModifiedBy>
  <dcterms:modified xsi:type="dcterms:W3CDTF">2024-10-21T02:49:18Z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C50AB7B31C0D445590D8061ECD515201_13</vt:lpwstr>
  </property>
</Properties>
</file>