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810AD">
      <w:pPr>
        <w:pStyle w:val="3"/>
        <w:spacing w:before="120" w:after="120" w:line="360" w:lineRule="auto"/>
        <w:rPr>
          <w:rFonts w:hint="eastAsia" w:ascii="宋体" w:hAnsi="宋体"/>
          <w:kern w:val="2"/>
          <w:sz w:val="32"/>
          <w:lang w:val="en-US" w:eastAsia="zh-CN"/>
        </w:rPr>
      </w:pPr>
      <w:bookmarkStart w:id="5" w:name="_GoBack"/>
      <w:bookmarkEnd w:id="5"/>
      <w:r>
        <w:rPr>
          <w:rFonts w:hint="eastAsia" w:ascii="宋体" w:hAnsi="宋体"/>
          <w:kern w:val="2"/>
          <w:sz w:val="32"/>
          <w:lang w:val="en-US" w:eastAsia="zh-CN"/>
        </w:rPr>
        <w:t>中国海洋大学高效液相色谱仪、电子舌等设备采购项目采购需求</w:t>
      </w:r>
    </w:p>
    <w:p w14:paraId="7AC55C86">
      <w:pPr>
        <w:pStyle w:val="6"/>
        <w:tabs>
          <w:tab w:val="left" w:pos="573"/>
        </w:tabs>
        <w:spacing w:after="0" w:line="360" w:lineRule="auto"/>
        <w:ind w:firstLine="482" w:firstLineChars="200"/>
        <w:rPr>
          <w:rFonts w:ascii="宋体" w:hAnsi="宋体"/>
          <w:b/>
          <w:kern w:val="2"/>
          <w:szCs w:val="24"/>
        </w:rPr>
      </w:pPr>
      <w:bookmarkStart w:id="0" w:name="_Toc88807247"/>
      <w:r>
        <w:rPr>
          <w:rFonts w:hint="eastAsia" w:ascii="宋体" w:hAnsi="宋体"/>
          <w:b/>
          <w:kern w:val="2"/>
          <w:szCs w:val="24"/>
        </w:rPr>
        <w:t>一、商务条件</w:t>
      </w:r>
    </w:p>
    <w:p w14:paraId="4E4A2989">
      <w:pPr>
        <w:pStyle w:val="6"/>
        <w:tabs>
          <w:tab w:val="left" w:pos="573"/>
        </w:tabs>
        <w:spacing w:after="0" w:line="360" w:lineRule="auto"/>
        <w:ind w:firstLine="482" w:firstLineChars="200"/>
        <w:rPr>
          <w:rFonts w:hint="eastAsia" w:ascii="宋体" w:hAnsi="宋体"/>
          <w:b/>
          <w:color w:val="auto"/>
          <w:kern w:val="2"/>
          <w:szCs w:val="24"/>
          <w:highlight w:val="none"/>
        </w:rPr>
      </w:pPr>
      <w:r>
        <w:rPr>
          <w:rFonts w:hint="eastAsia" w:ascii="宋体" w:hAnsi="宋体"/>
          <w:b/>
          <w:color w:val="auto"/>
          <w:kern w:val="2"/>
          <w:szCs w:val="24"/>
          <w:highlight w:val="none"/>
        </w:rPr>
        <w:t>1.交货期及交货地点</w:t>
      </w:r>
    </w:p>
    <w:p w14:paraId="6D6FEAF9">
      <w:pPr>
        <w:pStyle w:val="6"/>
        <w:tabs>
          <w:tab w:val="left" w:pos="573"/>
        </w:tabs>
        <w:spacing w:after="0" w:line="360" w:lineRule="auto"/>
        <w:ind w:firstLine="480" w:firstLineChars="200"/>
        <w:rPr>
          <w:rFonts w:ascii="宋体" w:hAnsi="宋体"/>
          <w:bCs/>
          <w:color w:val="auto"/>
          <w:kern w:val="2"/>
          <w:szCs w:val="24"/>
          <w:highlight w:val="none"/>
        </w:rPr>
      </w:pPr>
      <w:r>
        <w:rPr>
          <w:rFonts w:hint="eastAsia" w:ascii="宋体" w:hAnsi="宋体"/>
          <w:bCs/>
          <w:color w:val="auto"/>
          <w:kern w:val="2"/>
          <w:szCs w:val="24"/>
          <w:highlight w:val="none"/>
        </w:rPr>
        <w:t>1.1签订合同后按采购人要求供货，技术要求中有明确要求的执行技术要求中的交货期，投标人可根据自身情况自报最快交货时间。</w:t>
      </w:r>
    </w:p>
    <w:p w14:paraId="09D88C9B">
      <w:pPr>
        <w:pStyle w:val="6"/>
        <w:tabs>
          <w:tab w:val="left" w:pos="573"/>
        </w:tabs>
        <w:spacing w:after="0" w:line="360" w:lineRule="auto"/>
        <w:ind w:firstLine="480" w:firstLineChars="200"/>
        <w:rPr>
          <w:rFonts w:hint="eastAsia" w:ascii="宋体" w:hAnsi="宋体" w:eastAsia="宋体" w:cs="Times New Roman"/>
          <w:bCs/>
          <w:color w:val="auto"/>
          <w:kern w:val="2"/>
          <w:szCs w:val="24"/>
          <w:highlight w:val="none"/>
        </w:rPr>
      </w:pPr>
      <w:r>
        <w:rPr>
          <w:rFonts w:hint="eastAsia" w:ascii="宋体" w:hAnsi="宋体"/>
          <w:bCs/>
          <w:color w:val="auto"/>
          <w:kern w:val="2"/>
          <w:szCs w:val="24"/>
          <w:highlight w:val="none"/>
        </w:rPr>
        <w:t>1.2采购人指定地点。</w:t>
      </w:r>
    </w:p>
    <w:p w14:paraId="57826657">
      <w:pPr>
        <w:pStyle w:val="6"/>
        <w:tabs>
          <w:tab w:val="left" w:pos="573"/>
        </w:tabs>
        <w:spacing w:after="0" w:line="360" w:lineRule="auto"/>
        <w:ind w:firstLine="482" w:firstLineChars="200"/>
        <w:rPr>
          <w:rFonts w:hint="eastAsia" w:ascii="宋体" w:hAnsi="宋体"/>
          <w:b/>
          <w:color w:val="auto"/>
          <w:kern w:val="2"/>
          <w:szCs w:val="24"/>
          <w:highlight w:val="none"/>
        </w:rPr>
      </w:pPr>
      <w:r>
        <w:rPr>
          <w:rFonts w:hint="eastAsia" w:ascii="宋体" w:hAnsi="宋体"/>
          <w:b/>
          <w:color w:val="auto"/>
          <w:kern w:val="2"/>
          <w:szCs w:val="24"/>
          <w:highlight w:val="none"/>
        </w:rPr>
        <w:t>2.质量保证期</w:t>
      </w:r>
    </w:p>
    <w:p w14:paraId="00BE97D8">
      <w:pPr>
        <w:pStyle w:val="6"/>
        <w:tabs>
          <w:tab w:val="left" w:pos="573"/>
        </w:tabs>
        <w:spacing w:after="0" w:line="360" w:lineRule="auto"/>
        <w:ind w:firstLine="480" w:firstLineChars="200"/>
        <w:rPr>
          <w:rFonts w:hint="eastAsia" w:ascii="宋体" w:hAnsi="宋体"/>
          <w:bCs/>
          <w:color w:val="auto"/>
          <w:kern w:val="2"/>
          <w:szCs w:val="24"/>
          <w:highlight w:val="none"/>
        </w:rPr>
      </w:pPr>
      <w:r>
        <w:rPr>
          <w:rFonts w:hint="eastAsia" w:ascii="宋体" w:hAnsi="宋体"/>
          <w:bCs/>
          <w:color w:val="auto"/>
          <w:kern w:val="2"/>
          <w:szCs w:val="24"/>
          <w:highlight w:val="none"/>
        </w:rPr>
        <w:t>2.1质量保证期：</w:t>
      </w:r>
      <w:r>
        <w:rPr>
          <w:rFonts w:hint="eastAsia" w:ascii="宋体" w:hAnsi="宋体"/>
          <w:b/>
          <w:color w:val="auto"/>
          <w:kern w:val="2"/>
          <w:szCs w:val="24"/>
          <w:highlight w:val="none"/>
        </w:rPr>
        <w:t>国产设备自验收合格之日起3年，进口设备自验收合格之日起1年，技术要求中有明确要求的执行技术要求中的质保期。</w:t>
      </w:r>
      <w:r>
        <w:rPr>
          <w:rFonts w:hint="eastAsia" w:ascii="宋体" w:hAnsi="宋体" w:eastAsia="宋体" w:cs="Times New Roman"/>
          <w:bCs/>
          <w:color w:val="auto"/>
          <w:kern w:val="2"/>
          <w:szCs w:val="24"/>
          <w:highlight w:val="none"/>
        </w:rPr>
        <w:t>国</w:t>
      </w:r>
      <w:r>
        <w:rPr>
          <w:rFonts w:hint="eastAsia" w:ascii="宋体" w:hAnsi="宋体"/>
          <w:bCs/>
          <w:color w:val="auto"/>
          <w:kern w:val="2"/>
          <w:szCs w:val="24"/>
          <w:highlight w:val="none"/>
        </w:rPr>
        <w:t>家主管部门或者行业标准对货物本身有更高要求的，从其规定并在合同中约定，投标人亦可提报更长的质保期。</w:t>
      </w:r>
    </w:p>
    <w:p w14:paraId="590B8536">
      <w:pPr>
        <w:pStyle w:val="6"/>
        <w:tabs>
          <w:tab w:val="left" w:pos="573"/>
        </w:tabs>
        <w:spacing w:after="0" w:line="360" w:lineRule="auto"/>
        <w:ind w:firstLine="480" w:firstLineChars="200"/>
        <w:rPr>
          <w:rFonts w:hint="eastAsia" w:ascii="宋体" w:hAnsi="宋体" w:eastAsia="宋体" w:cs="Times New Roman"/>
          <w:bCs/>
          <w:color w:val="auto"/>
          <w:kern w:val="2"/>
          <w:szCs w:val="24"/>
          <w:highlight w:val="none"/>
        </w:rPr>
      </w:pPr>
      <w:r>
        <w:rPr>
          <w:rFonts w:hint="eastAsia" w:ascii="宋体" w:hAnsi="宋体" w:eastAsia="宋体" w:cs="Times New Roman"/>
          <w:bCs/>
          <w:color w:val="auto"/>
          <w:kern w:val="2"/>
          <w:szCs w:val="24"/>
          <w:highlight w:val="none"/>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0A735E68">
      <w:pPr>
        <w:pStyle w:val="6"/>
        <w:tabs>
          <w:tab w:val="left" w:pos="573"/>
        </w:tabs>
        <w:spacing w:after="0" w:line="360" w:lineRule="auto"/>
        <w:ind w:firstLine="480" w:firstLineChars="200"/>
        <w:rPr>
          <w:rFonts w:hint="eastAsia" w:ascii="宋体" w:hAnsi="宋体" w:eastAsia="宋体" w:cs="Times New Roman"/>
          <w:bCs/>
          <w:color w:val="auto"/>
          <w:kern w:val="2"/>
          <w:szCs w:val="24"/>
          <w:highlight w:val="none"/>
        </w:rPr>
      </w:pPr>
      <w:r>
        <w:rPr>
          <w:rFonts w:hint="eastAsia" w:ascii="宋体" w:hAnsi="宋体" w:eastAsia="宋体" w:cs="Times New Roman"/>
          <w:bCs/>
          <w:color w:val="auto"/>
          <w:kern w:val="2"/>
          <w:szCs w:val="24"/>
          <w:highlight w:val="none"/>
        </w:rPr>
        <w:t>2.</w:t>
      </w:r>
      <w:r>
        <w:rPr>
          <w:rFonts w:hint="eastAsia" w:ascii="宋体" w:hAnsi="宋体" w:eastAsia="宋体" w:cs="Times New Roman"/>
          <w:bCs/>
          <w:color w:val="auto"/>
          <w:kern w:val="2"/>
          <w:szCs w:val="24"/>
          <w:highlight w:val="none"/>
          <w:lang w:val="en-US" w:eastAsia="zh-CN"/>
        </w:rPr>
        <w:t>3</w:t>
      </w:r>
      <w:r>
        <w:rPr>
          <w:rFonts w:hint="eastAsia" w:ascii="宋体" w:hAnsi="宋体" w:eastAsia="宋体" w:cs="Times New Roman"/>
          <w:bCs/>
          <w:color w:val="auto"/>
          <w:kern w:val="2"/>
          <w:szCs w:val="24"/>
          <w:highlight w:val="none"/>
        </w:rPr>
        <w:t>质保期外的服务：如设备在质保期外发生故障，中标人继续以成本费用为用户提供技术服务。</w:t>
      </w:r>
    </w:p>
    <w:p w14:paraId="43F79F6B">
      <w:pPr>
        <w:pStyle w:val="6"/>
        <w:tabs>
          <w:tab w:val="left" w:pos="573"/>
        </w:tabs>
        <w:spacing w:after="0" w:line="360" w:lineRule="auto"/>
        <w:ind w:firstLine="482" w:firstLineChars="200"/>
        <w:rPr>
          <w:rFonts w:hint="eastAsia" w:ascii="宋体" w:hAnsi="宋体"/>
          <w:b/>
          <w:color w:val="auto"/>
          <w:kern w:val="2"/>
          <w:szCs w:val="24"/>
          <w:highlight w:val="none"/>
        </w:rPr>
      </w:pPr>
      <w:r>
        <w:rPr>
          <w:rFonts w:hint="eastAsia" w:ascii="宋体" w:hAnsi="宋体"/>
          <w:b/>
          <w:color w:val="auto"/>
          <w:kern w:val="2"/>
          <w:szCs w:val="24"/>
          <w:highlight w:val="none"/>
        </w:rPr>
        <w:t>3.付款方式</w:t>
      </w:r>
    </w:p>
    <w:p w14:paraId="50063445">
      <w:pPr>
        <w:pStyle w:val="6"/>
        <w:tabs>
          <w:tab w:val="left" w:pos="573"/>
        </w:tabs>
        <w:spacing w:after="0" w:line="360" w:lineRule="auto"/>
        <w:ind w:firstLine="480" w:firstLineChars="200"/>
        <w:rPr>
          <w:rFonts w:ascii="宋体" w:hAnsi="宋体"/>
          <w:bCs/>
          <w:color w:val="auto"/>
          <w:kern w:val="2"/>
          <w:szCs w:val="24"/>
          <w:highlight w:val="none"/>
        </w:rPr>
      </w:pPr>
      <w:r>
        <w:rPr>
          <w:rFonts w:hint="eastAsia" w:ascii="宋体" w:hAnsi="宋体"/>
          <w:bCs/>
          <w:color w:val="auto"/>
          <w:kern w:val="2"/>
          <w:szCs w:val="24"/>
          <w:highlight w:val="none"/>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color w:val="auto"/>
          <w:kern w:val="2"/>
          <w:szCs w:val="24"/>
          <w:highlight w:val="none"/>
          <w:lang w:eastAsia="zh-Hans"/>
        </w:rPr>
        <w:t>在扣除相关费用后</w:t>
      </w:r>
      <w:r>
        <w:rPr>
          <w:rFonts w:hint="eastAsia" w:ascii="宋体" w:hAnsi="宋体"/>
          <w:bCs/>
          <w:color w:val="auto"/>
          <w:kern w:val="2"/>
          <w:szCs w:val="24"/>
          <w:highlight w:val="none"/>
        </w:rPr>
        <w:t>将质保金</w:t>
      </w:r>
      <w:r>
        <w:rPr>
          <w:rFonts w:hint="eastAsia" w:ascii="宋体" w:hAnsi="宋体"/>
          <w:bCs/>
          <w:color w:val="auto"/>
          <w:kern w:val="2"/>
          <w:szCs w:val="24"/>
          <w:highlight w:val="none"/>
          <w:lang w:eastAsia="zh-Hans"/>
        </w:rPr>
        <w:t>无息</w:t>
      </w:r>
      <w:r>
        <w:rPr>
          <w:rFonts w:hint="eastAsia" w:ascii="宋体" w:hAnsi="宋体"/>
          <w:bCs/>
          <w:color w:val="auto"/>
          <w:kern w:val="2"/>
          <w:szCs w:val="24"/>
          <w:highlight w:val="none"/>
        </w:rPr>
        <w:t>返还乙方。合同金额在十万人民币以下的，甲方100%支付给乙方设备款。乙方于甲方付款之前须向甲方开具增值税专用发票/增值税普通发票，如为增值税专用发票需向甲方提供抵扣联。</w:t>
      </w:r>
    </w:p>
    <w:p w14:paraId="10B5CD74">
      <w:pPr>
        <w:pStyle w:val="6"/>
        <w:tabs>
          <w:tab w:val="left" w:pos="573"/>
        </w:tabs>
        <w:spacing w:after="0" w:line="360" w:lineRule="auto"/>
        <w:ind w:firstLine="480" w:firstLineChars="200"/>
        <w:rPr>
          <w:rFonts w:ascii="宋体" w:hAnsi="宋体"/>
          <w:bCs/>
          <w:color w:val="auto"/>
          <w:kern w:val="2"/>
          <w:szCs w:val="24"/>
          <w:highlight w:val="none"/>
        </w:rPr>
      </w:pPr>
      <w:r>
        <w:rPr>
          <w:rFonts w:hint="eastAsia" w:ascii="宋体" w:hAnsi="宋体"/>
          <w:bCs/>
          <w:color w:val="auto"/>
          <w:kern w:val="2"/>
          <w:szCs w:val="24"/>
          <w:highlight w:val="none"/>
        </w:rPr>
        <w:t>外贸货物：货物办理完免税手续后支付合同的80%，验收合格后</w:t>
      </w:r>
      <w:r>
        <w:rPr>
          <w:rFonts w:hint="eastAsia" w:ascii="宋体" w:hAnsi="宋体"/>
          <w:bCs/>
          <w:color w:val="auto"/>
          <w:kern w:val="2"/>
          <w:szCs w:val="24"/>
          <w:highlight w:val="none"/>
          <w:lang w:eastAsia="zh-Hans"/>
        </w:rPr>
        <w:t>支付</w:t>
      </w:r>
      <w:r>
        <w:rPr>
          <w:rFonts w:hint="eastAsia" w:ascii="宋体" w:hAnsi="宋体"/>
          <w:bCs/>
          <w:color w:val="auto"/>
          <w:kern w:val="2"/>
          <w:szCs w:val="24"/>
          <w:highlight w:val="none"/>
        </w:rPr>
        <w:t>20%。</w:t>
      </w:r>
    </w:p>
    <w:p w14:paraId="25B9D6E9">
      <w:pPr>
        <w:pStyle w:val="6"/>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2" w:firstLineChars="200"/>
        <w:textAlignment w:val="auto"/>
        <w:rPr>
          <w:rFonts w:hint="eastAsia" w:ascii="宋体" w:hAnsi="宋体"/>
          <w:b/>
          <w:color w:val="auto"/>
          <w:kern w:val="2"/>
          <w:szCs w:val="24"/>
          <w:highlight w:val="none"/>
        </w:rPr>
      </w:pPr>
      <w:r>
        <w:rPr>
          <w:rFonts w:hint="eastAsia" w:ascii="宋体" w:hAnsi="宋体"/>
          <w:b/>
          <w:color w:val="auto"/>
          <w:kern w:val="2"/>
          <w:szCs w:val="24"/>
          <w:highlight w:val="none"/>
        </w:rPr>
        <w:t>4.安装调试验收</w:t>
      </w:r>
    </w:p>
    <w:p w14:paraId="6359D783">
      <w:pPr>
        <w:pStyle w:val="6"/>
        <w:tabs>
          <w:tab w:val="left" w:pos="573"/>
        </w:tabs>
        <w:spacing w:after="0" w:line="360" w:lineRule="auto"/>
        <w:ind w:firstLine="480" w:firstLineChars="200"/>
        <w:rPr>
          <w:rFonts w:ascii="宋体" w:hAnsi="宋体"/>
          <w:bCs/>
          <w:color w:val="auto"/>
          <w:kern w:val="2"/>
          <w:szCs w:val="24"/>
          <w:highlight w:val="none"/>
        </w:rPr>
      </w:pPr>
      <w:r>
        <w:rPr>
          <w:rFonts w:hint="eastAsia" w:ascii="宋体" w:hAnsi="宋体"/>
          <w:bCs/>
          <w:color w:val="auto"/>
          <w:kern w:val="2"/>
          <w:szCs w:val="24"/>
          <w:highlight w:val="none"/>
        </w:rPr>
        <w:t>4.1中标人须保证所提供的产品能满足主管部门的验收要求，并保证通过验收。</w:t>
      </w:r>
    </w:p>
    <w:p w14:paraId="2FDBA9F5">
      <w:pPr>
        <w:pStyle w:val="6"/>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0" w:firstLineChars="200"/>
        <w:textAlignment w:val="auto"/>
        <w:rPr>
          <w:rFonts w:hint="eastAsia" w:ascii="宋体" w:hAnsi="宋体" w:eastAsia="宋体" w:cs="Times New Roman"/>
          <w:bCs/>
          <w:color w:val="auto"/>
          <w:kern w:val="2"/>
          <w:szCs w:val="24"/>
          <w:highlight w:val="none"/>
        </w:rPr>
      </w:pPr>
      <w:r>
        <w:rPr>
          <w:rFonts w:hint="eastAsia" w:ascii="宋体" w:hAnsi="宋体"/>
          <w:bCs/>
          <w:color w:val="auto"/>
          <w:kern w:val="2"/>
          <w:szCs w:val="24"/>
          <w:highlight w:val="none"/>
        </w:rPr>
        <w:t>4.2采购人将对货物数量、质量、规格等进行检验。如发现货物和规格或者两者都与招标文件、投标文件、合同不符，采购人有权限根据检验结果要求中标人立即更换或者提出索赔要求。</w:t>
      </w:r>
    </w:p>
    <w:p w14:paraId="30D04EFB">
      <w:pPr>
        <w:pStyle w:val="6"/>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2" w:firstLineChars="200"/>
        <w:textAlignment w:val="auto"/>
        <w:rPr>
          <w:rFonts w:hint="eastAsia" w:ascii="宋体" w:hAnsi="宋体"/>
          <w:b/>
          <w:color w:val="auto"/>
          <w:kern w:val="2"/>
          <w:szCs w:val="24"/>
          <w:highlight w:val="none"/>
        </w:rPr>
      </w:pPr>
      <w:r>
        <w:rPr>
          <w:rFonts w:hint="eastAsia" w:ascii="宋体" w:hAnsi="宋体"/>
          <w:b/>
          <w:color w:val="auto"/>
          <w:kern w:val="2"/>
          <w:szCs w:val="24"/>
          <w:highlight w:val="none"/>
        </w:rPr>
        <w:t>5.售后服务</w:t>
      </w:r>
    </w:p>
    <w:p w14:paraId="737E68DC">
      <w:pPr>
        <w:pStyle w:val="6"/>
        <w:tabs>
          <w:tab w:val="left" w:pos="573"/>
        </w:tabs>
        <w:spacing w:after="0" w:line="360" w:lineRule="auto"/>
        <w:ind w:firstLine="480" w:firstLineChars="200"/>
        <w:rPr>
          <w:rFonts w:ascii="宋体" w:hAnsi="宋体"/>
          <w:bCs/>
          <w:color w:val="auto"/>
          <w:kern w:val="2"/>
          <w:szCs w:val="24"/>
          <w:highlight w:val="none"/>
        </w:rPr>
      </w:pPr>
      <w:r>
        <w:rPr>
          <w:rFonts w:hint="eastAsia" w:ascii="宋体" w:hAnsi="宋体"/>
          <w:bCs/>
          <w:color w:val="auto"/>
          <w:kern w:val="2"/>
          <w:szCs w:val="24"/>
          <w:highlight w:val="none"/>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2653DB3B">
      <w:pPr>
        <w:pStyle w:val="6"/>
        <w:tabs>
          <w:tab w:val="left" w:pos="573"/>
        </w:tabs>
        <w:spacing w:after="0" w:line="360" w:lineRule="auto"/>
        <w:ind w:firstLine="480" w:firstLineChars="200"/>
        <w:rPr>
          <w:rFonts w:ascii="宋体" w:hAnsi="宋体"/>
          <w:bCs/>
          <w:color w:val="auto"/>
          <w:kern w:val="2"/>
          <w:szCs w:val="24"/>
          <w:highlight w:val="none"/>
        </w:rPr>
      </w:pPr>
      <w:r>
        <w:rPr>
          <w:rFonts w:hint="eastAsia" w:ascii="宋体" w:hAnsi="宋体"/>
          <w:bCs/>
          <w:color w:val="auto"/>
          <w:kern w:val="2"/>
          <w:szCs w:val="24"/>
          <w:highlight w:val="none"/>
        </w:rPr>
        <w:t>5.2质保期内中标人应提供及时周到的售后服务，在接到采购人通知2小时内做出响应并到达现场，24小时内维修完毕，不能在规定时间内修好的要免费提供备品（机）备件。</w:t>
      </w:r>
    </w:p>
    <w:p w14:paraId="50C86D0A">
      <w:pPr>
        <w:pStyle w:val="6"/>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0" w:firstLineChars="200"/>
        <w:textAlignment w:val="auto"/>
        <w:rPr>
          <w:rFonts w:hint="eastAsia" w:ascii="宋体" w:hAnsi="宋体" w:eastAsia="宋体" w:cs="Times New Roman"/>
          <w:bCs/>
          <w:color w:val="auto"/>
          <w:kern w:val="2"/>
          <w:szCs w:val="24"/>
          <w:highlight w:val="none"/>
        </w:rPr>
      </w:pPr>
      <w:r>
        <w:rPr>
          <w:rFonts w:hint="eastAsia" w:ascii="宋体" w:hAnsi="宋体"/>
          <w:bCs/>
          <w:color w:val="auto"/>
          <w:kern w:val="2"/>
          <w:szCs w:val="24"/>
          <w:highlight w:val="none"/>
        </w:rPr>
        <w:t>5.3质保期内，中标人应按照采购人要求无偿协助采购人开展设备调试，直至可实现设备的正常使用。</w:t>
      </w:r>
    </w:p>
    <w:p w14:paraId="2C6C525F">
      <w:pPr>
        <w:pStyle w:val="6"/>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2" w:firstLineChars="200"/>
        <w:textAlignment w:val="auto"/>
        <w:rPr>
          <w:rFonts w:hint="eastAsia" w:ascii="宋体" w:hAnsi="宋体"/>
          <w:b/>
          <w:color w:val="auto"/>
          <w:kern w:val="2"/>
          <w:szCs w:val="24"/>
          <w:highlight w:val="none"/>
        </w:rPr>
      </w:pPr>
      <w:r>
        <w:rPr>
          <w:rFonts w:hint="eastAsia" w:ascii="宋体" w:hAnsi="宋体"/>
          <w:b/>
          <w:color w:val="auto"/>
          <w:kern w:val="2"/>
          <w:szCs w:val="24"/>
          <w:highlight w:val="none"/>
        </w:rPr>
        <w:t>6.培训要求</w:t>
      </w:r>
    </w:p>
    <w:p w14:paraId="2CE3E68F">
      <w:pPr>
        <w:pStyle w:val="6"/>
        <w:keepNext w:val="0"/>
        <w:keepLines w:val="0"/>
        <w:pageBreakBefore w:val="0"/>
        <w:widowControl w:val="0"/>
        <w:tabs>
          <w:tab w:val="left" w:pos="573"/>
        </w:tabs>
        <w:kinsoku/>
        <w:wordWrap/>
        <w:overflowPunct/>
        <w:topLinePunct w:val="0"/>
        <w:autoSpaceDE/>
        <w:autoSpaceDN/>
        <w:bidi w:val="0"/>
        <w:adjustRightInd/>
        <w:snapToGrid w:val="0"/>
        <w:spacing w:after="0" w:line="360" w:lineRule="auto"/>
        <w:ind w:firstLine="480" w:firstLineChars="200"/>
        <w:textAlignment w:val="auto"/>
        <w:rPr>
          <w:rFonts w:hint="eastAsia" w:ascii="宋体" w:hAnsi="宋体"/>
          <w:bCs/>
          <w:color w:val="auto"/>
          <w:kern w:val="2"/>
          <w:szCs w:val="24"/>
          <w:highlight w:val="none"/>
        </w:rPr>
      </w:pPr>
      <w:r>
        <w:rPr>
          <w:rFonts w:hint="eastAsia" w:ascii="宋体" w:hAnsi="宋体"/>
          <w:bCs/>
          <w:color w:val="auto"/>
          <w:kern w:val="2"/>
          <w:szCs w:val="24"/>
          <w:highlight w:val="none"/>
        </w:rPr>
        <w:t>中标人免费为采购人提供中文操作手册并培训操作人员，其中包括讲解产品的结构以及原理、产品的使用以及维护保养，直至操作人员能够独立的操作使用。</w:t>
      </w:r>
    </w:p>
    <w:p w14:paraId="68453B36">
      <w:pPr>
        <w:numPr>
          <w:ilvl w:val="0"/>
          <w:numId w:val="1"/>
        </w:numPr>
        <w:spacing w:line="360" w:lineRule="auto"/>
        <w:rPr>
          <w:rFonts w:hint="eastAsia" w:ascii="宋体" w:hAnsi="宋体"/>
          <w:b/>
          <w:sz w:val="24"/>
        </w:rPr>
      </w:pPr>
      <w:r>
        <w:rPr>
          <w:rFonts w:hint="eastAsia" w:ascii="宋体" w:hAnsi="宋体" w:cs="宋体"/>
          <w:b/>
          <w:bCs/>
        </w:rPr>
        <w:br w:type="page"/>
      </w:r>
      <w:r>
        <w:rPr>
          <w:rFonts w:hint="eastAsia" w:ascii="宋体" w:hAnsi="宋体"/>
          <w:b/>
          <w:sz w:val="24"/>
        </w:rPr>
        <w:t>采购内容</w:t>
      </w:r>
    </w:p>
    <w:bookmarkEnd w:id="0"/>
    <w:p w14:paraId="331B3F05">
      <w:pPr>
        <w:spacing w:line="360" w:lineRule="auto"/>
        <w:jc w:val="center"/>
        <w:rPr>
          <w:rFonts w:hint="eastAsia" w:ascii="宋体" w:hAnsi="宋体"/>
          <w:b/>
          <w:sz w:val="24"/>
        </w:rPr>
      </w:pPr>
      <w:r>
        <w:rPr>
          <w:rFonts w:hint="eastAsia" w:ascii="宋体" w:hAnsi="宋体" w:cs="宋体"/>
          <w:b/>
          <w:bCs/>
          <w:sz w:val="24"/>
        </w:rPr>
        <w:t>第一包：</w:t>
      </w:r>
    </w:p>
    <w:tbl>
      <w:tblPr>
        <w:tblStyle w:val="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1246"/>
        <w:gridCol w:w="4835"/>
        <w:gridCol w:w="763"/>
        <w:gridCol w:w="1315"/>
      </w:tblGrid>
      <w:tr w14:paraId="43404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14:paraId="0CE44A91">
            <w:pPr>
              <w:spacing w:after="200"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246" w:type="dxa"/>
            <w:noWrap w:val="0"/>
            <w:vAlign w:val="center"/>
          </w:tcPr>
          <w:p w14:paraId="70ABC98A">
            <w:pPr>
              <w:spacing w:after="200"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设备名称</w:t>
            </w:r>
          </w:p>
        </w:tc>
        <w:tc>
          <w:tcPr>
            <w:tcW w:w="4835" w:type="dxa"/>
            <w:noWrap w:val="0"/>
            <w:vAlign w:val="center"/>
          </w:tcPr>
          <w:p w14:paraId="66206C9C">
            <w:pPr>
              <w:spacing w:after="200"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技术需求</w:t>
            </w:r>
          </w:p>
        </w:tc>
        <w:tc>
          <w:tcPr>
            <w:tcW w:w="763" w:type="dxa"/>
            <w:noWrap w:val="0"/>
            <w:vAlign w:val="center"/>
          </w:tcPr>
          <w:p w14:paraId="5B9093CA">
            <w:pPr>
              <w:spacing w:after="200"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数量</w:t>
            </w:r>
          </w:p>
        </w:tc>
        <w:tc>
          <w:tcPr>
            <w:tcW w:w="1315" w:type="dxa"/>
            <w:noWrap w:val="0"/>
            <w:vAlign w:val="center"/>
          </w:tcPr>
          <w:p w14:paraId="32F57E64">
            <w:pPr>
              <w:spacing w:after="200"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单价限价（万元）</w:t>
            </w:r>
          </w:p>
        </w:tc>
      </w:tr>
      <w:tr w14:paraId="7165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14:paraId="3823C842">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246" w:type="dxa"/>
            <w:noWrap w:val="0"/>
            <w:vAlign w:val="center"/>
          </w:tcPr>
          <w:p w14:paraId="1653DB9B">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4835" w:type="dxa"/>
            <w:noWrap w:val="0"/>
            <w:vAlign w:val="center"/>
          </w:tcPr>
          <w:p w14:paraId="0A9646F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1.四元梯度泵：</w:t>
            </w:r>
          </w:p>
          <w:p w14:paraId="7BA011B8">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u w:val="single"/>
              </w:rPr>
              <w:t>★（1）液压系统：双柱塞串联泵设计，具有伺服控制可变冲程（20-100μL）驱动，通过齿轮和滚珠螺杆传输动力，浮动柱塞，为保证仪器耐用性，不接受皮带轮驱动；</w:t>
            </w:r>
          </w:p>
          <w:p w14:paraId="4AEF0FFE">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（2）自动柱塞清洗装置，有效防止高盐浓度流动相对柱塞的磨损，实时维护泵的性能；</w:t>
            </w:r>
          </w:p>
          <w:p w14:paraId="1A2B428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（3）四元梯度泵通过高速比例阀控制形成四元梯度混合，标准配置在线真空脱气机；</w:t>
            </w:r>
          </w:p>
          <w:p w14:paraId="08A26400">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（4）可设定流量范围：0.001~10mL/min，增量为0.001mL/min；</w:t>
            </w:r>
          </w:p>
          <w:p w14:paraId="647BF03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（5）压力操作范围：操作范围最大可达39Mpa；</w:t>
            </w:r>
          </w:p>
          <w:p w14:paraId="620241A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（6）梯度精度：＜0.23%RSD；</w:t>
            </w:r>
          </w:p>
          <w:p w14:paraId="2753CDC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（7）流量精度：≤0.072%RSD。</w:t>
            </w:r>
          </w:p>
          <w:p w14:paraId="008275A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2.样品瓶进样器：</w:t>
            </w:r>
          </w:p>
          <w:p w14:paraId="104AA23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（1）自动进样器采用高压、阀进样技术。使用微型计量泵准确控制取样体积，进样后，进样针始终置于流路中，保证最小样品残留量；</w:t>
            </w:r>
          </w:p>
          <w:p w14:paraId="634D9B4C">
            <w:pPr>
              <w:widowControl/>
              <w:spacing w:after="200" w:line="360" w:lineRule="auto"/>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★（2）自动进样器能进行编程进样，用于进行柱前衍生，柱前样品自动稀释，自动混合进样方式。此外，可根据样品的粘度，调节取样及进样速度；</w:t>
            </w:r>
          </w:p>
          <w:p w14:paraId="5E1EC6D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（3）进样范围：0.1~100μL，增量为0.1μL；</w:t>
            </w:r>
          </w:p>
          <w:p w14:paraId="665675F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（4）精度：以峰面积计&lt;0.25%RSD；</w:t>
            </w:r>
          </w:p>
          <w:p w14:paraId="6A143B5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（5）进样器工作耐受的压力大于等于550MPa；</w:t>
            </w:r>
          </w:p>
          <w:p w14:paraId="3AB56709">
            <w:pPr>
              <w:widowControl/>
              <w:spacing w:after="200" w:line="360" w:lineRule="auto"/>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★（6）样品容量：不低于130个容量为2mL的样品瓶。</w:t>
            </w:r>
          </w:p>
          <w:p w14:paraId="3777833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3.柱温箱：</w:t>
            </w:r>
          </w:p>
          <w:p w14:paraId="1594E380">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（1）操作原理：带有两个独立帕尔帖单元的柱温箱；</w:t>
            </w:r>
          </w:p>
          <w:p w14:paraId="5AB75850">
            <w:pPr>
              <w:widowControl/>
              <w:spacing w:after="200" w:line="360" w:lineRule="auto"/>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★（2）温度范围：高于环境温度5℃至80℃；</w:t>
            </w:r>
          </w:p>
          <w:p w14:paraId="57E19048">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（3）温度稳定性：±0.1℃；</w:t>
            </w:r>
          </w:p>
          <w:p w14:paraId="6D0EA7F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（4）温度准确度：±0.5℃；</w:t>
            </w:r>
          </w:p>
          <w:p w14:paraId="6413E85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（5）温度精度：≤0.05℃。</w:t>
            </w:r>
          </w:p>
          <w:p w14:paraId="151C6D8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4.示差折光检测器：</w:t>
            </w:r>
          </w:p>
          <w:p w14:paraId="06C29E5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（1）检测器类型：示差折光；</w:t>
            </w:r>
          </w:p>
          <w:p w14:paraId="6660B88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（2）短期噪音：＜±1.25×10</w:t>
            </w:r>
            <w:r>
              <w:rPr>
                <w:rFonts w:hint="eastAsia" w:ascii="宋体" w:hAnsi="宋体" w:eastAsia="宋体" w:cs="宋体"/>
                <w:color w:val="000000"/>
                <w:sz w:val="24"/>
                <w:szCs w:val="24"/>
                <w:vertAlign w:val="superscript"/>
              </w:rPr>
              <w:t>-9</w:t>
            </w:r>
            <w:r>
              <w:rPr>
                <w:rFonts w:hint="eastAsia" w:ascii="宋体" w:hAnsi="宋体" w:eastAsia="宋体" w:cs="宋体"/>
                <w:color w:val="000000"/>
                <w:sz w:val="24"/>
                <w:szCs w:val="24"/>
              </w:rPr>
              <w:t>RIU；</w:t>
            </w:r>
          </w:p>
          <w:p w14:paraId="16932758">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（3）漂移：&lt;200×10</w:t>
            </w:r>
            <w:r>
              <w:rPr>
                <w:rFonts w:hint="eastAsia" w:ascii="宋体" w:hAnsi="宋体" w:eastAsia="宋体" w:cs="宋体"/>
                <w:color w:val="000000"/>
                <w:sz w:val="24"/>
                <w:szCs w:val="24"/>
                <w:vertAlign w:val="superscript"/>
              </w:rPr>
              <w:t>-9</w:t>
            </w:r>
            <w:r>
              <w:rPr>
                <w:rFonts w:hint="eastAsia" w:ascii="宋体" w:hAnsi="宋体" w:eastAsia="宋体" w:cs="宋体"/>
                <w:color w:val="000000"/>
                <w:sz w:val="24"/>
                <w:szCs w:val="24"/>
              </w:rPr>
              <w:t>RIU/h；</w:t>
            </w:r>
          </w:p>
          <w:p w14:paraId="5C3036F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（4）示差折光范围：1.00</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1.75RIU；</w:t>
            </w:r>
          </w:p>
          <w:p w14:paraId="2225E85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（5）测量范围：±600×10</w:t>
            </w:r>
            <w:r>
              <w:rPr>
                <w:rFonts w:hint="eastAsia" w:ascii="宋体" w:hAnsi="宋体" w:eastAsia="宋体" w:cs="宋体"/>
                <w:color w:val="000000"/>
                <w:sz w:val="24"/>
                <w:szCs w:val="24"/>
                <w:vertAlign w:val="superscript"/>
              </w:rPr>
              <w:t>-6</w:t>
            </w:r>
            <w:r>
              <w:rPr>
                <w:rFonts w:hint="eastAsia" w:ascii="宋体" w:hAnsi="宋体" w:eastAsia="宋体" w:cs="宋体"/>
                <w:color w:val="000000"/>
                <w:sz w:val="24"/>
                <w:szCs w:val="24"/>
              </w:rPr>
              <w:t>RIU；</w:t>
            </w:r>
          </w:p>
          <w:p w14:paraId="66CADE6D">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（6）pH值范围：2.3</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9.5；</w:t>
            </w:r>
          </w:p>
          <w:p w14:paraId="4C9CA7C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（7）数据采集速率：不低于70Hz。</w:t>
            </w:r>
          </w:p>
          <w:p w14:paraId="0271FD81">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5.可变波长紫外检测器：</w:t>
            </w:r>
          </w:p>
          <w:p w14:paraId="40C193C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（1）检测类型：双光束光度计；</w:t>
            </w:r>
          </w:p>
          <w:p w14:paraId="4B5F6CC8">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（2）光源：氘灯；</w:t>
            </w:r>
          </w:p>
          <w:p w14:paraId="181ECB38">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（3）信号数量：单波长检测和双波长检测；</w:t>
            </w:r>
          </w:p>
          <w:p w14:paraId="4700DB53">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（4）波长范围：190~590nm；</w:t>
            </w:r>
          </w:p>
          <w:p w14:paraId="0967501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（5）狭缝宽度：6.5nm，整个波长范围上的典型值；</w:t>
            </w:r>
          </w:p>
          <w:p w14:paraId="1E37C492">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（6）光谱工具：停流波长扫描；</w:t>
            </w:r>
          </w:p>
          <w:p w14:paraId="305A2D2E">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（7）波长准确度：±1nm，使用氘灯自校准，使用氧化钬滤光片验证；</w:t>
            </w:r>
          </w:p>
          <w:p w14:paraId="201EC9E1">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（8）波长精度：＜±0.1nm；</w:t>
            </w:r>
          </w:p>
          <w:p w14:paraId="2E189802">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（9）噪音：&lt;0.25×10</w:t>
            </w:r>
            <w:r>
              <w:rPr>
                <w:rFonts w:hint="eastAsia" w:ascii="宋体" w:hAnsi="宋体" w:eastAsia="宋体" w:cs="宋体"/>
                <w:color w:val="000000"/>
                <w:sz w:val="24"/>
                <w:szCs w:val="24"/>
                <w:vertAlign w:val="superscript"/>
              </w:rPr>
              <w:t>-5</w:t>
            </w:r>
            <w:r>
              <w:rPr>
                <w:rFonts w:hint="eastAsia" w:ascii="宋体" w:hAnsi="宋体" w:eastAsia="宋体" w:cs="宋体"/>
                <w:color w:val="000000"/>
                <w:sz w:val="24"/>
                <w:szCs w:val="24"/>
              </w:rPr>
              <w:t>AU，230nm（单波长检测）；&lt;0.80×10</w:t>
            </w:r>
            <w:r>
              <w:rPr>
                <w:rFonts w:hint="eastAsia" w:ascii="宋体" w:hAnsi="宋体" w:eastAsia="宋体" w:cs="宋体"/>
                <w:color w:val="000000"/>
                <w:sz w:val="24"/>
                <w:szCs w:val="24"/>
                <w:vertAlign w:val="superscript"/>
              </w:rPr>
              <w:t>-5</w:t>
            </w:r>
            <w:r>
              <w:rPr>
                <w:rFonts w:hint="eastAsia" w:ascii="宋体" w:hAnsi="宋体" w:eastAsia="宋体" w:cs="宋体"/>
                <w:color w:val="000000"/>
                <w:sz w:val="24"/>
                <w:szCs w:val="24"/>
              </w:rPr>
              <w:t>AU，230nm和254nm（双波长检测）；</w:t>
            </w:r>
          </w:p>
          <w:p w14:paraId="1FFC8DF3">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（10）基线漂移：在230nm处，1´10</w:t>
            </w:r>
            <w:r>
              <w:rPr>
                <w:rFonts w:hint="eastAsia" w:ascii="宋体" w:hAnsi="宋体" w:eastAsia="宋体" w:cs="宋体"/>
                <w:color w:val="000000"/>
                <w:sz w:val="24"/>
                <w:szCs w:val="24"/>
                <w:vertAlign w:val="superscript"/>
              </w:rPr>
              <w:t>-4</w:t>
            </w:r>
            <w:r>
              <w:rPr>
                <w:rFonts w:hint="eastAsia" w:ascii="宋体" w:hAnsi="宋体" w:eastAsia="宋体" w:cs="宋体"/>
                <w:color w:val="000000"/>
                <w:sz w:val="24"/>
                <w:szCs w:val="24"/>
              </w:rPr>
              <w:t>AU/h；</w:t>
            </w:r>
          </w:p>
          <w:p w14:paraId="2E7EE9D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（11）线性：&gt;2.5AU上限；</w:t>
            </w:r>
          </w:p>
          <w:p w14:paraId="4E7EB17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（12）最大采样速率：≥120Hz（单波长检测），2.5Hz（双波长检测）。</w:t>
            </w:r>
          </w:p>
          <w:p w14:paraId="25C6EC5D">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6.荧光检测器：</w:t>
            </w:r>
          </w:p>
          <w:p w14:paraId="7922A61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（1）检测器类型：单信号波长（激发和发射），可编程单波长（激发和发射）荧光检测器；</w:t>
            </w:r>
          </w:p>
          <w:p w14:paraId="48A4D8D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（2）灵敏度（参考条件：标准池8μL，响应时间4s，HPLC级水和限流毛细管）。</w:t>
            </w:r>
          </w:p>
          <w:p w14:paraId="2467821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7.单波长操作：</w:t>
            </w:r>
          </w:p>
          <w:p w14:paraId="20EB45F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（1）拉曼（H2O）&gt;500（信号时测量的噪音参考），Ex=350nm，Em=397nm，暗值450nm，标准流通池；</w:t>
            </w:r>
          </w:p>
          <w:p w14:paraId="2A16A0EE">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（2）拉曼（H2O）&gt;3000（暗值时测量的噪音参考），Ex=350nm，Em=397nm，暗值450nm，标准流通池；</w:t>
            </w:r>
          </w:p>
          <w:p w14:paraId="431E5881">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（3）光源：氙闪光灯，常规模式20W，节能模式5W，寿命≥4000h；</w:t>
            </w:r>
          </w:p>
          <w:p w14:paraId="329986E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（4）脉冲频率：单一信号模式296Hz，节能模式74Hz；</w:t>
            </w:r>
          </w:p>
          <w:p w14:paraId="15EF6EE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（5）激发单色器：范围200~1200nm和零级；带宽20nm（固定）；单色器：全息凹面光栅，F/1.6，闪耀波长300nm；</w:t>
            </w:r>
          </w:p>
          <w:p w14:paraId="76DD02B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（6）发射单色器：范围200~1200nm和零级；带宽20nm（固定）；单色器：全息凹面光栅，F/1.6，闪耀波长400nm；</w:t>
            </w:r>
          </w:p>
          <w:p w14:paraId="0381118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（7）时间表编程：单信号波长、响应时间、PMT增益、基线行为（增补、自由、零）；</w:t>
            </w:r>
          </w:p>
          <w:p w14:paraId="6D7782B0">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（8）最大数据采集速率：74Hz；</w:t>
            </w:r>
          </w:p>
          <w:p w14:paraId="584D737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（9）波长特性：重复性±0.2nm，准确性±3nm设置。</w:t>
            </w:r>
          </w:p>
        </w:tc>
        <w:tc>
          <w:tcPr>
            <w:tcW w:w="763" w:type="dxa"/>
            <w:noWrap w:val="0"/>
            <w:vAlign w:val="center"/>
          </w:tcPr>
          <w:p w14:paraId="20900C25">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15" w:type="dxa"/>
            <w:noWrap w:val="0"/>
            <w:vAlign w:val="center"/>
          </w:tcPr>
          <w:p w14:paraId="06B7E0D9">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58.00</w:t>
            </w:r>
          </w:p>
        </w:tc>
      </w:tr>
      <w:tr w14:paraId="6F36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14:paraId="40511503">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246" w:type="dxa"/>
            <w:noWrap w:val="0"/>
            <w:vAlign w:val="center"/>
          </w:tcPr>
          <w:p w14:paraId="55AD2BB1">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微阵列芯片扫描系统</w:t>
            </w:r>
          </w:p>
        </w:tc>
        <w:tc>
          <w:tcPr>
            <w:tcW w:w="4835" w:type="dxa"/>
            <w:noWrap w:val="0"/>
            <w:vAlign w:val="center"/>
          </w:tcPr>
          <w:p w14:paraId="5E6BBE5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一、杂交系统</w:t>
            </w:r>
          </w:p>
          <w:p w14:paraId="23F821A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1.杂交原理：三维摇动式的盖片下的杂交方式；支持静止杂交；</w:t>
            </w:r>
          </w:p>
          <w:p w14:paraId="0F2A091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2.连续性三维摇动设计，恒温密闭循环系统；</w:t>
            </w:r>
          </w:p>
          <w:p w14:paraId="4C9A8F90">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3.内嵌式系统控制，LCD触摸屏操控，不需要外接电脑，使用方便，操作简单；</w:t>
            </w:r>
          </w:p>
          <w:p w14:paraId="2C217FD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4.控温范围：30-65℃；温度控制精度：±0.5℃；</w:t>
            </w:r>
          </w:p>
          <w:p w14:paraId="13D0DF1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5.最大杂交区域：22×72mm；</w:t>
            </w:r>
          </w:p>
          <w:p w14:paraId="4B14EC0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6.芯片容量：杂交1-12片芯片（还可用0.2ml，1.5ml，15ml，50ml的试管若干）；</w:t>
            </w:r>
          </w:p>
          <w:p w14:paraId="388BCD2D">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7.转速：5-30转/分，或静止杂交；</w:t>
            </w:r>
          </w:p>
          <w:p w14:paraId="6B79D84F">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8.定时范围：每段0-24小时；最多4段（不包括清洗段）；</w:t>
            </w:r>
          </w:p>
          <w:p w14:paraId="6990AFC8">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9.杂交液体积：3-400μl；</w:t>
            </w:r>
          </w:p>
          <w:p w14:paraId="40F9C151">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10.样品温控台：可放置0.5ml或1.5ml管子，可以预热杂交液，以方便使用；</w:t>
            </w:r>
          </w:p>
          <w:p w14:paraId="18C29C6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11.玻片放置方式：无特殊要求；</w:t>
            </w:r>
          </w:p>
          <w:p w14:paraId="0F80A69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12.可以同时提供10个以上独立的杂交程序（最多可达99个程序）。</w:t>
            </w:r>
          </w:p>
          <w:p w14:paraId="7FFFFF2D">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二、芯片洗干模块</w:t>
            </w:r>
          </w:p>
          <w:p w14:paraId="291DEE2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1.集成洗液加热、清洗、离心三种功能；</w:t>
            </w:r>
          </w:p>
          <w:p w14:paraId="27931AE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2.清洗温控范围：RT（室温）～60ºC；</w:t>
            </w:r>
          </w:p>
          <w:p w14:paraId="14D8946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3.清洗上液时间：&lt;30s；</w:t>
            </w:r>
          </w:p>
          <w:p w14:paraId="681FC473">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4.清洗干燥通量：24片；</w:t>
            </w:r>
          </w:p>
          <w:p w14:paraId="4CD1BB9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5.洗液体积：400mL/次；</w:t>
            </w:r>
          </w:p>
          <w:p w14:paraId="71725BE0">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6.单段清洗时间设置：5～999s；</w:t>
            </w:r>
          </w:p>
          <w:p w14:paraId="6BF808C7">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7.清洗力度：1-10；</w:t>
            </w:r>
          </w:p>
          <w:p w14:paraId="417B388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8.触摸屏，自由设定洗液类型（可使用两种洗液）、清洗时间、温度、次数等流程参数</w:t>
            </w:r>
          </w:p>
          <w:p w14:paraId="628CF485">
            <w:pPr>
              <w:widowControl/>
              <w:spacing w:after="200" w:line="360"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9.仪器尺寸：约560mm×530mm×365mm（宽×深×高）</w:t>
            </w:r>
            <w:r>
              <w:rPr>
                <w:rFonts w:hint="eastAsia" w:ascii="宋体" w:hAnsi="宋体" w:eastAsia="宋体" w:cs="宋体"/>
                <w:color w:val="000000"/>
                <w:sz w:val="24"/>
                <w:szCs w:val="24"/>
                <w:lang w:eastAsia="zh-CN"/>
              </w:rPr>
              <w:t>。</w:t>
            </w:r>
          </w:p>
          <w:p w14:paraId="6F4A6C5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三、扫描模块</w:t>
            </w:r>
          </w:p>
          <w:p w14:paraId="0253DBC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1.检测原理：激光共聚焦扫描；</w:t>
            </w:r>
          </w:p>
          <w:p w14:paraId="59A04F40">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2.扫描方式：平台运动式顺序扫描，消除交叉干扰；</w:t>
            </w:r>
          </w:p>
          <w:p w14:paraId="51153F8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3.芯片尺寸：（76.20±0.50）mm</w:t>
            </w:r>
            <w:bookmarkStart w:id="1" w:name="OLE_LINK12"/>
            <w:r>
              <w:rPr>
                <w:rFonts w:hint="eastAsia" w:ascii="宋体" w:hAnsi="宋体" w:eastAsia="宋体" w:cs="宋体"/>
                <w:color w:val="000000"/>
                <w:sz w:val="24"/>
                <w:szCs w:val="24"/>
              </w:rPr>
              <w:t>×</w:t>
            </w:r>
            <w:bookmarkEnd w:id="1"/>
            <w:r>
              <w:rPr>
                <w:rFonts w:hint="eastAsia" w:ascii="宋体" w:hAnsi="宋体" w:eastAsia="宋体" w:cs="宋体"/>
                <w:color w:val="000000"/>
                <w:sz w:val="24"/>
                <w:szCs w:val="24"/>
              </w:rPr>
              <w:t>（25.40±0.25）mm×（1.00±0.10）mm；</w:t>
            </w:r>
          </w:p>
          <w:p w14:paraId="43AB2E01">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4.扫描区域：22mm×72mm；</w:t>
            </w:r>
          </w:p>
          <w:p w14:paraId="1118CB2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5.扫描速度：≥30秒/</w:t>
            </w:r>
            <w:r>
              <w:rPr>
                <w:rFonts w:hint="eastAsia" w:ascii="宋体" w:hAnsi="宋体" w:eastAsia="宋体" w:cs="宋体"/>
                <w:color w:val="000000"/>
                <w:sz w:val="24"/>
                <w:szCs w:val="24"/>
                <w:lang w:val="en-US" w:eastAsia="zh-CN"/>
              </w:rPr>
              <w:t>cm</w:t>
            </w:r>
            <w:r>
              <w:rPr>
                <w:rFonts w:hint="eastAsia" w:ascii="宋体" w:hAnsi="宋体" w:eastAsia="宋体" w:cs="宋体"/>
                <w:color w:val="000000"/>
                <w:sz w:val="24"/>
                <w:szCs w:val="24"/>
                <w:vertAlign w:val="superscript"/>
                <w:lang w:val="en-US" w:eastAsia="zh-CN"/>
              </w:rPr>
              <w:t>2</w:t>
            </w:r>
            <w:r>
              <w:rPr>
                <w:rFonts w:hint="eastAsia" w:ascii="宋体" w:hAnsi="宋体" w:eastAsia="宋体" w:cs="宋体"/>
                <w:color w:val="000000"/>
                <w:sz w:val="24"/>
                <w:szCs w:val="24"/>
              </w:rPr>
              <w:t>（10μm分辨率）；</w:t>
            </w:r>
          </w:p>
          <w:p w14:paraId="6976BD17">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6.激发波长：532nm；</w:t>
            </w:r>
          </w:p>
          <w:p w14:paraId="2176330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7.发射波长：570nm；</w:t>
            </w:r>
          </w:p>
          <w:p w14:paraId="6AAB5E63">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8.动态范围：＞10³；</w:t>
            </w:r>
          </w:p>
          <w:p w14:paraId="16F5CF6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9.重复性：≥95%（CV≤10%）；</w:t>
            </w:r>
          </w:p>
          <w:p w14:paraId="3AE3F674">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10.扫描分辨率：5um</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10um</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20um</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40um可选；</w:t>
            </w:r>
          </w:p>
          <w:p w14:paraId="363A477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11.检测灵敏度：≤0.1个荧光分子/u</w:t>
            </w:r>
            <w:r>
              <w:rPr>
                <w:rFonts w:hint="eastAsia" w:ascii="宋体" w:hAnsi="宋体" w:eastAsia="宋体" w:cs="宋体"/>
                <w:color w:val="000000"/>
                <w:sz w:val="24"/>
                <w:szCs w:val="24"/>
                <w:lang w:val="en-US" w:eastAsia="zh-CN"/>
              </w:rPr>
              <w:t>m</w:t>
            </w:r>
            <w:r>
              <w:rPr>
                <w:rFonts w:hint="eastAsia" w:ascii="宋体" w:hAnsi="宋体" w:eastAsia="宋体" w:cs="宋体"/>
                <w:color w:val="000000"/>
                <w:sz w:val="24"/>
                <w:szCs w:val="24"/>
                <w:vertAlign w:val="superscript"/>
                <w:lang w:val="en-US" w:eastAsia="zh-CN"/>
              </w:rPr>
              <w:t>2</w:t>
            </w:r>
            <w:r>
              <w:rPr>
                <w:rFonts w:hint="eastAsia" w:ascii="宋体" w:hAnsi="宋体" w:eastAsia="宋体" w:cs="宋体"/>
                <w:color w:val="000000"/>
                <w:sz w:val="24"/>
                <w:szCs w:val="24"/>
              </w:rPr>
              <w:t>；</w:t>
            </w:r>
          </w:p>
          <w:p w14:paraId="2D934D8B">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12.提供仪器控制和数据分析集成软件一套；</w:t>
            </w:r>
          </w:p>
          <w:p w14:paraId="5C788AC7">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13.图像文件格式：TIFF、BMP、JPEG、PNG、LSR等；</w:t>
            </w:r>
          </w:p>
          <w:p w14:paraId="3A1F4D4D">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14.分析功能：自动找点、对齐和数据提取功能；</w:t>
            </w:r>
          </w:p>
          <w:p w14:paraId="73772820">
            <w:pPr>
              <w:widowControl/>
              <w:spacing w:after="200" w:line="360" w:lineRule="auto"/>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15.外形尺寸：约540mm</w:t>
            </w:r>
            <w:bookmarkStart w:id="2" w:name="OLE_LINK14"/>
            <w:r>
              <w:rPr>
                <w:rFonts w:hint="eastAsia" w:ascii="宋体" w:hAnsi="宋体" w:eastAsia="宋体" w:cs="宋体"/>
                <w:color w:val="000000"/>
                <w:sz w:val="24"/>
                <w:szCs w:val="24"/>
              </w:rPr>
              <w:t>×</w:t>
            </w:r>
            <w:bookmarkEnd w:id="2"/>
            <w:r>
              <w:rPr>
                <w:rFonts w:hint="eastAsia" w:ascii="宋体" w:hAnsi="宋体" w:eastAsia="宋体" w:cs="宋体"/>
                <w:color w:val="000000"/>
                <w:sz w:val="24"/>
                <w:szCs w:val="24"/>
              </w:rPr>
              <w:t>360mm×220mm（长×宽×高）</w:t>
            </w:r>
            <w:r>
              <w:rPr>
                <w:rFonts w:hint="eastAsia" w:ascii="宋体" w:hAnsi="宋体" w:eastAsia="宋体" w:cs="宋体"/>
                <w:color w:val="000000"/>
                <w:sz w:val="24"/>
                <w:szCs w:val="24"/>
                <w:lang w:eastAsia="zh-CN"/>
              </w:rPr>
              <w:t>。</w:t>
            </w:r>
          </w:p>
        </w:tc>
        <w:tc>
          <w:tcPr>
            <w:tcW w:w="763" w:type="dxa"/>
            <w:noWrap w:val="0"/>
            <w:vAlign w:val="center"/>
          </w:tcPr>
          <w:p w14:paraId="74A6C5C9">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15" w:type="dxa"/>
            <w:noWrap w:val="0"/>
            <w:vAlign w:val="center"/>
          </w:tcPr>
          <w:p w14:paraId="2389FB57">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60.00</w:t>
            </w:r>
          </w:p>
        </w:tc>
      </w:tr>
      <w:tr w14:paraId="325F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14:paraId="64F0B11D">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246" w:type="dxa"/>
            <w:noWrap w:val="0"/>
            <w:vAlign w:val="center"/>
          </w:tcPr>
          <w:p w14:paraId="4A5AB3F2">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电子鼻</w:t>
            </w:r>
          </w:p>
        </w:tc>
        <w:tc>
          <w:tcPr>
            <w:tcW w:w="4835" w:type="dxa"/>
            <w:noWrap w:val="0"/>
            <w:vAlign w:val="center"/>
          </w:tcPr>
          <w:p w14:paraId="4AFFC168">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lang w:val="en-US" w:eastAsia="zh-CN"/>
              </w:rPr>
              <w:t>1</w:t>
            </w:r>
            <w:r>
              <w:rPr>
                <w:rFonts w:hint="eastAsia" w:ascii="宋体" w:hAnsi="宋体" w:cs="宋体"/>
                <w:color w:val="000000"/>
                <w:sz w:val="24"/>
              </w:rPr>
              <w:t>.应用：模拟人的嗅觉系统,快速无损采集识别建立样本的特征气味指纹图谱，完成对样品风味品质进行评价、判断；</w:t>
            </w:r>
          </w:p>
          <w:p w14:paraId="0D0FDE3F">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u w:val="single"/>
              </w:rPr>
            </w:pPr>
            <w:r>
              <w:rPr>
                <w:rFonts w:hint="eastAsia" w:ascii="宋体" w:hAnsi="宋体" w:cs="宋体"/>
                <w:color w:val="000000"/>
                <w:sz w:val="24"/>
                <w:u w:val="single"/>
              </w:rPr>
              <w:t>★2.使用场所要求：可以直接连接12V直流电工作，设备支持移动至现场或者在线检测，同时也可以连接交流电在实验室使用；</w:t>
            </w:r>
          </w:p>
          <w:p w14:paraId="52E46080">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u w:val="single"/>
              </w:rPr>
            </w:pPr>
            <w:r>
              <w:rPr>
                <w:rFonts w:hint="eastAsia" w:ascii="宋体" w:hAnsi="宋体" w:cs="宋体"/>
                <w:color w:val="000000"/>
                <w:sz w:val="24"/>
                <w:u w:val="single"/>
              </w:rPr>
              <w:t>★3.主机面板具有操作按键，自带大屏幕液晶屏时时显示实验进程，不接电脑可直接独立单机工作，仪器整机重量不超过3K</w:t>
            </w:r>
            <w:r>
              <w:rPr>
                <w:rFonts w:hint="eastAsia" w:ascii="宋体" w:hAnsi="宋体" w:cs="宋体"/>
                <w:color w:val="000000"/>
                <w:sz w:val="24"/>
                <w:u w:val="single"/>
                <w:lang w:val="en-US" w:eastAsia="zh-CN"/>
              </w:rPr>
              <w:t>g</w:t>
            </w:r>
            <w:r>
              <w:rPr>
                <w:rFonts w:hint="eastAsia" w:ascii="宋体" w:hAnsi="宋体" w:cs="宋体"/>
                <w:color w:val="000000"/>
                <w:sz w:val="24"/>
                <w:u w:val="single"/>
              </w:rPr>
              <w:t>，尺寸长宽高：不大于300×200×100mm,提供便携箱，实现实验室与移动现场实时检测双模式；</w:t>
            </w:r>
          </w:p>
          <w:p w14:paraId="3D72A5BA">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4.主机内置自动进样系统，包含流量控制和采样系统，进样流量：20毫升/分钟--400毫升/分钟可设。流量标准偏差SD小于0.</w:t>
            </w:r>
            <w:r>
              <w:rPr>
                <w:rFonts w:hint="eastAsia" w:ascii="宋体" w:hAnsi="宋体" w:cs="宋体"/>
                <w:color w:val="000000"/>
                <w:sz w:val="24"/>
                <w:lang w:val="en-US" w:eastAsia="zh-CN"/>
              </w:rPr>
              <w:t>5（</w:t>
            </w:r>
            <w:r>
              <w:rPr>
                <w:rFonts w:hint="eastAsia" w:ascii="宋体" w:hAnsi="宋体" w:cs="宋体"/>
                <w:color w:val="000000"/>
                <w:sz w:val="24"/>
              </w:rPr>
              <w:t>提供流量标准偏差国内第三方</w:t>
            </w:r>
            <w:r>
              <w:rPr>
                <w:rFonts w:hint="eastAsia" w:ascii="宋体" w:hAnsi="宋体" w:cs="宋体"/>
                <w:color w:val="000000"/>
                <w:sz w:val="24"/>
                <w:lang w:val="en-US" w:eastAsia="zh-CN"/>
              </w:rPr>
              <w:t>检测</w:t>
            </w:r>
            <w:r>
              <w:rPr>
                <w:rFonts w:hint="eastAsia" w:ascii="宋体" w:hAnsi="宋体" w:cs="宋体"/>
                <w:color w:val="000000"/>
                <w:sz w:val="24"/>
              </w:rPr>
              <w:t>机构出具的检测报告或者认证文件</w:t>
            </w:r>
            <w:r>
              <w:rPr>
                <w:rFonts w:hint="eastAsia" w:ascii="宋体" w:hAnsi="宋体" w:cs="宋体"/>
                <w:color w:val="000000"/>
                <w:sz w:val="24"/>
                <w:lang w:eastAsia="zh-CN"/>
              </w:rPr>
              <w:t>）</w:t>
            </w:r>
            <w:r>
              <w:rPr>
                <w:rFonts w:hint="eastAsia" w:ascii="宋体" w:hAnsi="宋体" w:cs="宋体"/>
                <w:color w:val="000000"/>
                <w:sz w:val="24"/>
              </w:rPr>
              <w:t>；</w:t>
            </w:r>
          </w:p>
          <w:p w14:paraId="53587B0C">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5.电信号接口：采用TTL和数字信号接口，可与其它外置的装置进行数据沟通</w:t>
            </w:r>
            <w:r>
              <w:rPr>
                <w:rFonts w:hint="eastAsia" w:ascii="宋体" w:hAnsi="宋体" w:cs="宋体"/>
                <w:color w:val="000000"/>
                <w:sz w:val="24"/>
                <w:lang w:eastAsia="zh-CN"/>
              </w:rPr>
              <w:t>（</w:t>
            </w:r>
            <w:r>
              <w:rPr>
                <w:rFonts w:hint="eastAsia" w:ascii="宋体" w:hAnsi="宋体" w:cs="宋体"/>
                <w:color w:val="000000"/>
                <w:sz w:val="24"/>
              </w:rPr>
              <w:t>提供设备接口图片文件</w:t>
            </w:r>
            <w:r>
              <w:rPr>
                <w:rFonts w:hint="eastAsia" w:ascii="宋体" w:hAnsi="宋体" w:cs="宋体"/>
                <w:color w:val="000000"/>
                <w:sz w:val="24"/>
                <w:lang w:eastAsia="zh-CN"/>
              </w:rPr>
              <w:t>）</w:t>
            </w:r>
            <w:r>
              <w:rPr>
                <w:rFonts w:hint="eastAsia" w:ascii="宋体" w:hAnsi="宋体" w:cs="宋体"/>
                <w:color w:val="000000"/>
                <w:sz w:val="24"/>
              </w:rPr>
              <w:t>；</w:t>
            </w:r>
          </w:p>
          <w:p w14:paraId="702B37CF">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6.设备主机可在线对不规则固态、粉末、液体等样品进样无损检测分析，无需借助外部手动抽气阀进样；</w:t>
            </w:r>
          </w:p>
          <w:p w14:paraId="4D529BA4">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7.主机内置存储系统，可自动存储实验数据；</w:t>
            </w:r>
          </w:p>
          <w:p w14:paraId="2CF5D2D4">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8.具有自动调整检测范围功能（自动稀释样品功能）和自动校正功能；</w:t>
            </w:r>
          </w:p>
          <w:p w14:paraId="66534F5D">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9.传感器技术：加热型传感器，工作温度200-450度；</w:t>
            </w:r>
          </w:p>
          <w:p w14:paraId="6EC33009">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u w:val="single"/>
              </w:rPr>
            </w:pPr>
            <w:r>
              <w:rPr>
                <w:rFonts w:hint="eastAsia" w:ascii="宋体" w:hAnsi="宋体" w:cs="宋体"/>
                <w:color w:val="000000"/>
                <w:sz w:val="24"/>
                <w:u w:val="single"/>
              </w:rPr>
              <w:t>★10.传感器仓：体积1.8毫升,温度110度,不锈钢体；</w:t>
            </w:r>
          </w:p>
          <w:p w14:paraId="6578447B">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11.开机预热时间：小于2min；</w:t>
            </w:r>
          </w:p>
          <w:p w14:paraId="73A096B1">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12.内置采样系统</w:t>
            </w:r>
            <w:r>
              <w:rPr>
                <w:rFonts w:hint="eastAsia" w:ascii="宋体" w:hAnsi="宋体" w:cs="宋体"/>
                <w:color w:val="000000"/>
                <w:sz w:val="24"/>
                <w:lang w:eastAsia="zh-CN"/>
              </w:rPr>
              <w:t>：</w:t>
            </w:r>
            <w:r>
              <w:rPr>
                <w:rFonts w:hint="eastAsia" w:ascii="宋体" w:hAnsi="宋体" w:cs="宋体"/>
                <w:color w:val="000000"/>
                <w:sz w:val="24"/>
              </w:rPr>
              <w:t>2个内置泵（采样和零气），无需外接零气发生器装置；</w:t>
            </w:r>
          </w:p>
          <w:p w14:paraId="4347A3B3">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13.区别分析方法：PCA、LDA，定量预测分析方法：PLS；</w:t>
            </w:r>
          </w:p>
          <w:p w14:paraId="78D39C18">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14.未知样品定性判定方法：EUCLID、CORRELATION、MAHALANOBIS，可快速完成对未知样品的判定分析，传感器贡献率分析方法：LOADING；</w:t>
            </w:r>
          </w:p>
          <w:p w14:paraId="7AB949A1">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15.功率：最大30W；电压：220V交流电和12V直流电；</w:t>
            </w:r>
          </w:p>
          <w:p w14:paraId="2E5A5A11">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16.配置情况：</w:t>
            </w:r>
          </w:p>
          <w:p w14:paraId="3300D6E0">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（1）电子鼻分析主机1台，品牌台式电脑（不低于i5，8G，512SSD，Win10，21英寸显示器，鼠标键盘等</w:t>
            </w:r>
            <w:r>
              <w:rPr>
                <w:rFonts w:hint="eastAsia" w:ascii="宋体" w:hAnsi="宋体" w:cs="宋体"/>
                <w:color w:val="000000"/>
                <w:sz w:val="24"/>
                <w:lang w:val="en-US" w:eastAsia="zh-CN"/>
              </w:rPr>
              <w:t>配件</w:t>
            </w:r>
            <w:r>
              <w:rPr>
                <w:rFonts w:hint="eastAsia" w:ascii="宋体" w:hAnsi="宋体" w:cs="宋体"/>
                <w:color w:val="000000"/>
                <w:sz w:val="24"/>
              </w:rPr>
              <w:t>）一台；</w:t>
            </w:r>
          </w:p>
          <w:p w14:paraId="64A13F34">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（2）专业分析软件一套；</w:t>
            </w:r>
          </w:p>
          <w:p w14:paraId="5FCCB1DF">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（3）配备备件包一套：含进样管1根，顶空进样瓶和盖8个，顶空进样针16个，活性炭过滤装置4个，便携箱1个；</w:t>
            </w:r>
          </w:p>
          <w:p w14:paraId="2F8850E2">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17.技术培训与售后服务：</w:t>
            </w:r>
          </w:p>
          <w:p w14:paraId="3D86A376">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bookmarkStart w:id="3" w:name="OLE_LINK13"/>
            <w:r>
              <w:rPr>
                <w:rFonts w:hint="eastAsia" w:ascii="宋体" w:hAnsi="宋体" w:cs="宋体"/>
                <w:color w:val="000000"/>
                <w:sz w:val="24"/>
              </w:rPr>
              <w:t>提供仪器的现场安装调试及操作培训。</w:t>
            </w:r>
            <w:bookmarkEnd w:id="3"/>
          </w:p>
        </w:tc>
        <w:tc>
          <w:tcPr>
            <w:tcW w:w="763" w:type="dxa"/>
            <w:noWrap w:val="0"/>
            <w:vAlign w:val="center"/>
          </w:tcPr>
          <w:p w14:paraId="44BB7AC2">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15" w:type="dxa"/>
            <w:noWrap w:val="0"/>
            <w:vAlign w:val="center"/>
          </w:tcPr>
          <w:p w14:paraId="2BD5CAEC">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56.00</w:t>
            </w:r>
          </w:p>
        </w:tc>
      </w:tr>
      <w:tr w14:paraId="6BBE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14:paraId="36B83F00">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246" w:type="dxa"/>
            <w:noWrap w:val="0"/>
            <w:vAlign w:val="center"/>
          </w:tcPr>
          <w:p w14:paraId="5072AB97">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体外肠道模拟消化系统</w:t>
            </w:r>
          </w:p>
        </w:tc>
        <w:tc>
          <w:tcPr>
            <w:tcW w:w="4835" w:type="dxa"/>
            <w:noWrap w:val="0"/>
            <w:vAlign w:val="center"/>
          </w:tcPr>
          <w:p w14:paraId="7C72657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1.每套模拟反应器配备独立伺服电动搅拌器模块，用于反应器搅拌蠕动模拟；</w:t>
            </w:r>
          </w:p>
          <w:p w14:paraId="1CB478A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每个模拟反应器，配置一路流量计，通入惰性气体实现每个模拟反应器厌氧状态；</w:t>
            </w:r>
          </w:p>
          <w:p w14:paraId="2D719CD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3.整套系统可以模拟单胃动物单次进食消化也可模拟单胃动物1日多次进食或者多日高频次进食；</w:t>
            </w:r>
          </w:p>
          <w:p w14:paraId="44C00F01">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4.可以同时模拟5个部位也可选择其中任意数量部位模拟，可自行选择；</w:t>
            </w:r>
          </w:p>
          <w:p w14:paraId="5B77B983">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5.整个模拟期间，血糖及生糖指数接近单胃动物体内水平,契合度≥90%以上，营养物质如乳酸、谷氨酸、赖氨酸代谢与吸收≥85%以上；</w:t>
            </w:r>
          </w:p>
          <w:p w14:paraId="4DA272C0">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6.温度控制采用半导体无水控温方式控制，通过PID控制器控制实现37℃恒温控制。无水控温不需要外接水源和链接进出水管道，温度电极监测罐内温度是否恒定。并可实现过程温度记录功能；</w:t>
            </w:r>
          </w:p>
          <w:p w14:paraId="6C24A739">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7胃、小肠、升结肠、横结肠和降结肠反应器分别配置五个泵，五个泵，四个泵，四个泵，四个泵；</w:t>
            </w:r>
          </w:p>
          <w:p w14:paraId="22CC63B0">
            <w:pPr>
              <w:keepNext w:val="0"/>
              <w:keepLines w:val="0"/>
              <w:pageBreakBefore w:val="0"/>
              <w:widowControl/>
              <w:numPr>
                <w:ilvl w:val="0"/>
                <w:numId w:val="2"/>
              </w:numPr>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增加吸收泵，吸收泵工作时应双向不间歇工作，按照人体消化器官吸收规律双向工作，并配置模拟人体肠道壁的吸收瓣膜，吸收糖类、氨基酸类、多肽类以及小分子蛋白质类；并保证将来可扩展在线监测该营养成分的接口，并与主控制系统连接。整套系统全自动运行，连续模拟人体消化吸收过程；</w:t>
            </w:r>
          </w:p>
          <w:p w14:paraId="1E5E2EFA">
            <w:pPr>
              <w:keepNext w:val="0"/>
              <w:keepLines w:val="0"/>
              <w:pageBreakBefore w:val="0"/>
              <w:widowControl/>
              <w:numPr>
                <w:ilvl w:val="0"/>
                <w:numId w:val="2"/>
              </w:numPr>
              <w:kinsoku/>
              <w:wordWrap/>
              <w:overflowPunct/>
              <w:topLinePunct w:val="0"/>
              <w:autoSpaceDE/>
              <w:autoSpaceDN/>
              <w:bidi w:val="0"/>
              <w:adjustRightInd/>
              <w:snapToGrid/>
              <w:spacing w:after="200" w:line="360" w:lineRule="auto"/>
              <w:ind w:left="0" w:leftChars="0" w:firstLine="0" w:firstLineChars="0"/>
              <w:jc w:val="left"/>
              <w:textAlignment w:val="center"/>
              <w:rPr>
                <w:rFonts w:hint="eastAsia" w:ascii="宋体" w:hAnsi="宋体" w:cs="宋体"/>
                <w:color w:val="000000"/>
                <w:sz w:val="24"/>
              </w:rPr>
            </w:pPr>
            <w:r>
              <w:rPr>
                <w:rFonts w:hint="eastAsia" w:ascii="宋体" w:hAnsi="宋体" w:cs="宋体"/>
                <w:color w:val="000000"/>
                <w:sz w:val="24"/>
              </w:rPr>
              <w:t>肠道模拟控制系统</w:t>
            </w:r>
            <w:r>
              <w:rPr>
                <w:rFonts w:hint="eastAsia" w:ascii="宋体" w:hAnsi="宋体" w:cs="宋体"/>
                <w:color w:val="000000"/>
                <w:sz w:val="24"/>
                <w:lang w:eastAsia="zh-CN"/>
              </w:rPr>
              <w:t>：</w:t>
            </w:r>
          </w:p>
          <w:p w14:paraId="4D1BD3EB">
            <w:pPr>
              <w:keepNext w:val="0"/>
              <w:keepLines w:val="0"/>
              <w:pageBreakBefore w:val="0"/>
              <w:widowControl/>
              <w:numPr>
                <w:ilvl w:val="0"/>
                <w:numId w:val="0"/>
              </w:numPr>
              <w:kinsoku/>
              <w:wordWrap/>
              <w:overflowPunct/>
              <w:topLinePunct w:val="0"/>
              <w:autoSpaceDE/>
              <w:autoSpaceDN/>
              <w:bidi w:val="0"/>
              <w:adjustRightInd/>
              <w:snapToGrid/>
              <w:spacing w:after="200" w:line="360" w:lineRule="auto"/>
              <w:ind w:leftChars="0"/>
              <w:jc w:val="left"/>
              <w:textAlignment w:val="center"/>
              <w:rPr>
                <w:rFonts w:ascii="宋体" w:hAnsi="宋体" w:cs="宋体"/>
                <w:color w:val="000000"/>
                <w:sz w:val="24"/>
              </w:rPr>
            </w:pPr>
            <w:r>
              <w:rPr>
                <w:rFonts w:hint="eastAsia" w:ascii="宋体" w:hAnsi="宋体" w:cs="宋体"/>
                <w:color w:val="000000"/>
                <w:sz w:val="24"/>
              </w:rPr>
              <w:t>（1）≥15″宽屏彩色液晶触摸屏，可编程控制器，可同时检测并控制5台1L模拟器的相应参数，可升级到更多通道（至少2个通道）的接口。软件</w:t>
            </w:r>
            <w:r>
              <w:rPr>
                <w:rFonts w:hint="eastAsia" w:ascii="宋体" w:hAnsi="宋体" w:cs="宋体"/>
                <w:color w:val="000000"/>
                <w:sz w:val="24"/>
                <w:lang w:val="en-US" w:eastAsia="zh-CN"/>
              </w:rPr>
              <w:t>需</w:t>
            </w:r>
            <w:r>
              <w:rPr>
                <w:rFonts w:hint="eastAsia" w:ascii="宋体" w:hAnsi="宋体" w:cs="宋体"/>
                <w:color w:val="000000"/>
                <w:sz w:val="24"/>
              </w:rPr>
              <w:t>自带上位机软件和手机APP端远程控制，可远程监测及控制运行参数；</w:t>
            </w:r>
          </w:p>
          <w:p w14:paraId="5C71F69C">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lang w:eastAsia="zh-CN"/>
              </w:rPr>
            </w:pPr>
            <w:r>
              <w:rPr>
                <w:rFonts w:hint="eastAsia" w:ascii="宋体" w:hAnsi="宋体" w:cs="宋体"/>
                <w:color w:val="000000"/>
                <w:sz w:val="24"/>
              </w:rPr>
              <w:t>（2）界面须提供模拟器单元的图形概览，图形应与人体胃、小肠、升横降结肠的外观及位置相一致</w:t>
            </w:r>
            <w:r>
              <w:rPr>
                <w:rFonts w:hint="eastAsia" w:ascii="宋体" w:hAnsi="宋体" w:cs="宋体"/>
                <w:color w:val="000000"/>
                <w:sz w:val="24"/>
                <w:lang w:eastAsia="zh-CN"/>
              </w:rPr>
              <w:t>；</w:t>
            </w:r>
          </w:p>
          <w:p w14:paraId="208FAE05">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（3）页脚功能菜单按钮须包含主页、趋势、标定、控制、配方、历史数据、用户管理、报警、一键设定等功能；</w:t>
            </w:r>
          </w:p>
          <w:p w14:paraId="2BD0EB07">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ascii="宋体" w:hAnsi="宋体" w:cs="宋体"/>
                <w:color w:val="000000"/>
                <w:sz w:val="24"/>
              </w:rPr>
            </w:pPr>
            <w:r>
              <w:rPr>
                <w:rFonts w:hint="eastAsia" w:ascii="宋体" w:hAnsi="宋体" w:cs="宋体"/>
                <w:color w:val="000000"/>
                <w:sz w:val="24"/>
              </w:rPr>
              <w:t>（4）用户管理界面须</w:t>
            </w:r>
            <w:r>
              <w:rPr>
                <w:rFonts w:ascii="宋体" w:hAnsi="宋体" w:cs="宋体"/>
                <w:color w:val="000000"/>
                <w:sz w:val="24"/>
              </w:rPr>
              <w:t>具备</w:t>
            </w:r>
            <w:r>
              <w:rPr>
                <w:rFonts w:hint="eastAsia" w:ascii="宋体" w:hAnsi="宋体" w:cs="宋体"/>
                <w:color w:val="000000"/>
                <w:sz w:val="24"/>
              </w:rPr>
              <w:t>新增用户、复制用户、修改用户、删除用户和退出操作等功能；</w:t>
            </w:r>
          </w:p>
          <w:p w14:paraId="0548BE1B">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lang w:eastAsia="zh-CN"/>
              </w:rPr>
            </w:pPr>
            <w:r>
              <w:rPr>
                <w:rFonts w:hint="eastAsia" w:ascii="宋体" w:hAnsi="宋体" w:cs="宋体"/>
                <w:color w:val="000000"/>
                <w:sz w:val="24"/>
              </w:rPr>
              <w:t>（5）软件系统出厂至少预存5个配方，用于不同模拟对象及模拟工艺，可一键调取配方，参数直接调用，直接开启实验</w:t>
            </w:r>
            <w:r>
              <w:rPr>
                <w:rFonts w:hint="eastAsia" w:ascii="宋体" w:hAnsi="宋体" w:cs="宋体"/>
                <w:color w:val="000000"/>
                <w:sz w:val="24"/>
                <w:lang w:eastAsia="zh-CN"/>
              </w:rPr>
              <w:t>；</w:t>
            </w:r>
          </w:p>
          <w:p w14:paraId="1516DE2E">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10.主要性能描述：</w:t>
            </w:r>
          </w:p>
          <w:p w14:paraId="680BAB2C">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（1）模拟器：1000mL，5组，装液系数60~80%，材质：硼硅玻璃与SUS316L不锈钢结合体；</w:t>
            </w:r>
          </w:p>
          <w:p w14:paraId="00E6CAA3">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（2）补料瓶13只，500ml；</w:t>
            </w:r>
          </w:p>
          <w:p w14:paraId="5EB7D697">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（3）反应前末端总收集瓶2只，体积5L；</w:t>
            </w:r>
          </w:p>
          <w:p w14:paraId="03D7D7DB">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（4）控制范围：0~1000rpm精度：1%。电动搅拌（每台独立控制）+专用搅拌桨；</w:t>
            </w:r>
          </w:p>
          <w:p w14:paraId="4AEDAE39">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（5）无水温控系统，控制范围：37℃；精度±0.3℃；每个罐子独立控温，并各配备PT100温度电极；</w:t>
            </w:r>
          </w:p>
          <w:p w14:paraId="4DC4E474">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（6）精密补液系统模块：5个模拟器分别配置5个/5个/4个/4个/4个微型变速蠕动泵整合于主机控制器；</w:t>
            </w:r>
          </w:p>
          <w:p w14:paraId="79C51958">
            <w:pPr>
              <w:keepNext w:val="0"/>
              <w:keepLines w:val="0"/>
              <w:pageBreakBefore w:val="0"/>
              <w:widowControl/>
              <w:kinsoku/>
              <w:wordWrap/>
              <w:overflowPunct/>
              <w:topLinePunct w:val="0"/>
              <w:autoSpaceDE/>
              <w:autoSpaceDN/>
              <w:bidi w:val="0"/>
              <w:adjustRightInd/>
              <w:snapToGrid/>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（7）pH控制模块：配备5支耐高温灭菌 pH 传感器，在线检测胃肠道环境pH值，模拟不同部位不同时刻的的胃肠道环境。</w:t>
            </w:r>
          </w:p>
        </w:tc>
        <w:tc>
          <w:tcPr>
            <w:tcW w:w="763" w:type="dxa"/>
            <w:noWrap w:val="0"/>
            <w:vAlign w:val="center"/>
          </w:tcPr>
          <w:p w14:paraId="38236525">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15" w:type="dxa"/>
            <w:noWrap w:val="0"/>
            <w:vAlign w:val="center"/>
          </w:tcPr>
          <w:p w14:paraId="5EB8FE7D">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52.00</w:t>
            </w:r>
          </w:p>
        </w:tc>
      </w:tr>
      <w:tr w14:paraId="0D3F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14:paraId="534277ED">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246" w:type="dxa"/>
            <w:noWrap w:val="0"/>
            <w:vAlign w:val="center"/>
          </w:tcPr>
          <w:p w14:paraId="561249EB">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质构仪</w:t>
            </w:r>
          </w:p>
        </w:tc>
        <w:tc>
          <w:tcPr>
            <w:tcW w:w="4835" w:type="dxa"/>
            <w:noWrap w:val="0"/>
            <w:vAlign w:val="center"/>
          </w:tcPr>
          <w:p w14:paraId="4CA9E47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1.质构仪主机单臂情况下最大输出力量不小于2500牛顿（250</w:t>
            </w:r>
            <w:r>
              <w:rPr>
                <w:rFonts w:hint="eastAsia" w:ascii="宋体" w:hAnsi="宋体" w:eastAsia="宋体" w:cs="宋体"/>
                <w:color w:val="000000"/>
                <w:sz w:val="24"/>
                <w:szCs w:val="24"/>
                <w:lang w:val="en-US" w:eastAsia="zh-CN"/>
              </w:rPr>
              <w:t>K</w:t>
            </w:r>
            <w:r>
              <w:rPr>
                <w:rFonts w:hint="eastAsia" w:ascii="宋体" w:hAnsi="宋体" w:eastAsia="宋体" w:cs="宋体"/>
                <w:color w:val="000000"/>
                <w:sz w:val="24"/>
                <w:szCs w:val="24"/>
              </w:rPr>
              <w:t>g）；</w:t>
            </w:r>
          </w:p>
          <w:p w14:paraId="65467350">
            <w:pPr>
              <w:widowControl/>
              <w:spacing w:after="200" w:line="360" w:lineRule="auto"/>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★2.配套2500牛顿和100牛顿两个力量感应元，更换方式为直接手动插拔式，更换时间小于30秒；</w:t>
            </w:r>
          </w:p>
          <w:p w14:paraId="15C6C0B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主机的面板具有不小于10英寸彩色液晶触摸屏幕，内置测试分析软件，实时显示实验测试过程曲线及结果，可直接单机操作，不接受任何形式的外购与外接方案；</w:t>
            </w:r>
          </w:p>
          <w:p w14:paraId="3B30320D">
            <w:pPr>
              <w:widowControl/>
              <w:spacing w:after="200" w:line="360" w:lineRule="auto"/>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★4.质构仪主机的运行距离上下限位机械控制模块整体必须为内置于主机，隐藏式，为保证运行安全和稳定，须提供图片文件支撑材料</w:t>
            </w:r>
            <w:r>
              <w:rPr>
                <w:rFonts w:hint="eastAsia" w:ascii="宋体" w:hAnsi="宋体" w:eastAsia="宋体" w:cs="宋体"/>
                <w:color w:val="000000"/>
                <w:sz w:val="24"/>
                <w:szCs w:val="24"/>
                <w:u w:val="single"/>
                <w:lang w:eastAsia="zh-CN"/>
              </w:rPr>
              <w:t>；</w:t>
            </w:r>
          </w:p>
          <w:p w14:paraId="427949F5">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5.分析软件具有各项食品的物性分析常规程序，同时具有检测模式自由编程功能，能够按照实验人员的想法去编辑程序，进行实验研究。因此能同时满足教学与科研；</w:t>
            </w:r>
          </w:p>
          <w:p w14:paraId="6A7A313C">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6.力量检测精度：优于0.015%，依据力量感应元最小感应力为0.01g；</w:t>
            </w:r>
          </w:p>
          <w:p w14:paraId="2E602A2A">
            <w:pPr>
              <w:widowControl/>
              <w:spacing w:after="200" w:line="360" w:lineRule="auto"/>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★7.设备主机数据采集率：在单通道下不少于1000组/秒，必须提供软件中关于此要求的图片文件支撑；</w:t>
            </w:r>
          </w:p>
          <w:p w14:paraId="4C0350DE">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8.位移指示精度：0.0001毫米；</w:t>
            </w:r>
          </w:p>
          <w:p w14:paraId="57456556">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9.外部防尘防腐设计，具有多种RS232、RS485接口，可接温度、湿度等多种相关外设装置；</w:t>
            </w:r>
          </w:p>
          <w:p w14:paraId="4942BC17">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10.多种检测探头可选，所有探头符合工业分析检测标准；</w:t>
            </w:r>
          </w:p>
          <w:p w14:paraId="0720ED6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11.实验具有检测过程记录和回放功能，可将原始数据结果保存成文本格式；</w:t>
            </w:r>
          </w:p>
          <w:p w14:paraId="48931C4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12.软件</w:t>
            </w:r>
            <w:r>
              <w:rPr>
                <w:rFonts w:hint="eastAsia" w:ascii="宋体" w:hAnsi="宋体" w:cs="宋体"/>
                <w:color w:val="000000"/>
                <w:sz w:val="24"/>
              </w:rPr>
              <w:t>软件可实现远程数据通讯及仪器检查校验等功能</w:t>
            </w:r>
            <w:r>
              <w:rPr>
                <w:rFonts w:hint="eastAsia" w:ascii="宋体" w:hAnsi="宋体" w:eastAsia="宋体" w:cs="宋体"/>
                <w:color w:val="000000"/>
                <w:sz w:val="24"/>
                <w:szCs w:val="24"/>
              </w:rPr>
              <w:t>；</w:t>
            </w:r>
          </w:p>
          <w:p w14:paraId="19096433">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r>
              <w:rPr>
                <w:rFonts w:hint="eastAsia" w:ascii="宋体" w:hAnsi="宋体" w:eastAsia="宋体" w:cs="宋体"/>
                <w:color w:val="000000"/>
                <w:sz w:val="24"/>
                <w:szCs w:val="24"/>
                <w:lang w:val="en-US" w:eastAsia="zh-CN"/>
              </w:rPr>
              <w:t>具备</w:t>
            </w:r>
            <w:r>
              <w:rPr>
                <w:rFonts w:hint="eastAsia" w:ascii="宋体" w:hAnsi="宋体" w:eastAsia="宋体" w:cs="宋体"/>
                <w:color w:val="000000"/>
                <w:sz w:val="24"/>
                <w:szCs w:val="24"/>
              </w:rPr>
              <w:t>运行模式程序编辑功能，程序命令</w:t>
            </w:r>
            <w:r>
              <w:rPr>
                <w:rFonts w:hint="eastAsia" w:ascii="宋体" w:hAnsi="宋体" w:eastAsia="宋体" w:cs="宋体"/>
                <w:color w:val="000000"/>
                <w:sz w:val="24"/>
                <w:szCs w:val="24"/>
                <w:lang w:val="en-US" w:eastAsia="zh-CN"/>
              </w:rPr>
              <w:t>应包含</w:t>
            </w:r>
            <w:r>
              <w:rPr>
                <w:rFonts w:hint="eastAsia" w:ascii="宋体" w:hAnsi="宋体" w:eastAsia="宋体" w:cs="宋体"/>
                <w:color w:val="000000"/>
                <w:sz w:val="24"/>
                <w:szCs w:val="24"/>
              </w:rPr>
              <w:t>：运行RUN、重复REPEAT、信息报告MESSAGE、清除信息通知CLEAR MESSAGE、循环操作CYCLE、假设IF、调零ZERO、赋值ASSIGN、清除变量CLEAR VARIABLES、公式FORMULA等；</w:t>
            </w:r>
          </w:p>
          <w:p w14:paraId="633BB338">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14.</w:t>
            </w:r>
            <w:r>
              <w:rPr>
                <w:rFonts w:hint="eastAsia" w:ascii="宋体" w:hAnsi="宋体" w:eastAsia="宋体" w:cs="宋体"/>
                <w:color w:val="000000"/>
                <w:sz w:val="24"/>
                <w:szCs w:val="24"/>
                <w:lang w:val="en-US" w:eastAsia="zh-CN"/>
              </w:rPr>
              <w:t>具备</w:t>
            </w:r>
            <w:r>
              <w:rPr>
                <w:rFonts w:hint="eastAsia" w:ascii="宋体" w:hAnsi="宋体" w:eastAsia="宋体" w:cs="宋体"/>
                <w:color w:val="000000"/>
                <w:sz w:val="24"/>
                <w:szCs w:val="24"/>
              </w:rPr>
              <w:t>结果计算功能，可将检测原始数据依据自己的需要全面系统的分析，计算出需要的样品物性参数。</w:t>
            </w:r>
          </w:p>
          <w:p w14:paraId="3635E967">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二、配置</w:t>
            </w:r>
          </w:p>
          <w:p w14:paraId="72F9CF5D">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1.质构仪主机一台、专用分析软件一套；</w:t>
            </w:r>
          </w:p>
          <w:p w14:paraId="78EA1BF9">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2.力量感应元2500牛顿一套，力量感应元100牛顿一套，标准样品台一套；</w:t>
            </w:r>
          </w:p>
          <w:p w14:paraId="6D72A03A">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检测探头：包括直径38.1mm、25.4mm、12.7、10mm、6mm、2mm的圆柱探头6个，一个直径2mm的穿刺探针，直径直径12.7毫米、25.4毫米球形探头2个，30度、45度、60度、90度圆锥探头4个，塑性刀头1个，TPA直径75mm圆盘探头一个，单刀剪切综合探头一套，三点弯曲探头一套,36毫米铝制探头一个，拉伸探头一套；</w:t>
            </w:r>
          </w:p>
          <w:p w14:paraId="361ADB17">
            <w:pPr>
              <w:widowControl/>
              <w:spacing w:after="200" w:line="36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4.操作分析电脑一台（不低于i5，16G，512GB SSD，Win10</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21英寸显示器，鼠标键盘等附件）。</w:t>
            </w:r>
          </w:p>
        </w:tc>
        <w:tc>
          <w:tcPr>
            <w:tcW w:w="763" w:type="dxa"/>
            <w:noWrap w:val="0"/>
            <w:vAlign w:val="center"/>
          </w:tcPr>
          <w:p w14:paraId="15A62912">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15" w:type="dxa"/>
            <w:noWrap w:val="0"/>
            <w:vAlign w:val="center"/>
          </w:tcPr>
          <w:p w14:paraId="7A7FB8DB">
            <w:pPr>
              <w:widowControl/>
              <w:spacing w:after="200"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55.00</w:t>
            </w:r>
          </w:p>
        </w:tc>
      </w:tr>
    </w:tbl>
    <w:p w14:paraId="13C63616">
      <w:pPr>
        <w:pStyle w:val="2"/>
        <w:spacing w:before="0" w:after="0" w:line="360" w:lineRule="auto"/>
        <w:jc w:val="center"/>
        <w:rPr>
          <w:rFonts w:hint="eastAsia" w:ascii="宋体" w:hAnsi="宋体" w:cs="宋体"/>
          <w:caps w:val="0"/>
          <w:sz w:val="24"/>
          <w:szCs w:val="24"/>
        </w:rPr>
      </w:pPr>
      <w:r>
        <w:rPr>
          <w:rFonts w:hint="eastAsia" w:ascii="宋体" w:hAnsi="宋体" w:cs="宋体"/>
          <w:caps w:val="0"/>
          <w:sz w:val="24"/>
          <w:szCs w:val="24"/>
        </w:rPr>
        <w:br w:type="page"/>
      </w:r>
      <w:r>
        <w:rPr>
          <w:rFonts w:hint="eastAsia" w:ascii="宋体" w:hAnsi="宋体" w:cs="宋体"/>
          <w:caps w:val="0"/>
          <w:sz w:val="24"/>
          <w:szCs w:val="24"/>
        </w:rPr>
        <w:t>第二包：</w:t>
      </w:r>
    </w:p>
    <w:tbl>
      <w:tblPr>
        <w:tblStyle w:val="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1247"/>
        <w:gridCol w:w="4788"/>
        <w:gridCol w:w="796"/>
        <w:gridCol w:w="1327"/>
      </w:tblGrid>
      <w:tr w14:paraId="4D9D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center"/>
          </w:tcPr>
          <w:p w14:paraId="36BA3AEE">
            <w:pPr>
              <w:spacing w:after="200" w:line="360" w:lineRule="auto"/>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1247" w:type="dxa"/>
            <w:noWrap w:val="0"/>
            <w:vAlign w:val="center"/>
          </w:tcPr>
          <w:p w14:paraId="54471578">
            <w:pPr>
              <w:spacing w:after="200" w:line="360" w:lineRule="auto"/>
              <w:jc w:val="center"/>
              <w:rPr>
                <w:rFonts w:ascii="宋体" w:hAnsi="宋体" w:eastAsia="宋体" w:cs="宋体"/>
                <w:b/>
                <w:bCs/>
                <w:color w:val="000000"/>
                <w:kern w:val="0"/>
                <w:sz w:val="24"/>
              </w:rPr>
            </w:pPr>
            <w:r>
              <w:rPr>
                <w:rFonts w:hint="eastAsia" w:ascii="宋体" w:hAnsi="宋体" w:eastAsia="宋体" w:cs="宋体"/>
                <w:b/>
                <w:bCs/>
                <w:color w:val="000000"/>
                <w:kern w:val="0"/>
                <w:sz w:val="24"/>
              </w:rPr>
              <w:t>设备名称</w:t>
            </w:r>
          </w:p>
        </w:tc>
        <w:tc>
          <w:tcPr>
            <w:tcW w:w="4788" w:type="dxa"/>
            <w:noWrap w:val="0"/>
            <w:vAlign w:val="center"/>
          </w:tcPr>
          <w:p w14:paraId="2BEF1EAC">
            <w:pPr>
              <w:spacing w:after="200" w:line="360" w:lineRule="auto"/>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技术需求</w:t>
            </w:r>
          </w:p>
        </w:tc>
        <w:tc>
          <w:tcPr>
            <w:tcW w:w="796" w:type="dxa"/>
            <w:noWrap w:val="0"/>
            <w:vAlign w:val="center"/>
          </w:tcPr>
          <w:p w14:paraId="2CDEF0C6">
            <w:pPr>
              <w:spacing w:after="200" w:line="360" w:lineRule="auto"/>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1327" w:type="dxa"/>
            <w:noWrap w:val="0"/>
            <w:vAlign w:val="center"/>
          </w:tcPr>
          <w:p w14:paraId="26B8CD31">
            <w:pPr>
              <w:spacing w:after="200" w:line="360" w:lineRule="auto"/>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单价限价（万元）</w:t>
            </w:r>
          </w:p>
        </w:tc>
      </w:tr>
      <w:tr w14:paraId="09659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center"/>
          </w:tcPr>
          <w:p w14:paraId="2D02C6BC">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1</w:t>
            </w:r>
          </w:p>
        </w:tc>
        <w:tc>
          <w:tcPr>
            <w:tcW w:w="1247" w:type="dxa"/>
            <w:noWrap w:val="0"/>
            <w:vAlign w:val="center"/>
          </w:tcPr>
          <w:p w14:paraId="24614155">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全自动五分类血液体液细胞分析仪</w:t>
            </w:r>
          </w:p>
        </w:tc>
        <w:tc>
          <w:tcPr>
            <w:tcW w:w="4788" w:type="dxa"/>
            <w:noWrap w:val="0"/>
            <w:vAlign w:val="center"/>
          </w:tcPr>
          <w:p w14:paraId="5351661D">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1.检测方法及原理：血细胞分析采用半导体激光法、鞘流电阻抗法、荧光染色法和流式细胞技术原理，CRP、SAA检测采用胶乳增强免疫散射比浊法；</w:t>
            </w:r>
          </w:p>
          <w:p w14:paraId="01D0942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2.报告参数：血液分析报告参数≥37个，三维散点图≥3个；体液分析报告参数≥7个；CRP报告参数≥2个；SAA报告参数≥1个；</w:t>
            </w:r>
          </w:p>
          <w:p w14:paraId="3FA38DC0">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3.单机检测速度：CBC＋DIFF＋NRBC≥110个样本/小时；CBC＋DIFF＋NRBC＋CRP≥100样本/小时；CBC＋DIFF＋NRBC＋SAA≥100样本/小时；</w:t>
            </w:r>
          </w:p>
          <w:p w14:paraId="0965CB5A">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4.进样方式及用血量：静脉血和末梢全血均可自动批量进样或手动进样；末梢全血检测CDR+CRP用血量≤37μl，末梢全血检测CDR+CRP+SAA用血量≤40μ</w:t>
            </w:r>
            <w:r>
              <w:rPr>
                <w:rFonts w:hint="eastAsia" w:ascii="宋体" w:hAnsi="宋体" w:eastAsia="宋体" w:cs="宋体"/>
                <w:color w:val="000000"/>
                <w:sz w:val="24"/>
                <w:lang w:val="en-US" w:eastAsia="zh-CN"/>
              </w:rPr>
              <w:t>l</w:t>
            </w:r>
            <w:r>
              <w:rPr>
                <w:rFonts w:hint="eastAsia" w:ascii="宋体" w:hAnsi="宋体" w:eastAsia="宋体" w:cs="宋体"/>
                <w:color w:val="000000"/>
                <w:sz w:val="24"/>
              </w:rPr>
              <w:t>，预稀释模式CDR+CRP+SAA用血量≤20μl；</w:t>
            </w:r>
          </w:p>
          <w:p w14:paraId="078DA8AE">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5.标配自动进样器，自动进样器内轨标配回退功能，可选配开放进样或封闭进样装置；</w:t>
            </w:r>
          </w:p>
          <w:p w14:paraId="3932614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6.末梢全血自动批量检测模式支持以下功能：自动扫码进样、自动混匀、异常标本自动回退复检；自动混匀功能可适配主流末梢全血采血管；</w:t>
            </w:r>
          </w:p>
          <w:p w14:paraId="2C6E3771">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7.末梢全血预稀释模式也能进行白细胞五分类、有核红细胞、网织红细胞和CRP、SAA检测，有急诊插入功能；</w:t>
            </w:r>
          </w:p>
          <w:p w14:paraId="6BA25806">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8.具有全自动体液（含胸水、腹水、脑脊液和浆膜液等体液）细胞计数和对体液中的白细胞进行分类的功能；具有通过高荧光体液细胞参数对肿瘤细胞进行提示功能；</w:t>
            </w:r>
          </w:p>
          <w:p w14:paraId="26CF1A99">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9.使用荧光染料和半导体激光检测WBC五分类，并具有有核红细胞检测功能，能自动进行对白细胞计数的校正；</w:t>
            </w:r>
          </w:p>
          <w:p w14:paraId="58E1D134">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10.全自动网织红细胞检测，可对网织红进行分型，提供网织红成熟度指数，网织红细胞检测无需机外染色处理；</w:t>
            </w:r>
          </w:p>
          <w:p w14:paraId="1F257019">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11.具有检测网织红细胞血红蛋白含量的功能，以帮助判断贫血的类型；</w:t>
            </w:r>
          </w:p>
          <w:p w14:paraId="3017F71B">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12.血小板检测采用鞘流阻抗法和荧光染色法两种方法，并可转换；</w:t>
            </w:r>
          </w:p>
          <w:p w14:paraId="65E6D6B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13.具有低值血小板检测功能，如遇血小板低值时通过自动增加计数颗粒数量（8倍）来保证血小板检测精度，也可以手动选择8倍进样检测模式；</w:t>
            </w:r>
          </w:p>
          <w:p w14:paraId="532B72A9">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14.具有对EDTA依赖性血小板聚集标本的“自解聚”功能，如遇血小板聚集时可自动加测光学法血小板，光学法血小板对聚集血小板的解聚率≥80%（提供数据证明材料）；</w:t>
            </w:r>
          </w:p>
          <w:p w14:paraId="688030FC">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15.</w:t>
            </w:r>
            <w:r>
              <w:rPr>
                <w:rFonts w:hint="eastAsia" w:ascii="宋体" w:hAnsi="宋体" w:eastAsia="宋体" w:cs="宋体"/>
                <w:color w:val="000000"/>
                <w:sz w:val="24"/>
              </w:rPr>
              <w:tab/>
            </w:r>
            <w:r>
              <w:rPr>
                <w:rFonts w:hint="eastAsia" w:ascii="宋体" w:hAnsi="宋体" w:eastAsia="宋体" w:cs="宋体"/>
                <w:color w:val="000000"/>
                <w:sz w:val="24"/>
              </w:rPr>
              <w:t>具有低值白细胞检测功能，如遇白细胞低值时自动增加计数颗粒数量来保证检测结果的准确性，无需二次折返检测；</w:t>
            </w:r>
          </w:p>
          <w:p w14:paraId="440AF13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16.具有高值SAA自动稀释重测功能，如遇样本SAA结果超出线性范围，无需人工干预，可自动回退稀释重测</w:t>
            </w:r>
            <w:r>
              <w:rPr>
                <w:rFonts w:hint="eastAsia" w:ascii="宋体" w:hAnsi="宋体" w:eastAsia="宋体" w:cs="宋体"/>
                <w:color w:val="000000"/>
                <w:sz w:val="24"/>
                <w:lang w:eastAsia="zh-CN"/>
              </w:rPr>
              <w:t>；</w:t>
            </w:r>
          </w:p>
          <w:p w14:paraId="7F691355">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17</w:t>
            </w:r>
            <w:r>
              <w:rPr>
                <w:rFonts w:hint="eastAsia" w:ascii="宋体" w:hAnsi="宋体" w:eastAsia="宋体" w:cs="宋体"/>
                <w:color w:val="000000"/>
                <w:sz w:val="24"/>
                <w:lang w:val="en-US" w:eastAsia="zh-CN"/>
              </w:rPr>
              <w:t>.</w:t>
            </w:r>
            <w:r>
              <w:rPr>
                <w:rFonts w:hint="eastAsia" w:ascii="宋体" w:hAnsi="宋体" w:eastAsia="宋体" w:cs="宋体"/>
                <w:color w:val="000000"/>
                <w:sz w:val="24"/>
              </w:rPr>
              <w:t>配备原厂中文报告及数据处理系统，血液分析仪主机自带10寸彩色液晶触摸屏；</w:t>
            </w:r>
          </w:p>
          <w:p w14:paraId="47B9C9C9">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18.血液分析线性范围（静脉血）：白细胞：（0-500）</w:t>
            </w:r>
            <w:r>
              <w:rPr>
                <w:rFonts w:hint="eastAsia" w:ascii="宋体" w:hAnsi="宋体" w:eastAsia="宋体" w:cs="宋体"/>
                <w:color w:val="000000"/>
                <w:sz w:val="24"/>
                <w:szCs w:val="24"/>
              </w:rPr>
              <w:t>×</w:t>
            </w:r>
            <w:r>
              <w:rPr>
                <w:rFonts w:hint="eastAsia" w:ascii="宋体" w:hAnsi="宋体" w:eastAsia="宋体" w:cs="宋体"/>
                <w:color w:val="000000"/>
                <w:sz w:val="24"/>
              </w:rPr>
              <w:t>109/L，红细胞：（0-8.6）</w:t>
            </w:r>
            <w:r>
              <w:rPr>
                <w:rFonts w:hint="eastAsia" w:ascii="宋体" w:hAnsi="宋体" w:eastAsia="宋体" w:cs="宋体"/>
                <w:color w:val="000000"/>
                <w:sz w:val="24"/>
                <w:szCs w:val="24"/>
              </w:rPr>
              <w:t>×</w:t>
            </w:r>
            <w:r>
              <w:rPr>
                <w:rFonts w:hint="eastAsia" w:ascii="宋体" w:hAnsi="宋体" w:eastAsia="宋体" w:cs="宋体"/>
                <w:color w:val="000000"/>
                <w:sz w:val="24"/>
              </w:rPr>
              <w:t>1012/L，血小板：（0-5000）</w:t>
            </w:r>
            <w:r>
              <w:rPr>
                <w:rFonts w:hint="eastAsia" w:ascii="宋体" w:hAnsi="宋体" w:eastAsia="宋体" w:cs="宋体"/>
                <w:color w:val="000000"/>
                <w:sz w:val="24"/>
                <w:szCs w:val="24"/>
              </w:rPr>
              <w:t>×</w:t>
            </w:r>
            <w:r>
              <w:rPr>
                <w:rFonts w:hint="eastAsia" w:ascii="宋体" w:hAnsi="宋体" w:eastAsia="宋体" w:cs="宋体"/>
                <w:color w:val="000000"/>
                <w:sz w:val="24"/>
              </w:rPr>
              <w:t>109/L，血红蛋白：0-260g/L；</w:t>
            </w:r>
          </w:p>
          <w:p w14:paraId="166F26C1">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19.血液模式空白计数要求：白细胞≤0.1</w:t>
            </w:r>
            <w:r>
              <w:rPr>
                <w:rFonts w:hint="eastAsia" w:ascii="宋体" w:hAnsi="宋体" w:eastAsia="宋体" w:cs="宋体"/>
                <w:color w:val="000000"/>
                <w:sz w:val="24"/>
                <w:szCs w:val="24"/>
              </w:rPr>
              <w:t>×</w:t>
            </w:r>
            <w:r>
              <w:rPr>
                <w:rFonts w:hint="eastAsia" w:ascii="宋体" w:hAnsi="宋体" w:eastAsia="宋体" w:cs="宋体"/>
                <w:color w:val="000000"/>
                <w:sz w:val="24"/>
              </w:rPr>
              <w:t>109/L，红细胞≤0.02</w:t>
            </w:r>
            <w:r>
              <w:rPr>
                <w:rFonts w:hint="eastAsia" w:ascii="宋体" w:hAnsi="宋体" w:eastAsia="宋体" w:cs="宋体"/>
                <w:color w:val="000000"/>
                <w:sz w:val="24"/>
                <w:szCs w:val="24"/>
              </w:rPr>
              <w:t>×</w:t>
            </w:r>
            <w:r>
              <w:rPr>
                <w:rFonts w:hint="eastAsia" w:ascii="宋体" w:hAnsi="宋体" w:eastAsia="宋体" w:cs="宋体"/>
                <w:color w:val="000000"/>
                <w:sz w:val="24"/>
              </w:rPr>
              <w:t>1012/L，血红蛋白≤1g/L，阻抗法血小板≤5</w:t>
            </w:r>
            <w:r>
              <w:rPr>
                <w:rFonts w:hint="eastAsia" w:ascii="宋体" w:hAnsi="宋体" w:eastAsia="宋体" w:cs="宋体"/>
                <w:color w:val="000000"/>
                <w:sz w:val="24"/>
                <w:szCs w:val="24"/>
              </w:rPr>
              <w:t>×</w:t>
            </w:r>
            <w:r>
              <w:rPr>
                <w:rFonts w:hint="eastAsia" w:ascii="宋体" w:hAnsi="宋体" w:eastAsia="宋体" w:cs="宋体"/>
                <w:color w:val="000000"/>
                <w:sz w:val="24"/>
              </w:rPr>
              <w:t>109/L；</w:t>
            </w:r>
          </w:p>
          <w:p w14:paraId="1260584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20.CRP线性范围：0.2~320mg/L；</w:t>
            </w:r>
          </w:p>
          <w:p w14:paraId="1C1B58E5">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21.SAA线性范围：5~350mg/L；</w:t>
            </w:r>
          </w:p>
          <w:p w14:paraId="5AEA4E99">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22.全血CRP检测时可校正红细胞、白细胞、血小板体积的干扰（提供证明文件）；</w:t>
            </w:r>
          </w:p>
          <w:p w14:paraId="7CF2393D">
            <w:pPr>
              <w:widowControl/>
              <w:spacing w:after="200" w:line="360" w:lineRule="auto"/>
              <w:jc w:val="left"/>
              <w:textAlignment w:val="center"/>
              <w:rPr>
                <w:rFonts w:hint="eastAsia" w:ascii="宋体" w:hAnsi="宋体" w:eastAsia="宋体" w:cs="宋体"/>
                <w:color w:val="000000"/>
                <w:sz w:val="24"/>
              </w:rPr>
            </w:pPr>
            <w:r>
              <w:rPr>
                <w:rFonts w:hint="eastAsia" w:ascii="宋体" w:hAnsi="宋体" w:cs="宋体"/>
                <w:color w:val="000000"/>
                <w:sz w:val="24"/>
              </w:rPr>
              <w:t>2</w:t>
            </w:r>
            <w:r>
              <w:rPr>
                <w:rFonts w:ascii="宋体" w:hAnsi="宋体" w:cs="宋体"/>
                <w:color w:val="000000"/>
                <w:sz w:val="24"/>
              </w:rPr>
              <w:t>3</w:t>
            </w:r>
            <w:r>
              <w:rPr>
                <w:rFonts w:hint="eastAsia" w:ascii="宋体" w:hAnsi="宋体" w:cs="宋体"/>
                <w:color w:val="000000"/>
                <w:sz w:val="24"/>
              </w:rPr>
              <w:t>.</w:t>
            </w:r>
            <w:r>
              <w:rPr>
                <w:rFonts w:hint="eastAsia" w:ascii="宋体" w:hAnsi="宋体" w:cs="宋体"/>
                <w:color w:val="000000"/>
                <w:sz w:val="24"/>
                <w:lang w:val="en-US" w:eastAsia="zh-CN"/>
              </w:rPr>
              <w:t>须</w:t>
            </w:r>
            <w:r>
              <w:rPr>
                <w:rFonts w:hint="eastAsia" w:ascii="宋体" w:hAnsi="宋体" w:cs="宋体"/>
                <w:color w:val="000000"/>
                <w:sz w:val="24"/>
              </w:rPr>
              <w:t>提供实时在线网络室间质量控制系统，实现实时的仪器功能监控和远程维护功能。</w:t>
            </w:r>
          </w:p>
        </w:tc>
        <w:tc>
          <w:tcPr>
            <w:tcW w:w="796" w:type="dxa"/>
            <w:noWrap w:val="0"/>
            <w:vAlign w:val="center"/>
          </w:tcPr>
          <w:p w14:paraId="2A8DE711">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1</w:t>
            </w:r>
          </w:p>
        </w:tc>
        <w:tc>
          <w:tcPr>
            <w:tcW w:w="1327" w:type="dxa"/>
            <w:noWrap w:val="0"/>
            <w:vAlign w:val="center"/>
          </w:tcPr>
          <w:p w14:paraId="6D3C8F13">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55.00</w:t>
            </w:r>
          </w:p>
        </w:tc>
      </w:tr>
      <w:tr w14:paraId="1B0F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7" w:hRule="atLeast"/>
        </w:trPr>
        <w:tc>
          <w:tcPr>
            <w:tcW w:w="909" w:type="dxa"/>
            <w:noWrap w:val="0"/>
            <w:vAlign w:val="center"/>
          </w:tcPr>
          <w:p w14:paraId="6E1F49FC">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2</w:t>
            </w:r>
          </w:p>
        </w:tc>
        <w:tc>
          <w:tcPr>
            <w:tcW w:w="1247" w:type="dxa"/>
            <w:noWrap w:val="0"/>
            <w:vAlign w:val="center"/>
          </w:tcPr>
          <w:p w14:paraId="5BE26EAE">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多功能酶标仪</w:t>
            </w:r>
          </w:p>
        </w:tc>
        <w:tc>
          <w:tcPr>
            <w:tcW w:w="4788" w:type="dxa"/>
            <w:noWrap w:val="0"/>
            <w:vAlign w:val="center"/>
          </w:tcPr>
          <w:p w14:paraId="0A49D2AD">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1.检测类型：6-384孔板，24孔、64孔超微量检测板（2μl或4μl）；</w:t>
            </w:r>
          </w:p>
          <w:p w14:paraId="0763CBC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2.应用范围：四光栅+滤光片：吸收光（Abs）、荧光强度（FL）、化学发光（Lum）、时间分辨荧光（TRF）、荧光偏振（FP）、荧光共振能量转移（FRET）</w:t>
            </w:r>
            <w:r>
              <w:rPr>
                <w:rFonts w:hint="eastAsia" w:ascii="宋体" w:hAnsi="宋体" w:eastAsia="宋体" w:cs="宋体"/>
                <w:color w:val="000000"/>
                <w:sz w:val="24"/>
                <w:lang w:eastAsia="zh-CN"/>
              </w:rPr>
              <w:t>、</w:t>
            </w:r>
            <w:r>
              <w:rPr>
                <w:rFonts w:hint="eastAsia" w:ascii="宋体" w:hAnsi="宋体" w:eastAsia="宋体" w:cs="宋体"/>
                <w:color w:val="000000"/>
                <w:sz w:val="24"/>
              </w:rPr>
              <w:t>均相时间分辨荧光（HTRF）、时间分辨荧光共振能量转移（TR-FRET）、生物发光共振能量转移（BRET）、Western Blot等；</w:t>
            </w:r>
          </w:p>
          <w:p w14:paraId="55CE10A4">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3.光源：十亿次高能氙闪灯；</w:t>
            </w:r>
          </w:p>
          <w:p w14:paraId="7F0F059B">
            <w:pPr>
              <w:widowControl/>
              <w:spacing w:after="200" w:line="360" w:lineRule="auto"/>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4.温度控制：室温+5℃-66℃</w:t>
            </w:r>
            <w:r>
              <w:rPr>
                <w:rFonts w:hint="eastAsia" w:ascii="宋体" w:hAnsi="宋体" w:eastAsia="宋体" w:cs="宋体"/>
                <w:color w:val="000000"/>
                <w:sz w:val="24"/>
                <w:lang w:eastAsia="zh-CN"/>
              </w:rPr>
              <w:t>；</w:t>
            </w:r>
          </w:p>
          <w:p w14:paraId="277E51C4">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5.震荡方式：线性、圆周、双圆周（强度和速度可调）；</w:t>
            </w:r>
          </w:p>
          <w:p w14:paraId="04BE7D13">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6.检测模式：终点法（所有模式），动力学（所有模式），全波长扫描（吸收光、荧光、化学发光、荧光偏振），区域扫描；</w:t>
            </w:r>
          </w:p>
          <w:p w14:paraId="3330EF50">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7.电脑连接方式：网线（直接接入局域网），允许一台工作站控制多台仪器，同时数据可以存入网络中的任何终端电脑，进行数据共享和分析</w:t>
            </w:r>
            <w:r>
              <w:rPr>
                <w:rFonts w:hint="eastAsia" w:ascii="宋体" w:hAnsi="宋体" w:eastAsia="宋体" w:cs="宋体"/>
                <w:color w:val="000000"/>
                <w:sz w:val="24"/>
                <w:lang w:eastAsia="zh-CN"/>
              </w:rPr>
              <w:t>；</w:t>
            </w:r>
          </w:p>
          <w:p w14:paraId="3241AC07">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8.吸收光：</w:t>
            </w:r>
          </w:p>
          <w:p w14:paraId="6B05EF7B">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（1）波长范围：230nm-1000nm，1nm连续可调；</w:t>
            </w:r>
          </w:p>
          <w:p w14:paraId="74F79B9A">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（2）波长带宽</w:t>
            </w:r>
            <w:r>
              <w:rPr>
                <w:rFonts w:hint="eastAsia" w:ascii="宋体" w:hAnsi="宋体" w:eastAsia="宋体" w:cs="宋体"/>
                <w:color w:val="000000"/>
                <w:sz w:val="24"/>
                <w:lang w:eastAsia="zh-CN"/>
              </w:rPr>
              <w:t>：</w:t>
            </w:r>
            <w:r>
              <w:rPr>
                <w:rFonts w:hint="eastAsia" w:ascii="宋体" w:hAnsi="宋体" w:eastAsia="宋体" w:cs="宋体"/>
                <w:color w:val="000000"/>
                <w:sz w:val="24"/>
              </w:rPr>
              <w:t>≤4.0nm（230nm-1000nm）；</w:t>
            </w:r>
          </w:p>
          <w:p w14:paraId="1970FE81">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（3）光度量范围：0-4.0（OD）；</w:t>
            </w:r>
          </w:p>
          <w:p w14:paraId="5361D39C">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（4）测定准确度</w:t>
            </w:r>
            <w:r>
              <w:rPr>
                <w:rFonts w:hint="eastAsia" w:ascii="宋体" w:hAnsi="宋体" w:eastAsia="宋体" w:cs="宋体"/>
                <w:color w:val="000000"/>
                <w:sz w:val="24"/>
                <w:lang w:eastAsia="zh-CN"/>
              </w:rPr>
              <w:t>：</w:t>
            </w:r>
            <w:r>
              <w:rPr>
                <w:rFonts w:hint="eastAsia" w:ascii="宋体" w:hAnsi="宋体" w:eastAsia="宋体" w:cs="宋体"/>
                <w:color w:val="000000"/>
                <w:sz w:val="24"/>
              </w:rPr>
              <w:t>≤±0.010OD±1.0%，0-3.0OD；</w:t>
            </w:r>
          </w:p>
          <w:p w14:paraId="5CC3C06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（5）测定精确度</w:t>
            </w:r>
            <w:r>
              <w:rPr>
                <w:rFonts w:hint="eastAsia" w:ascii="宋体" w:hAnsi="宋体" w:eastAsia="宋体" w:cs="宋体"/>
                <w:color w:val="000000"/>
                <w:sz w:val="24"/>
                <w:lang w:eastAsia="zh-CN"/>
              </w:rPr>
              <w:t>：</w:t>
            </w:r>
            <w:r>
              <w:rPr>
                <w:rFonts w:hint="eastAsia" w:ascii="宋体" w:hAnsi="宋体" w:eastAsia="宋体" w:cs="宋体"/>
                <w:color w:val="000000"/>
                <w:sz w:val="24"/>
              </w:rPr>
              <w:t>≤±0.003OD±1.0%，0-3.0OD；</w:t>
            </w:r>
          </w:p>
          <w:p w14:paraId="486CD517">
            <w:pPr>
              <w:widowControl/>
              <w:spacing w:after="200" w:line="360" w:lineRule="auto"/>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（6）配有光径传感器技术，可以将实测的光密度值校正为1cm光径下的吸光度值，使对微孔板的测读达到分光光度计的精度，校正结果不随温度变化而变化</w:t>
            </w:r>
            <w:r>
              <w:rPr>
                <w:rFonts w:hint="eastAsia" w:ascii="宋体" w:hAnsi="宋体" w:eastAsia="宋体" w:cs="宋体"/>
                <w:color w:val="000000"/>
                <w:sz w:val="24"/>
                <w:lang w:eastAsia="zh-CN"/>
              </w:rPr>
              <w:t>；</w:t>
            </w:r>
          </w:p>
          <w:p w14:paraId="119D14F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9.荧光强度：四光栅和滤色片双系统：</w:t>
            </w:r>
          </w:p>
          <w:p w14:paraId="1DC7299A">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（1）荧光检测支持微孔板顶部及底部检测；</w:t>
            </w:r>
          </w:p>
          <w:p w14:paraId="48186D78">
            <w:pPr>
              <w:widowControl/>
              <w:spacing w:after="200" w:line="360" w:lineRule="auto"/>
              <w:jc w:val="left"/>
              <w:textAlignment w:val="center"/>
              <w:rPr>
                <w:rFonts w:hint="eastAsia" w:ascii="宋体" w:hAnsi="宋体" w:eastAsia="宋体" w:cs="宋体"/>
                <w:color w:val="000000"/>
                <w:sz w:val="24"/>
                <w:u w:val="single"/>
              </w:rPr>
            </w:pPr>
            <w:r>
              <w:rPr>
                <w:rFonts w:hint="eastAsia" w:ascii="宋体" w:hAnsi="宋体" w:eastAsia="宋体" w:cs="宋体"/>
                <w:color w:val="000000"/>
                <w:sz w:val="24"/>
                <w:u w:val="single"/>
              </w:rPr>
              <w:t>★（2）激发波长（Ex）范围：250nm</w:t>
            </w:r>
            <w:r>
              <w:rPr>
                <w:rFonts w:hint="eastAsia" w:ascii="宋体" w:hAnsi="宋体" w:eastAsia="宋体" w:cs="宋体"/>
                <w:color w:val="000000"/>
                <w:sz w:val="24"/>
                <w:u w:val="single"/>
                <w:lang w:val="en-US" w:eastAsia="zh-CN"/>
              </w:rPr>
              <w:t>-</w:t>
            </w:r>
            <w:r>
              <w:rPr>
                <w:rFonts w:hint="eastAsia" w:ascii="宋体" w:hAnsi="宋体" w:eastAsia="宋体" w:cs="宋体"/>
                <w:color w:val="000000"/>
                <w:sz w:val="24"/>
                <w:u w:val="single"/>
              </w:rPr>
              <w:t>850nm，发射波长（Em）范围：270nm</w:t>
            </w:r>
            <w:r>
              <w:rPr>
                <w:rFonts w:hint="eastAsia" w:ascii="宋体" w:hAnsi="宋体" w:eastAsia="宋体" w:cs="宋体"/>
                <w:color w:val="000000"/>
                <w:sz w:val="24"/>
                <w:u w:val="single"/>
                <w:lang w:val="en-US" w:eastAsia="zh-CN"/>
              </w:rPr>
              <w:t>-</w:t>
            </w:r>
            <w:r>
              <w:rPr>
                <w:rFonts w:hint="eastAsia" w:ascii="宋体" w:hAnsi="宋体" w:eastAsia="宋体" w:cs="宋体"/>
                <w:color w:val="000000"/>
                <w:sz w:val="24"/>
                <w:u w:val="single"/>
              </w:rPr>
              <w:t>850nm；</w:t>
            </w:r>
          </w:p>
          <w:p w14:paraId="524DA437">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（3）检测器：-5℃制冷PMT，自动增益调节功能；</w:t>
            </w:r>
          </w:p>
          <w:p w14:paraId="63F009AE">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（4）灵敏度（M/M光栅）：96孔板顶读：≤1pM荧光素；96孔板底读：≤2pM荧光素；384孔板顶读：≤1pM荧光素；384孔板底读：≤2.5pM荧光素；</w:t>
            </w:r>
          </w:p>
          <w:p w14:paraId="26E3CEB0">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（5）灵敏度（F/F滤色片）：96孔板顶读：≤0.3pM荧光素；96孔板底读：≤2pM荧光素；384孔板顶读：≤0.5pM荧光素；384孔板底读：≤2.5pM荧光素；</w:t>
            </w:r>
          </w:p>
          <w:p w14:paraId="63756A22">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（6）支持激发光光谱扫描（光谱范围250nm-850nm）、发射光光谱扫描（光谱范围250nm-850nm）；</w:t>
            </w:r>
          </w:p>
          <w:p w14:paraId="0439092E">
            <w:pPr>
              <w:widowControl/>
              <w:spacing w:after="200" w:line="360" w:lineRule="auto"/>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（7）支持3D荧光扫描：激发光和发射光同时光谱扫描，3D显示</w:t>
            </w:r>
            <w:r>
              <w:rPr>
                <w:rFonts w:hint="eastAsia" w:ascii="宋体" w:hAnsi="宋体" w:eastAsia="宋体" w:cs="宋体"/>
                <w:color w:val="000000"/>
                <w:sz w:val="24"/>
                <w:lang w:eastAsia="zh-CN"/>
              </w:rPr>
              <w:t>；</w:t>
            </w:r>
          </w:p>
          <w:p w14:paraId="0ED29962">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10.化学发光：光栅和滤色片双系统；</w:t>
            </w:r>
          </w:p>
          <w:p w14:paraId="3DF6F185">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（1）化学发光检测支持微孔板顶部检测；</w:t>
            </w:r>
          </w:p>
          <w:p w14:paraId="647C53F1">
            <w:pPr>
              <w:widowControl/>
              <w:spacing w:after="200" w:line="360" w:lineRule="auto"/>
              <w:jc w:val="left"/>
              <w:textAlignment w:val="center"/>
              <w:rPr>
                <w:rFonts w:hint="eastAsia" w:ascii="宋体" w:hAnsi="宋体" w:eastAsia="宋体" w:cs="宋体"/>
                <w:color w:val="000000"/>
                <w:sz w:val="24"/>
                <w:u w:val="single"/>
              </w:rPr>
            </w:pPr>
            <w:r>
              <w:rPr>
                <w:rFonts w:hint="eastAsia" w:ascii="宋体" w:hAnsi="宋体" w:eastAsia="宋体" w:cs="宋体"/>
                <w:color w:val="000000"/>
                <w:sz w:val="24"/>
                <w:u w:val="single"/>
              </w:rPr>
              <w:t>★（2）波长范围：320nm</w:t>
            </w:r>
            <w:r>
              <w:rPr>
                <w:rFonts w:hint="eastAsia" w:ascii="宋体" w:hAnsi="宋体" w:eastAsia="宋体" w:cs="宋体"/>
                <w:color w:val="000000"/>
                <w:sz w:val="24"/>
                <w:u w:val="single"/>
                <w:lang w:val="en-US" w:eastAsia="zh-CN"/>
              </w:rPr>
              <w:t>-</w:t>
            </w:r>
            <w:r>
              <w:rPr>
                <w:rFonts w:hint="eastAsia" w:ascii="宋体" w:hAnsi="宋体" w:eastAsia="宋体" w:cs="宋体"/>
                <w:color w:val="000000"/>
                <w:sz w:val="24"/>
                <w:u w:val="single"/>
              </w:rPr>
              <w:t>740nm；</w:t>
            </w:r>
          </w:p>
          <w:p w14:paraId="780B14FC">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（3）检测器：-5℃制冷单光子计数PMT；</w:t>
            </w:r>
          </w:p>
          <w:p w14:paraId="3C1EDD8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（4）灵敏度（辉光）：≤2pM ATP，96孔板；≤4pM ATP，384孔板；</w:t>
            </w:r>
          </w:p>
          <w:p w14:paraId="637F3260">
            <w:pPr>
              <w:widowControl/>
              <w:spacing w:after="200" w:line="360" w:lineRule="auto"/>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（5）灵敏度（闪光）：≤20amolATP</w:t>
            </w:r>
            <w:r>
              <w:rPr>
                <w:rFonts w:hint="eastAsia" w:ascii="宋体" w:hAnsi="宋体" w:eastAsia="宋体" w:cs="宋体"/>
                <w:color w:val="000000"/>
                <w:sz w:val="24"/>
                <w:lang w:eastAsia="zh-CN"/>
              </w:rPr>
              <w:t>；</w:t>
            </w:r>
          </w:p>
          <w:p w14:paraId="3EBA02B0">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11.时间分辨荧光：</w:t>
            </w:r>
          </w:p>
          <w:p w14:paraId="3716634B">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（1）支持微孔板顶部及底部检测；</w:t>
            </w:r>
          </w:p>
          <w:p w14:paraId="6674C31B">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（2）激发滤光片：350nm（带宽60nm），检测波长（EM）范围：450-750nm，1nm连续可调；</w:t>
            </w:r>
          </w:p>
          <w:p w14:paraId="6448804E">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（3）检测器：-5℃制冷PMT；</w:t>
            </w:r>
          </w:p>
          <w:p w14:paraId="3A3E7742">
            <w:pPr>
              <w:widowControl/>
              <w:spacing w:after="200" w:line="360" w:lineRule="auto"/>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（4）检测灵敏度：≤10fM铕元素，96孔板；≤10fM铕元素，384孔板</w:t>
            </w:r>
            <w:r>
              <w:rPr>
                <w:rFonts w:hint="eastAsia" w:ascii="宋体" w:hAnsi="宋体" w:eastAsia="宋体" w:cs="宋体"/>
                <w:color w:val="000000"/>
                <w:sz w:val="24"/>
                <w:lang w:eastAsia="zh-CN"/>
              </w:rPr>
              <w:t>；</w:t>
            </w:r>
          </w:p>
          <w:p w14:paraId="7DD01121">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12.荧光偏振：四光栅和滤色片双系统；</w:t>
            </w:r>
          </w:p>
          <w:p w14:paraId="2AD216FD">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（1）支持微孔板顶部及底部检测；</w:t>
            </w:r>
          </w:p>
          <w:p w14:paraId="1ED08D6A">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（2）波长范围：300-750nm，1nm连续可调；</w:t>
            </w:r>
          </w:p>
          <w:p w14:paraId="0716DF0D">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（3）检测器：-5℃制冷PMT；</w:t>
            </w:r>
          </w:p>
          <w:p w14:paraId="7D2D20AD">
            <w:pPr>
              <w:widowControl/>
              <w:spacing w:after="200" w:line="360" w:lineRule="auto"/>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（4）检测下限（F/F，滤光片）：≤1mP标准偏差（1nM荧光素，96孔板）；检测下限（M/M，光栅）：≤2mP标准偏差（10nM荧光素，96孔板）</w:t>
            </w:r>
            <w:r>
              <w:rPr>
                <w:rFonts w:hint="eastAsia" w:ascii="宋体" w:hAnsi="宋体" w:eastAsia="宋体" w:cs="宋体"/>
                <w:color w:val="000000"/>
                <w:sz w:val="24"/>
                <w:lang w:eastAsia="zh-CN"/>
              </w:rPr>
              <w:t>；</w:t>
            </w:r>
          </w:p>
          <w:p w14:paraId="0596DE67">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3</w:t>
            </w:r>
            <w:r>
              <w:rPr>
                <w:rFonts w:hint="eastAsia" w:ascii="宋体" w:hAnsi="宋体" w:eastAsia="宋体" w:cs="宋体"/>
                <w:color w:val="000000"/>
                <w:sz w:val="24"/>
              </w:rPr>
              <w:t>.支持Western</w:t>
            </w:r>
            <w:r>
              <w:rPr>
                <w:rFonts w:hint="eastAsia" w:ascii="宋体" w:hAnsi="宋体" w:eastAsia="宋体" w:cs="宋体"/>
                <w:color w:val="000000"/>
                <w:sz w:val="24"/>
                <w:lang w:val="en-US" w:eastAsia="zh-CN"/>
              </w:rPr>
              <w:t xml:space="preserve"> B</w:t>
            </w:r>
            <w:r>
              <w:rPr>
                <w:rFonts w:hint="eastAsia" w:ascii="宋体" w:hAnsi="宋体" w:eastAsia="宋体" w:cs="宋体"/>
                <w:color w:val="000000"/>
                <w:sz w:val="24"/>
              </w:rPr>
              <w:t>lot检测，检测灵敏度：fg/pg级；动态检测范围：3-4logs；信号稳定性：&gt;1月；</w:t>
            </w:r>
          </w:p>
          <w:p w14:paraId="2E3270E4">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4</w:t>
            </w:r>
            <w:r>
              <w:rPr>
                <w:rFonts w:hint="eastAsia" w:ascii="宋体" w:hAnsi="宋体" w:eastAsia="宋体" w:cs="宋体"/>
                <w:color w:val="000000"/>
                <w:sz w:val="24"/>
              </w:rPr>
              <w:t>.具有近场芯片感应通讯和身份识别功能（NFC），</w:t>
            </w:r>
            <w:r>
              <w:rPr>
                <w:rFonts w:hint="eastAsia" w:ascii="宋体" w:hAnsi="宋体" w:eastAsia="宋体" w:cs="宋体"/>
                <w:color w:val="000000"/>
                <w:sz w:val="24"/>
                <w:lang w:val="en-US" w:eastAsia="zh-CN"/>
              </w:rPr>
              <w:t>并</w:t>
            </w:r>
            <w:r>
              <w:rPr>
                <w:rFonts w:hint="eastAsia" w:ascii="宋体" w:hAnsi="宋体" w:eastAsia="宋体" w:cs="宋体"/>
                <w:color w:val="000000"/>
                <w:sz w:val="24"/>
              </w:rPr>
              <w:t>配备</w:t>
            </w:r>
            <w:r>
              <w:rPr>
                <w:rFonts w:hint="eastAsia" w:ascii="宋体" w:hAnsi="宋体" w:eastAsia="宋体" w:cs="宋体"/>
                <w:color w:val="000000"/>
                <w:sz w:val="24"/>
                <w:lang w:val="en-US" w:eastAsia="zh-CN"/>
              </w:rPr>
              <w:t>不低于3</w:t>
            </w:r>
            <w:r>
              <w:rPr>
                <w:rFonts w:hint="eastAsia" w:ascii="宋体" w:hAnsi="宋体" w:eastAsia="宋体" w:cs="宋体"/>
                <w:color w:val="000000"/>
                <w:sz w:val="24"/>
              </w:rPr>
              <w:t>个用户身份识别卡；</w:t>
            </w:r>
          </w:p>
          <w:p w14:paraId="077414BC">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5</w:t>
            </w:r>
            <w:r>
              <w:rPr>
                <w:rFonts w:hint="eastAsia" w:ascii="宋体" w:hAnsi="宋体" w:eastAsia="宋体" w:cs="宋体"/>
                <w:color w:val="000000"/>
                <w:sz w:val="24"/>
              </w:rPr>
              <w:t>.仪器主机USB插口可数据输出：支持；</w:t>
            </w:r>
          </w:p>
          <w:p w14:paraId="46F7F1DA">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6</w:t>
            </w:r>
            <w:r>
              <w:rPr>
                <w:rFonts w:hint="eastAsia" w:ascii="宋体" w:hAnsi="宋体" w:eastAsia="宋体" w:cs="宋体"/>
                <w:color w:val="000000"/>
                <w:sz w:val="24"/>
              </w:rPr>
              <w:t>.仪器主机面板具有嵌入式大屏幕触摸屏，直接使用在线触屏，即可进行程序、参数设置、读板、存储数据（至USB或网络路径）、数据展示和浏览；并内置培训视频可在线可调用观看；</w:t>
            </w:r>
          </w:p>
          <w:p w14:paraId="36D2E837">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7</w:t>
            </w:r>
            <w:r>
              <w:rPr>
                <w:rFonts w:hint="eastAsia" w:ascii="宋体" w:hAnsi="宋体" w:eastAsia="宋体" w:cs="宋体"/>
                <w:color w:val="000000"/>
                <w:sz w:val="24"/>
              </w:rPr>
              <w:t>.专业分析和控制软件要求：</w:t>
            </w:r>
          </w:p>
          <w:p w14:paraId="198E7DC5">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（1）软件可自动进行数据的运算及存储，仪器的各种功能均可通过计算机控制完成；</w:t>
            </w:r>
          </w:p>
          <w:p w14:paraId="25B226E4">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（2）可完成图表曲线制作，并可完成坐标轴的自由定义和转换；</w:t>
            </w:r>
          </w:p>
          <w:p w14:paraId="37CEB52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（3）具有≥20种曲线拟合方式；曲线分析包括：IC50/EC50、插值法/外推法、自定义权重、平行性分析、显示相对效能和R2、综合置信区间显示；</w:t>
            </w:r>
          </w:p>
          <w:p w14:paraId="00BEC901">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（4）具有＞140种预设模板；</w:t>
            </w:r>
          </w:p>
          <w:p w14:paraId="216D90E5">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（5）数据显示既可以显示原始结果，也可以显示运算结果的彩色图或灰度图，以及3D显示；</w:t>
            </w:r>
          </w:p>
          <w:p w14:paraId="7FA5E90B">
            <w:pPr>
              <w:widowControl/>
              <w:spacing w:after="200" w:line="360" w:lineRule="auto"/>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（6）具有公式编辑功能，可以完成自编公式进行数据统计，无需第三方软件统计分</w:t>
            </w:r>
            <w:r>
              <w:rPr>
                <w:rFonts w:hint="eastAsia" w:ascii="宋体" w:hAnsi="宋体" w:eastAsia="宋体" w:cs="宋体"/>
                <w:color w:val="000000"/>
                <w:sz w:val="24"/>
                <w:lang w:eastAsia="zh-CN"/>
              </w:rPr>
              <w:t>；</w:t>
            </w:r>
          </w:p>
          <w:p w14:paraId="6EF8E41C">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8.</w:t>
            </w:r>
            <w:r>
              <w:rPr>
                <w:rFonts w:hint="eastAsia" w:ascii="宋体" w:hAnsi="宋体" w:eastAsia="宋体" w:cs="宋体"/>
                <w:color w:val="000000"/>
                <w:sz w:val="24"/>
              </w:rPr>
              <w:t>配置清单：</w:t>
            </w:r>
          </w:p>
          <w:p w14:paraId="738D69E2">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四光栅和滤色片双系统主机（含吸收光、荧光强度、化学发光、时间分辨荧光、荧光偏振）；</w:t>
            </w:r>
          </w:p>
          <w:p w14:paraId="4CFCF19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（2）近场芯片感应通讯和身份识别芯片（NFC）4个；</w:t>
            </w:r>
          </w:p>
          <w:p w14:paraId="33B4ED7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rPr>
              <w:t>）专业分析和控制软件一套。</w:t>
            </w:r>
          </w:p>
        </w:tc>
        <w:tc>
          <w:tcPr>
            <w:tcW w:w="796" w:type="dxa"/>
            <w:noWrap w:val="0"/>
            <w:vAlign w:val="center"/>
          </w:tcPr>
          <w:p w14:paraId="70895F22">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2</w:t>
            </w:r>
          </w:p>
        </w:tc>
        <w:tc>
          <w:tcPr>
            <w:tcW w:w="1327" w:type="dxa"/>
            <w:noWrap w:val="0"/>
            <w:vAlign w:val="center"/>
          </w:tcPr>
          <w:p w14:paraId="37D96356">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55.00</w:t>
            </w:r>
          </w:p>
        </w:tc>
      </w:tr>
      <w:tr w14:paraId="08F23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center"/>
          </w:tcPr>
          <w:p w14:paraId="4320D7FE">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3</w:t>
            </w:r>
          </w:p>
        </w:tc>
        <w:tc>
          <w:tcPr>
            <w:tcW w:w="1247" w:type="dxa"/>
            <w:noWrap w:val="0"/>
            <w:vAlign w:val="center"/>
          </w:tcPr>
          <w:p w14:paraId="46309354">
            <w:pPr>
              <w:widowControl/>
              <w:spacing w:after="200" w:line="360" w:lineRule="auto"/>
              <w:jc w:val="center"/>
              <w:textAlignment w:val="center"/>
              <w:rPr>
                <w:rFonts w:ascii="宋体" w:hAnsi="宋体" w:eastAsia="宋体" w:cs="宋体"/>
                <w:color w:val="000000"/>
                <w:sz w:val="24"/>
              </w:rPr>
            </w:pPr>
            <w:r>
              <w:rPr>
                <w:rFonts w:hint="eastAsia" w:ascii="宋体" w:hAnsi="宋体"/>
                <w:sz w:val="24"/>
              </w:rPr>
              <w:t>●</w:t>
            </w:r>
            <w:r>
              <w:rPr>
                <w:rFonts w:hint="eastAsia" w:ascii="宋体" w:hAnsi="宋体" w:eastAsia="宋体" w:cs="宋体"/>
                <w:color w:val="000000"/>
                <w:sz w:val="24"/>
              </w:rPr>
              <w:t>电子舌</w:t>
            </w:r>
          </w:p>
        </w:tc>
        <w:tc>
          <w:tcPr>
            <w:tcW w:w="4788" w:type="dxa"/>
            <w:noWrap w:val="0"/>
            <w:vAlign w:val="center"/>
          </w:tcPr>
          <w:p w14:paraId="752F0C65">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1.直接检测得到的指标</w:t>
            </w:r>
            <w:r>
              <w:rPr>
                <w:rFonts w:hint="eastAsia" w:ascii="宋体" w:hAnsi="宋体" w:eastAsia="宋体" w:cs="宋体"/>
                <w:color w:val="000000"/>
                <w:sz w:val="24"/>
                <w:lang w:val="en-US" w:eastAsia="zh-CN"/>
              </w:rPr>
              <w:t>须包含</w:t>
            </w:r>
            <w:r>
              <w:rPr>
                <w:rFonts w:hint="eastAsia" w:ascii="宋体" w:hAnsi="宋体" w:eastAsia="宋体" w:cs="宋体"/>
                <w:color w:val="000000"/>
                <w:sz w:val="24"/>
              </w:rPr>
              <w:t>：苦味值、涩味值、酸味值、咸味值、鲜味值、甜味值、苦的回味值、涩的回味值和鲜的回味（丰富度）值，不接受使用统计学算法间接模糊表征味觉特性的数据方式；</w:t>
            </w:r>
          </w:p>
          <w:p w14:paraId="20E48B19">
            <w:pPr>
              <w:widowControl/>
              <w:spacing w:after="200" w:line="360" w:lineRule="auto"/>
              <w:jc w:val="left"/>
              <w:textAlignment w:val="center"/>
              <w:rPr>
                <w:rFonts w:hint="eastAsia" w:ascii="宋体" w:hAnsi="宋体" w:eastAsia="宋体" w:cs="宋体"/>
                <w:color w:val="000000"/>
                <w:sz w:val="24"/>
                <w:u w:val="single"/>
              </w:rPr>
            </w:pPr>
            <w:r>
              <w:rPr>
                <w:rFonts w:hint="eastAsia" w:ascii="宋体" w:hAnsi="宋体" w:eastAsia="宋体" w:cs="宋体"/>
                <w:color w:val="000000"/>
                <w:sz w:val="24"/>
                <w:u w:val="single"/>
              </w:rPr>
              <w:t>★2.味觉传感器类型：人工脂膜传感器</w:t>
            </w:r>
            <w:r>
              <w:rPr>
                <w:rFonts w:hint="eastAsia" w:ascii="宋体" w:hAnsi="宋体" w:eastAsia="宋体" w:cs="宋体"/>
                <w:color w:val="000000"/>
                <w:sz w:val="24"/>
                <w:u w:val="single"/>
                <w:lang w:eastAsia="zh-CN"/>
              </w:rPr>
              <w:t>。</w:t>
            </w:r>
            <w:r>
              <w:rPr>
                <w:rFonts w:hint="eastAsia" w:ascii="宋体" w:hAnsi="宋体" w:eastAsia="宋体" w:cs="宋体"/>
                <w:color w:val="000000"/>
                <w:sz w:val="24"/>
                <w:u w:val="single"/>
              </w:rPr>
              <w:t>不接受：液体传感器、金属氧化物传感器（包括涂层金属氧化物传感器）和惰性金属电极传感器类型；</w:t>
            </w:r>
          </w:p>
          <w:p w14:paraId="260166C3">
            <w:pPr>
              <w:widowControl/>
              <w:spacing w:after="200" w:line="360" w:lineRule="auto"/>
              <w:jc w:val="left"/>
              <w:textAlignment w:val="center"/>
              <w:rPr>
                <w:rFonts w:hint="eastAsia" w:ascii="宋体" w:hAnsi="宋体" w:eastAsia="宋体" w:cs="宋体"/>
                <w:color w:val="000000"/>
                <w:sz w:val="24"/>
                <w:u w:val="single"/>
              </w:rPr>
            </w:pPr>
            <w:r>
              <w:rPr>
                <w:rFonts w:hint="eastAsia" w:ascii="宋体" w:hAnsi="宋体" w:eastAsia="宋体" w:cs="宋体"/>
                <w:color w:val="000000"/>
                <w:sz w:val="24"/>
                <w:u w:val="single"/>
              </w:rPr>
              <w:t>★3.提供苦味传感器、涩味传感器、鲜味传感器、咸味传感器、酸味传感器、甜味传感器，每一种味道传感器检测对应的一种味觉值指标，每支味道传感器单独安装使用检测相应的味觉指标，如：涩味传感器单独安装使用测试直接检测涩味值；</w:t>
            </w:r>
          </w:p>
          <w:p w14:paraId="2B41A719">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4.传感器稳定性：化学配置的味觉标准溶液4次重复实验的标准方差RSD≤1%；</w:t>
            </w:r>
          </w:p>
          <w:p w14:paraId="0F4EB2C1">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5.直接检测样品的各味觉值，无需通过化学计量学分析软件建立数据库间接表征味觉特性；</w:t>
            </w:r>
          </w:p>
          <w:p w14:paraId="712817AD">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6.主机本身具有防电磁干扰技术，确保分析过程不受外界磁场的干扰，需提供相关认证证书复印件；</w:t>
            </w:r>
          </w:p>
          <w:p w14:paraId="176AF64A">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7.含不少于36位自动进样器，通过软件全自动控制进样、分析等全过程，可实现无人值守工作</w:t>
            </w:r>
            <w:r>
              <w:rPr>
                <w:rFonts w:hint="eastAsia" w:ascii="宋体" w:hAnsi="宋体" w:eastAsia="宋体" w:cs="宋体"/>
                <w:color w:val="000000"/>
                <w:sz w:val="24"/>
                <w:lang w:val="en-US" w:eastAsia="zh-CN"/>
              </w:rPr>
              <w:t>功能</w:t>
            </w:r>
            <w:r>
              <w:rPr>
                <w:rFonts w:hint="eastAsia" w:ascii="宋体" w:hAnsi="宋体" w:eastAsia="宋体" w:cs="宋体"/>
                <w:color w:val="000000"/>
                <w:sz w:val="24"/>
              </w:rPr>
              <w:t>；</w:t>
            </w:r>
          </w:p>
          <w:p w14:paraId="1A44A4F6">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8.样品进样量：35ml</w:t>
            </w:r>
            <w:r>
              <w:rPr>
                <w:rFonts w:hint="eastAsia" w:ascii="宋体" w:hAnsi="宋体" w:eastAsia="宋体" w:cs="宋体"/>
                <w:color w:val="000000"/>
                <w:sz w:val="24"/>
                <w:lang w:val="en-US" w:eastAsia="zh-CN"/>
              </w:rPr>
              <w:t>-</w:t>
            </w:r>
            <w:r>
              <w:rPr>
                <w:rFonts w:hint="eastAsia" w:ascii="宋体" w:hAnsi="宋体" w:eastAsia="宋体" w:cs="宋体"/>
                <w:color w:val="000000"/>
                <w:sz w:val="24"/>
              </w:rPr>
              <w:t>70ml；</w:t>
            </w:r>
          </w:p>
          <w:p w14:paraId="6CF59C47">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9.软件全自动控制主机工作全过程，包括设置进样顺序、分析和清洗时间、分析次数等；</w:t>
            </w:r>
          </w:p>
          <w:p w14:paraId="53E01485">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10.</w:t>
            </w:r>
            <w:r>
              <w:rPr>
                <w:rFonts w:hint="eastAsia" w:ascii="宋体" w:hAnsi="宋体" w:eastAsia="宋体" w:cs="宋体"/>
                <w:color w:val="000000"/>
                <w:sz w:val="24"/>
                <w:lang w:val="en-US" w:eastAsia="zh-CN"/>
              </w:rPr>
              <w:t>具备</w:t>
            </w:r>
            <w:r>
              <w:rPr>
                <w:rFonts w:hint="eastAsia" w:ascii="宋体" w:hAnsi="宋体" w:eastAsia="宋体" w:cs="宋体"/>
                <w:color w:val="000000"/>
                <w:sz w:val="24"/>
              </w:rPr>
              <w:t>数据分析功能，可以直接获得味觉数值指标、雷达图等；</w:t>
            </w:r>
          </w:p>
          <w:p w14:paraId="3B7B7A2E">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11.样品槽个数：≥36个；测量样品数量：≥10个；</w:t>
            </w:r>
          </w:p>
          <w:p w14:paraId="47A10FF9">
            <w:pPr>
              <w:widowControl/>
              <w:spacing w:after="200" w:line="360" w:lineRule="auto"/>
              <w:jc w:val="left"/>
              <w:textAlignment w:val="center"/>
              <w:rPr>
                <w:rFonts w:hint="eastAsia" w:ascii="宋体" w:hAnsi="宋体" w:eastAsia="宋体" w:cs="宋体"/>
                <w:color w:val="000000"/>
                <w:sz w:val="24"/>
                <w:u w:val="single"/>
              </w:rPr>
            </w:pPr>
            <w:r>
              <w:rPr>
                <w:rFonts w:hint="eastAsia" w:ascii="宋体" w:hAnsi="宋体" w:eastAsia="宋体" w:cs="宋体"/>
                <w:color w:val="000000"/>
                <w:sz w:val="24"/>
                <w:u w:val="single"/>
              </w:rPr>
              <w:t>★12.测试味道全阈范围：±25Ins，精度：0.01Ins；</w:t>
            </w:r>
          </w:p>
          <w:p w14:paraId="6A38BBB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13.仪器主机装有正负极两组味觉传感器安装头，</w:t>
            </w:r>
            <w:r>
              <w:rPr>
                <w:rFonts w:hint="eastAsia" w:ascii="宋体" w:hAnsi="宋体" w:eastAsia="宋体" w:cs="宋体"/>
                <w:color w:val="000000"/>
                <w:sz w:val="24"/>
                <w:lang w:val="en-US" w:eastAsia="zh-CN"/>
              </w:rPr>
              <w:t>须</w:t>
            </w:r>
            <w:r>
              <w:rPr>
                <w:rFonts w:hint="eastAsia" w:ascii="宋体" w:hAnsi="宋体" w:eastAsia="宋体" w:cs="宋体"/>
                <w:color w:val="000000"/>
                <w:sz w:val="24"/>
              </w:rPr>
              <w:t>提供两组安装头图片，独立测试相应的味觉指标；</w:t>
            </w:r>
          </w:p>
          <w:p w14:paraId="4D47F87E">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14.响应原理：膜电势测量；</w:t>
            </w:r>
          </w:p>
          <w:p w14:paraId="3A365787">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15.味觉传感器：响应特点具有特定味觉物质整体选择性，同人的味觉感官阀值变化相吻合，能充分体现各类味觉物质之间相互作用的结果；</w:t>
            </w:r>
          </w:p>
          <w:p w14:paraId="3401B402">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16.主机自动进样器，内含水浴槽，可对样品温度进行有效控制，完成温度与味道的相关性检测</w:t>
            </w:r>
            <w:r>
              <w:rPr>
                <w:rFonts w:hint="eastAsia" w:ascii="宋体" w:hAnsi="宋体" w:eastAsia="宋体" w:cs="宋体"/>
                <w:color w:val="000000"/>
                <w:sz w:val="24"/>
                <w:lang w:eastAsia="zh-CN"/>
              </w:rPr>
              <w:t>（</w:t>
            </w:r>
            <w:r>
              <w:rPr>
                <w:rFonts w:hint="eastAsia" w:ascii="宋体" w:hAnsi="宋体" w:eastAsia="宋体" w:cs="宋体"/>
                <w:color w:val="000000"/>
                <w:sz w:val="24"/>
              </w:rPr>
              <w:t>提供进样器水浴槽图片证明文件</w:t>
            </w:r>
            <w:r>
              <w:rPr>
                <w:rFonts w:hint="eastAsia" w:ascii="宋体" w:hAnsi="宋体" w:eastAsia="宋体" w:cs="宋体"/>
                <w:color w:val="000000"/>
                <w:sz w:val="24"/>
                <w:lang w:eastAsia="zh-CN"/>
              </w:rPr>
              <w:t>）</w:t>
            </w:r>
            <w:r>
              <w:rPr>
                <w:rFonts w:hint="eastAsia" w:ascii="宋体" w:hAnsi="宋体" w:eastAsia="宋体" w:cs="宋体"/>
                <w:color w:val="000000"/>
                <w:sz w:val="24"/>
              </w:rPr>
              <w:t>。</w:t>
            </w:r>
          </w:p>
          <w:p w14:paraId="1BEE6BDF">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二、基本配置</w:t>
            </w:r>
          </w:p>
          <w:p w14:paraId="0277DF7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1.电子舌主机一台；</w:t>
            </w:r>
          </w:p>
          <w:p w14:paraId="42ACED7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2.酸味传感器CA0两套、鲜味传感器AAE两套、咸味传感器CT0两套、甜味传感器GL1两套、涩味传感器AE1两套、苦味传感器C00两套；</w:t>
            </w:r>
          </w:p>
          <w:p w14:paraId="4BC7AA18">
            <w:pPr>
              <w:widowControl/>
              <w:spacing w:after="200" w:line="360" w:lineRule="auto"/>
              <w:jc w:val="left"/>
              <w:textAlignment w:val="center"/>
              <w:rPr>
                <w:rFonts w:hint="eastAsia" w:ascii="宋体" w:hAnsi="宋体" w:eastAsia="宋体" w:cs="宋体"/>
                <w:color w:val="000000"/>
                <w:sz w:val="24"/>
              </w:rPr>
            </w:pPr>
            <w:r>
              <w:rPr>
                <w:rFonts w:hint="eastAsia" w:ascii="宋体" w:hAnsi="宋体" w:eastAsia="宋体" w:cs="宋体"/>
                <w:color w:val="000000"/>
                <w:sz w:val="24"/>
              </w:rPr>
              <w:t>3.样品杯1000个。</w:t>
            </w:r>
          </w:p>
        </w:tc>
        <w:tc>
          <w:tcPr>
            <w:tcW w:w="796" w:type="dxa"/>
            <w:noWrap w:val="0"/>
            <w:vAlign w:val="center"/>
          </w:tcPr>
          <w:p w14:paraId="1D28E4D7">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1</w:t>
            </w:r>
          </w:p>
        </w:tc>
        <w:tc>
          <w:tcPr>
            <w:tcW w:w="1327" w:type="dxa"/>
            <w:noWrap w:val="0"/>
            <w:vAlign w:val="center"/>
          </w:tcPr>
          <w:p w14:paraId="72D66D3B">
            <w:pPr>
              <w:widowControl/>
              <w:spacing w:after="200" w:line="360" w:lineRule="auto"/>
              <w:jc w:val="center"/>
              <w:textAlignment w:val="center"/>
              <w:rPr>
                <w:rFonts w:ascii="宋体" w:hAnsi="宋体" w:eastAsia="宋体" w:cs="宋体"/>
                <w:color w:val="000000"/>
                <w:sz w:val="24"/>
              </w:rPr>
            </w:pPr>
            <w:r>
              <w:rPr>
                <w:rFonts w:hint="eastAsia" w:ascii="宋体" w:hAnsi="宋体" w:eastAsia="宋体" w:cs="宋体"/>
                <w:color w:val="000000"/>
                <w:sz w:val="24"/>
              </w:rPr>
              <w:t>129.00</w:t>
            </w:r>
          </w:p>
        </w:tc>
      </w:tr>
    </w:tbl>
    <w:p w14:paraId="3B224903">
      <w:pPr>
        <w:pStyle w:val="2"/>
        <w:spacing w:before="0" w:after="0" w:line="360" w:lineRule="auto"/>
        <w:ind w:firstLine="361" w:firstLineChars="150"/>
        <w:rPr>
          <w:rFonts w:hint="eastAsia" w:ascii="宋体" w:hAnsi="宋体" w:cs="宋体"/>
          <w:caps w:val="0"/>
          <w:sz w:val="24"/>
          <w:szCs w:val="24"/>
        </w:rPr>
      </w:pPr>
      <w:r>
        <w:rPr>
          <w:rFonts w:hint="eastAsia" w:ascii="宋体" w:hAnsi="宋体" w:cs="宋体"/>
          <w:caps w:val="0"/>
          <w:sz w:val="24"/>
          <w:szCs w:val="24"/>
        </w:rPr>
        <w:t>注：</w:t>
      </w:r>
    </w:p>
    <w:p w14:paraId="1CBA5C28">
      <w:pPr>
        <w:spacing w:line="360" w:lineRule="auto"/>
        <w:ind w:firstLine="482" w:firstLineChars="200"/>
        <w:outlineLvl w:val="2"/>
        <w:rPr>
          <w:rFonts w:hint="eastAsia" w:ascii="宋体" w:hAnsi="宋体" w:eastAsia="宋体" w:cs="Times New Roman"/>
          <w:b/>
          <w:snapToGrid w:val="0"/>
          <w:kern w:val="0"/>
          <w:sz w:val="24"/>
        </w:rPr>
      </w:pPr>
      <w:bookmarkStart w:id="4" w:name="_Toc2481"/>
      <w:r>
        <w:rPr>
          <w:rFonts w:hint="eastAsia" w:ascii="宋体" w:hAnsi="宋体" w:cs="宋体"/>
          <w:b/>
          <w:bCs/>
          <w:sz w:val="24"/>
        </w:rPr>
        <w:t>1.</w:t>
      </w:r>
      <w:bookmarkEnd w:id="4"/>
      <w:r>
        <w:rPr>
          <w:rFonts w:hint="eastAsia" w:ascii="宋体" w:hAnsi="宋体" w:cs="宋体"/>
          <w:b/>
          <w:bCs/>
          <w:sz w:val="24"/>
          <w:lang w:val="en-US" w:eastAsia="zh-CN"/>
        </w:rPr>
        <w:t>第一、二包</w:t>
      </w:r>
      <w:r>
        <w:rPr>
          <w:rFonts w:hint="eastAsia" w:ascii="宋体" w:hAnsi="宋体"/>
          <w:b/>
          <w:snapToGrid w:val="0"/>
          <w:kern w:val="0"/>
          <w:sz w:val="24"/>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w:t>
      </w:r>
      <w:r>
        <w:rPr>
          <w:rFonts w:hint="eastAsia" w:ascii="宋体" w:hAnsi="宋体"/>
          <w:b/>
          <w:snapToGrid w:val="0"/>
          <w:kern w:val="0"/>
          <w:sz w:val="24"/>
          <w:lang w:val="zh-CN"/>
        </w:rPr>
        <w:t>如有</w:t>
      </w:r>
      <w:r>
        <w:rPr>
          <w:rFonts w:hint="eastAsia" w:ascii="宋体" w:hAnsi="宋体"/>
          <w:b/>
          <w:snapToGrid w:val="0"/>
          <w:kern w:val="0"/>
          <w:sz w:val="24"/>
        </w:rPr>
        <w:t>条款</w:t>
      </w:r>
      <w:r>
        <w:rPr>
          <w:rFonts w:hint="eastAsia" w:ascii="宋体" w:hAnsi="宋体"/>
          <w:b/>
          <w:snapToGrid w:val="0"/>
          <w:kern w:val="0"/>
          <w:sz w:val="24"/>
          <w:lang w:val="zh-CN"/>
        </w:rPr>
        <w:t>未</w:t>
      </w:r>
      <w:r>
        <w:rPr>
          <w:rFonts w:hint="eastAsia" w:ascii="宋体" w:hAnsi="宋体"/>
          <w:b/>
          <w:snapToGrid w:val="0"/>
          <w:kern w:val="0"/>
          <w:sz w:val="24"/>
        </w:rPr>
        <w:t>提供佐证资料</w:t>
      </w:r>
      <w:r>
        <w:rPr>
          <w:rFonts w:hint="eastAsia" w:ascii="宋体" w:hAnsi="宋体"/>
          <w:b/>
          <w:snapToGrid w:val="0"/>
          <w:kern w:val="0"/>
          <w:sz w:val="24"/>
          <w:lang w:val="zh-CN"/>
        </w:rPr>
        <w:t>，</w:t>
      </w:r>
      <w:r>
        <w:rPr>
          <w:rFonts w:hint="eastAsia" w:ascii="宋体" w:hAnsi="宋体"/>
          <w:b/>
          <w:snapToGrid w:val="0"/>
          <w:kern w:val="0"/>
          <w:sz w:val="24"/>
        </w:rPr>
        <w:t>该条款按负偏离进行处理。在“响应技</w:t>
      </w:r>
      <w:r>
        <w:rPr>
          <w:rFonts w:hint="eastAsia" w:ascii="宋体" w:hAnsi="宋体" w:eastAsia="宋体" w:cs="Times New Roman"/>
          <w:b/>
          <w:snapToGrid w:val="0"/>
          <w:kern w:val="0"/>
          <w:sz w:val="24"/>
        </w:rPr>
        <w:t>术需求情况表”中“偏离情况”一栏标注该佐证资料在投标文件中的页码，以便评标委员会评审。</w:t>
      </w:r>
    </w:p>
    <w:p w14:paraId="1E0FEB85">
      <w:pPr>
        <w:spacing w:line="360" w:lineRule="auto"/>
        <w:ind w:firstLine="482" w:firstLineChars="200"/>
        <w:outlineLvl w:val="2"/>
        <w:rPr>
          <w:rFonts w:hint="eastAsia" w:ascii="宋体" w:hAnsi="宋体" w:eastAsia="宋体" w:cs="Times New Roman"/>
          <w:b/>
          <w:snapToGrid w:val="0"/>
          <w:kern w:val="0"/>
          <w:sz w:val="24"/>
          <w:lang w:eastAsia="zh-CN"/>
        </w:rPr>
      </w:pPr>
      <w:r>
        <w:rPr>
          <w:rFonts w:hint="eastAsia" w:ascii="宋体" w:hAnsi="宋体" w:eastAsia="宋体" w:cs="Times New Roman"/>
          <w:b/>
          <w:snapToGrid w:val="0"/>
          <w:kern w:val="0"/>
          <w:sz w:val="24"/>
        </w:rPr>
        <w:t>2.本项目投标人所投产品参数必须与供货产品实际指标完全一致，如果验收不通过投标人需承担相关责任和损失。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E69531"/>
    <w:multiLevelType w:val="singleLevel"/>
    <w:tmpl w:val="BDE69531"/>
    <w:lvl w:ilvl="0" w:tentative="0">
      <w:start w:val="2"/>
      <w:numFmt w:val="chineseCounting"/>
      <w:suff w:val="nothing"/>
      <w:lvlText w:val="%1、"/>
      <w:lvlJc w:val="left"/>
      <w:rPr>
        <w:rFonts w:hint="eastAsia"/>
      </w:rPr>
    </w:lvl>
  </w:abstractNum>
  <w:abstractNum w:abstractNumId="1">
    <w:nsid w:val="7C20DF19"/>
    <w:multiLevelType w:val="singleLevel"/>
    <w:tmpl w:val="7C20DF19"/>
    <w:lvl w:ilvl="0" w:tentative="0">
      <w:start w:val="8"/>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kNjQ0YmQ0MWYzNWMyMDRjOTZlYTMzMmM5ZjgwMjkifQ=="/>
  </w:docVars>
  <w:rsids>
    <w:rsidRoot w:val="00000000"/>
    <w:rsid w:val="06893896"/>
    <w:rsid w:val="0DDA0891"/>
    <w:rsid w:val="2C9D18E1"/>
    <w:rsid w:val="39566AEA"/>
    <w:rsid w:val="4E435715"/>
    <w:rsid w:val="53F6234B"/>
    <w:rsid w:val="605716CE"/>
    <w:rsid w:val="726B5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99"/>
    <w:pPr>
      <w:keepNext/>
      <w:keepLines/>
      <w:spacing w:before="340" w:after="330" w:line="578" w:lineRule="auto"/>
      <w:outlineLvl w:val="0"/>
    </w:pPr>
    <w:rPr>
      <w:kern w:val="44"/>
      <w:sz w:val="44"/>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szCs w:val="20"/>
    </w:rPr>
  </w:style>
  <w:style w:type="paragraph" w:styleId="4">
    <w:name w:val="Title"/>
    <w:basedOn w:val="1"/>
    <w:next w:val="1"/>
    <w:qFormat/>
    <w:uiPriority w:val="99"/>
    <w:pPr>
      <w:spacing w:before="240" w:after="60" w:line="276" w:lineRule="auto"/>
      <w:jc w:val="center"/>
      <w:outlineLvl w:val="0"/>
    </w:pPr>
    <w:rPr>
      <w:rFonts w:ascii="Cambria" w:hAnsi="Cambria"/>
      <w:b/>
      <w:kern w:val="0"/>
      <w:sz w:val="32"/>
      <w:szCs w:val="20"/>
    </w:rPr>
  </w:style>
  <w:style w:type="paragraph" w:styleId="5">
    <w:name w:val="annotation text"/>
    <w:basedOn w:val="1"/>
    <w:qFormat/>
    <w:uiPriority w:val="99"/>
    <w:pPr>
      <w:spacing w:after="200" w:line="276" w:lineRule="auto"/>
      <w:jc w:val="left"/>
    </w:pPr>
    <w:rPr>
      <w:kern w:val="0"/>
      <w:sz w:val="24"/>
      <w:szCs w:val="20"/>
    </w:rPr>
  </w:style>
  <w:style w:type="paragraph" w:styleId="6">
    <w:name w:val="Body Text"/>
    <w:basedOn w:val="1"/>
    <w:next w:val="1"/>
    <w:qFormat/>
    <w:uiPriority w:val="1"/>
    <w:pPr>
      <w:spacing w:after="120"/>
    </w:pPr>
    <w:rPr>
      <w:kern w:val="0"/>
      <w:sz w:val="24"/>
      <w:szCs w:val="20"/>
    </w:rPr>
  </w:style>
  <w:style w:type="table" w:styleId="8">
    <w:name w:val="Table Grid"/>
    <w:basedOn w:val="7"/>
    <w:qFormat/>
    <w:uiPriority w:val="0"/>
    <w:pPr>
      <w:widowControl w:val="0"/>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4285</Words>
  <Characters>5019</Characters>
  <Lines>0</Lines>
  <Paragraphs>0</Paragraphs>
  <TotalTime>0</TotalTime>
  <ScaleCrop>false</ScaleCrop>
  <LinksUpToDate>false</LinksUpToDate>
  <CharactersWithSpaces>5019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2024-07-10T10:08:00Z</dcterms:created>
  <dc:creator>admin</dc:creator>
  <cp:lastModifiedBy>清</cp:lastModifiedBy>
  <dcterms:modified xsi:type="dcterms:W3CDTF">2024-10-14T01:24:21Z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A0EEBDD6051A487B968CF7D926D221DA_13</vt:lpwstr>
  </property>
</Properties>
</file>