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2818D">
      <w:pPr>
        <w:adjustRightInd w:val="0"/>
        <w:snapToGrid w:val="0"/>
        <w:jc w:val="center"/>
        <w:rPr>
          <w:rFonts w:hint="eastAsia" w:ascii="宋体" w:hAnsi="宋体" w:eastAsia="宋体" w:cs="Times New Roman"/>
          <w:b/>
          <w:sz w:val="24"/>
        </w:rPr>
      </w:pPr>
      <w:bookmarkStart w:id="54" w:name="_GoBack"/>
      <w:bookmarkEnd w:id="54"/>
    </w:p>
    <w:p w14:paraId="602C71B7">
      <w:pPr>
        <w:adjustRightInd w:val="0"/>
        <w:snapToGrid w:val="0"/>
        <w:jc w:val="center"/>
        <w:rPr>
          <w:rFonts w:hint="eastAsia" w:ascii="宋体" w:hAnsi="宋体" w:eastAsia="宋体" w:cs="Times New Roman"/>
          <w:b/>
          <w:sz w:val="24"/>
        </w:rPr>
      </w:pPr>
    </w:p>
    <w:p w14:paraId="573E223B">
      <w:pPr>
        <w:adjustRightInd w:val="0"/>
        <w:snapToGrid w:val="0"/>
        <w:jc w:val="center"/>
        <w:rPr>
          <w:rFonts w:hint="eastAsia" w:ascii="宋体" w:hAnsi="宋体" w:eastAsia="宋体" w:cs="Times New Roman"/>
          <w:b/>
          <w:sz w:val="24"/>
        </w:rPr>
      </w:pPr>
    </w:p>
    <w:p w14:paraId="6507DFDB">
      <w:pPr>
        <w:adjustRightInd w:val="0"/>
        <w:snapToGrid w:val="0"/>
        <w:spacing w:before="936" w:beforeLines="300"/>
        <w:jc w:val="center"/>
        <w:rPr>
          <w:rFonts w:hint="eastAsia" w:ascii="黑体" w:hAnsi="Times New Roman" w:eastAsia="黑体" w:cs="Times New Roman"/>
          <w:b/>
          <w:kern w:val="44"/>
          <w:sz w:val="48"/>
          <w:szCs w:val="20"/>
        </w:rPr>
      </w:pPr>
      <w:r>
        <w:rPr>
          <w:rFonts w:hint="eastAsia" w:ascii="黑体" w:hAnsi="Times New Roman" w:eastAsia="黑体" w:cs="Times New Roman"/>
          <w:b/>
          <w:kern w:val="44"/>
          <w:sz w:val="48"/>
          <w:szCs w:val="20"/>
        </w:rPr>
        <w:t>第八部分  技术部分</w:t>
      </w:r>
      <w:r>
        <w:rPr>
          <w:rFonts w:ascii="黑体" w:hAnsi="Times New Roman" w:eastAsia="黑体" w:cs="Times New Roman"/>
          <w:b/>
          <w:kern w:val="44"/>
          <w:sz w:val="48"/>
          <w:szCs w:val="20"/>
        </w:rPr>
        <w:br w:type="page"/>
      </w:r>
    </w:p>
    <w:p w14:paraId="249AF229">
      <w:pPr>
        <w:numPr>
          <w:ilvl w:val="2"/>
          <w:numId w:val="1"/>
        </w:numPr>
        <w:adjustRightInd w:val="0"/>
        <w:snapToGrid w:val="0"/>
        <w:ind w:left="1560" w:hanging="720"/>
        <w:jc w:val="center"/>
        <w:rPr>
          <w:rFonts w:hint="eastAsia" w:ascii="宋体" w:hAnsi="宋体" w:eastAsia="宋体" w:cs="Times New Roman"/>
          <w:b/>
          <w:sz w:val="30"/>
          <w:szCs w:val="30"/>
        </w:rPr>
      </w:pPr>
      <w:r>
        <w:rPr>
          <w:rFonts w:hint="eastAsia" w:ascii="宋体" w:hAnsi="宋体" w:eastAsia="宋体" w:cs="Times New Roman"/>
          <w:b/>
          <w:sz w:val="30"/>
          <w:szCs w:val="30"/>
        </w:rPr>
        <w:t>货物需求一览表</w:t>
      </w:r>
    </w:p>
    <w:p w14:paraId="3C617E2B">
      <w:pPr>
        <w:adjustRightInd w:val="0"/>
        <w:snapToGrid w:val="0"/>
        <w:jc w:val="center"/>
        <w:rPr>
          <w:rFonts w:hint="eastAsia" w:ascii="宋体" w:hAnsi="宋体" w:eastAsia="宋体" w:cs="Times New Roman"/>
          <w:b/>
          <w:sz w:val="30"/>
          <w:szCs w:val="30"/>
        </w:rPr>
      </w:pPr>
    </w:p>
    <w:tbl>
      <w:tblPr>
        <w:tblStyle w:val="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1BC7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65B93BF7">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640" w:type="dxa"/>
            <w:noWrap w:val="0"/>
            <w:vAlign w:val="center"/>
          </w:tcPr>
          <w:p w14:paraId="46E9898C">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635" w:type="dxa"/>
            <w:noWrap w:val="0"/>
            <w:vAlign w:val="center"/>
          </w:tcPr>
          <w:p w14:paraId="057CF5C8">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1320" w:type="dxa"/>
            <w:noWrap w:val="0"/>
            <w:vAlign w:val="center"/>
          </w:tcPr>
          <w:p w14:paraId="78D5DF35">
            <w:pPr>
              <w:jc w:val="center"/>
              <w:rPr>
                <w:rFonts w:ascii="宋体" w:hAnsi="Bookman Old Style" w:eastAsia="宋体" w:cs="Times New Roman"/>
                <w:sz w:val="24"/>
              </w:rPr>
            </w:pPr>
            <w:r>
              <w:rPr>
                <w:rFonts w:hint="eastAsia" w:ascii="宋体" w:hAnsi="Bookman Old Style" w:eastAsia="宋体" w:cs="Times New Roman"/>
                <w:sz w:val="24"/>
              </w:rPr>
              <w:t>交货期</w:t>
            </w:r>
          </w:p>
        </w:tc>
        <w:tc>
          <w:tcPr>
            <w:tcW w:w="1765" w:type="dxa"/>
            <w:noWrap w:val="0"/>
            <w:vAlign w:val="center"/>
          </w:tcPr>
          <w:p w14:paraId="36A43C84">
            <w:pPr>
              <w:jc w:val="center"/>
              <w:rPr>
                <w:rFonts w:hint="eastAsia" w:ascii="宋体" w:hAnsi="Bookman Old Style" w:eastAsia="宋体" w:cs="Times New Roman"/>
                <w:sz w:val="24"/>
              </w:rPr>
            </w:pPr>
            <w:r>
              <w:rPr>
                <w:rFonts w:hint="eastAsia" w:ascii="宋体" w:hAnsi="Bookman Old Style" w:eastAsia="宋体" w:cs="Times New Roman"/>
                <w:sz w:val="24"/>
              </w:rPr>
              <w:t>指定到货港</w:t>
            </w:r>
          </w:p>
        </w:tc>
        <w:tc>
          <w:tcPr>
            <w:tcW w:w="2520" w:type="dxa"/>
            <w:noWrap w:val="0"/>
            <w:vAlign w:val="center"/>
          </w:tcPr>
          <w:p w14:paraId="3C6F10B5">
            <w:pPr>
              <w:jc w:val="center"/>
              <w:rPr>
                <w:rFonts w:ascii="宋体" w:hAnsi="Bookman Old Style" w:eastAsia="宋体" w:cs="Times New Roman"/>
                <w:sz w:val="24"/>
                <w:shd w:val="pct10" w:color="auto" w:fill="FFFFFF"/>
              </w:rPr>
            </w:pPr>
            <w:r>
              <w:rPr>
                <w:rFonts w:hint="eastAsia" w:ascii="宋体" w:hAnsi="Bookman Old Style" w:eastAsia="宋体" w:cs="Times New Roman"/>
                <w:sz w:val="24"/>
              </w:rPr>
              <w:t>项目现场（交货地点）</w:t>
            </w:r>
          </w:p>
        </w:tc>
      </w:tr>
      <w:tr w14:paraId="7BEF9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39739FC1">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640" w:type="dxa"/>
            <w:noWrap w:val="0"/>
            <w:vAlign w:val="center"/>
          </w:tcPr>
          <w:p w14:paraId="0C863C15">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流式细胞仪</w:t>
            </w:r>
          </w:p>
        </w:tc>
        <w:tc>
          <w:tcPr>
            <w:tcW w:w="635" w:type="dxa"/>
            <w:noWrap w:val="0"/>
            <w:vAlign w:val="center"/>
          </w:tcPr>
          <w:p w14:paraId="7A956D12">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1320" w:type="dxa"/>
            <w:noWrap w:val="0"/>
            <w:vAlign w:val="center"/>
          </w:tcPr>
          <w:p w14:paraId="24C35731">
            <w:pPr>
              <w:jc w:val="center"/>
              <w:rPr>
                <w:rFonts w:hint="eastAsia" w:ascii="宋体" w:hAnsi="Bookman Old Style" w:eastAsia="宋体" w:cs="Times New Roman"/>
                <w:sz w:val="24"/>
              </w:rPr>
            </w:pPr>
            <w:r>
              <w:rPr>
                <w:rFonts w:hint="eastAsia" w:ascii="宋体" w:hAnsi="Bookman Old Style" w:eastAsia="宋体" w:cs="Times New Roman"/>
                <w:sz w:val="24"/>
              </w:rPr>
              <w:t>合同签订后3个月内</w:t>
            </w:r>
          </w:p>
        </w:tc>
        <w:tc>
          <w:tcPr>
            <w:tcW w:w="1765" w:type="dxa"/>
            <w:noWrap w:val="0"/>
            <w:vAlign w:val="center"/>
          </w:tcPr>
          <w:p w14:paraId="45C74FE4">
            <w:pPr>
              <w:jc w:val="center"/>
              <w:rPr>
                <w:rFonts w:hint="eastAsia" w:ascii="Times New Roman" w:hAnsi="Times New Roman" w:eastAsia="宋体" w:cs="Times New Roman"/>
                <w:sz w:val="24"/>
              </w:rPr>
            </w:pPr>
            <w:r>
              <w:rPr>
                <w:rFonts w:hint="eastAsia" w:ascii="宋体" w:hAnsi="Bookman Old Style" w:eastAsia="宋体" w:cs="Times New Roman"/>
                <w:sz w:val="24"/>
              </w:rPr>
              <w:t>/</w:t>
            </w:r>
          </w:p>
        </w:tc>
        <w:tc>
          <w:tcPr>
            <w:tcW w:w="2520" w:type="dxa"/>
            <w:noWrap w:val="0"/>
            <w:vAlign w:val="center"/>
          </w:tcPr>
          <w:p w14:paraId="16CF6C6E">
            <w:pPr>
              <w:jc w:val="center"/>
              <w:rPr>
                <w:rFonts w:hint="eastAsia" w:ascii="宋体" w:hAnsi="Bookman Old Style" w:eastAsia="宋体" w:cs="Times New Roman"/>
                <w:sz w:val="24"/>
              </w:rPr>
            </w:pPr>
            <w:bookmarkStart w:id="0" w:name="OLE_LINK43"/>
            <w:bookmarkStart w:id="1" w:name="OLE_LINK42"/>
            <w:r>
              <w:rPr>
                <w:rFonts w:hint="eastAsia" w:ascii="宋体" w:hAnsi="Bookman Old Style" w:eastAsia="宋体" w:cs="Times New Roman"/>
                <w:sz w:val="24"/>
              </w:rPr>
              <w:t>兰州新区甘肃省同位素实验室靶向药物系统</w:t>
            </w:r>
            <w:bookmarkEnd w:id="0"/>
            <w:bookmarkEnd w:id="1"/>
          </w:p>
        </w:tc>
      </w:tr>
    </w:tbl>
    <w:p w14:paraId="6A122F24">
      <w:pPr>
        <w:adjustRightInd w:val="0"/>
        <w:snapToGrid w:val="0"/>
        <w:jc w:val="center"/>
        <w:rPr>
          <w:rFonts w:hint="eastAsia" w:ascii="宋体" w:hAnsi="宋体" w:eastAsia="宋体" w:cs="Times New Roman"/>
          <w:b/>
          <w:sz w:val="30"/>
          <w:szCs w:val="30"/>
        </w:rPr>
      </w:pPr>
    </w:p>
    <w:p w14:paraId="48520067">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3BA8BF32">
      <w:pPr>
        <w:adjustRightInd w:val="0"/>
        <w:snapToGrid w:val="0"/>
        <w:rPr>
          <w:rFonts w:hint="eastAsia" w:ascii="宋体" w:hAnsi="宋体" w:eastAsia="宋体" w:cs="Times New Roman"/>
          <w:szCs w:val="21"/>
        </w:rPr>
      </w:pPr>
    </w:p>
    <w:p w14:paraId="4FBBEB3E">
      <w:pPr>
        <w:adjustRightInd w:val="0"/>
        <w:snapToGrid w:val="0"/>
        <w:rPr>
          <w:rFonts w:hint="eastAsia" w:ascii="宋体" w:hAnsi="宋体" w:eastAsia="宋体" w:cs="Times New Roman"/>
          <w:szCs w:val="21"/>
        </w:rPr>
      </w:pPr>
    </w:p>
    <w:p w14:paraId="6EBE2E92">
      <w:pPr>
        <w:adjustRightInd w:val="0"/>
        <w:snapToGrid w:val="0"/>
        <w:rPr>
          <w:rFonts w:hint="eastAsia" w:ascii="宋体" w:hAnsi="宋体" w:eastAsia="宋体" w:cs="Times New Roman"/>
          <w:szCs w:val="21"/>
        </w:rPr>
      </w:pPr>
    </w:p>
    <w:p w14:paraId="73891B8F">
      <w:pPr>
        <w:adjustRightInd w:val="0"/>
        <w:snapToGrid w:val="0"/>
        <w:rPr>
          <w:rFonts w:hint="eastAsia" w:ascii="宋体" w:hAnsi="宋体" w:eastAsia="宋体" w:cs="Times New Roman"/>
          <w:b/>
          <w:sz w:val="30"/>
          <w:szCs w:val="30"/>
        </w:rPr>
      </w:pPr>
      <w:r>
        <w:rPr>
          <w:rFonts w:ascii="宋体" w:hAnsi="宋体" w:eastAsia="宋体" w:cs="Times New Roman"/>
          <w:b/>
          <w:sz w:val="30"/>
          <w:szCs w:val="30"/>
        </w:rPr>
        <w:br w:type="page"/>
      </w:r>
    </w:p>
    <w:p w14:paraId="6EC41F56">
      <w:pPr>
        <w:numPr>
          <w:ilvl w:val="2"/>
          <w:numId w:val="1"/>
        </w:numPr>
        <w:tabs>
          <w:tab w:val="left" w:pos="720"/>
          <w:tab w:val="clear" w:pos="1560"/>
        </w:tabs>
        <w:adjustRightInd w:val="0"/>
        <w:snapToGrid w:val="0"/>
        <w:ind w:hanging="1560"/>
        <w:jc w:val="center"/>
        <w:rPr>
          <w:rFonts w:ascii="宋体" w:hAnsi="宋体" w:eastAsia="宋体" w:cs="Times New Roman"/>
          <w:b/>
          <w:sz w:val="30"/>
          <w:szCs w:val="30"/>
        </w:rPr>
      </w:pPr>
      <w:r>
        <w:rPr>
          <w:rFonts w:hint="eastAsia" w:ascii="宋体" w:hAnsi="宋体" w:eastAsia="宋体" w:cs="Times New Roman"/>
          <w:b/>
          <w:sz w:val="30"/>
          <w:szCs w:val="30"/>
        </w:rPr>
        <w:t>技术规格</w:t>
      </w:r>
    </w:p>
    <w:p w14:paraId="6E327136">
      <w:pPr>
        <w:spacing w:line="360" w:lineRule="auto"/>
        <w:ind w:left="600" w:hanging="600"/>
        <w:rPr>
          <w:rFonts w:hint="eastAsia" w:ascii="宋体" w:hAnsi="宋体" w:eastAsia="宋体" w:cs="Times New Roman"/>
          <w:b/>
          <w:sz w:val="30"/>
          <w:szCs w:val="30"/>
        </w:rPr>
      </w:pPr>
      <w:r>
        <w:rPr>
          <w:rFonts w:hint="eastAsia" w:ascii="宋体" w:hAnsi="宋体" w:eastAsia="宋体" w:cs="Times New Roman"/>
          <w:b/>
          <w:sz w:val="30"/>
          <w:szCs w:val="30"/>
        </w:rPr>
        <w:t>一、总</w:t>
      </w:r>
      <w:r>
        <w:rPr>
          <w:rFonts w:ascii="宋体" w:hAnsi="宋体" w:eastAsia="宋体" w:cs="Times New Roman"/>
          <w:b/>
          <w:sz w:val="30"/>
          <w:szCs w:val="30"/>
        </w:rPr>
        <w:t xml:space="preserve">  </w:t>
      </w:r>
      <w:r>
        <w:rPr>
          <w:rFonts w:hint="eastAsia" w:ascii="宋体" w:hAnsi="宋体" w:eastAsia="宋体" w:cs="Times New Roman"/>
          <w:b/>
          <w:sz w:val="30"/>
          <w:szCs w:val="30"/>
        </w:rPr>
        <w:t>则</w:t>
      </w:r>
    </w:p>
    <w:p w14:paraId="01F9C075">
      <w:pPr>
        <w:spacing w:before="156" w:beforeLines="50" w:after="156" w:afterLines="50" w:line="360" w:lineRule="auto"/>
        <w:ind w:left="601" w:hanging="601"/>
        <w:rPr>
          <w:rFonts w:ascii="宋体" w:hAnsi="宋体" w:eastAsia="宋体" w:cs="Times New Roman"/>
          <w:b/>
          <w:sz w:val="28"/>
        </w:rPr>
      </w:pPr>
      <w:r>
        <w:rPr>
          <w:rFonts w:ascii="宋体" w:hAnsi="宋体" w:eastAsia="宋体" w:cs="Times New Roman"/>
          <w:b/>
          <w:sz w:val="28"/>
        </w:rPr>
        <w:t>1</w:t>
      </w:r>
      <w:r>
        <w:rPr>
          <w:rFonts w:hint="eastAsia" w:ascii="宋体" w:hAnsi="宋体" w:eastAsia="宋体" w:cs="Times New Roman"/>
          <w:b/>
          <w:sz w:val="28"/>
        </w:rPr>
        <w:t>、投标要求</w:t>
      </w:r>
    </w:p>
    <w:p w14:paraId="343C18CD">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4451195C">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E59F75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28F28E05">
      <w:pPr>
        <w:spacing w:before="156" w:beforeLines="50" w:after="156" w:afterLines="50" w:line="360" w:lineRule="auto"/>
        <w:ind w:left="601" w:hanging="601"/>
        <w:rPr>
          <w:rFonts w:ascii="宋体" w:hAnsi="宋体" w:eastAsia="宋体" w:cs="Times New Roman"/>
          <w:b/>
          <w:sz w:val="28"/>
        </w:rPr>
      </w:pPr>
      <w:r>
        <w:rPr>
          <w:rFonts w:hint="eastAsia" w:ascii="宋体" w:hAnsi="宋体" w:eastAsia="宋体" w:cs="Times New Roman"/>
          <w:b/>
          <w:sz w:val="28"/>
        </w:rPr>
        <w:t>2、评标标准</w:t>
      </w:r>
    </w:p>
    <w:p w14:paraId="7ED99C2C">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27921AA3">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sz w:val="24"/>
        </w:rPr>
        <w:t>选件一旦为用户接受，其费用将加入合同价中。</w:t>
      </w:r>
    </w:p>
    <w:p w14:paraId="297D59E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1B337EF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202B89B2">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79D45F0D">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 xml:space="preserve">6  </w:t>
      </w:r>
      <w:r>
        <w:rPr>
          <w:rFonts w:hint="eastAsia" w:ascii="Times New Roman" w:hAnsi="Times New Roman" w:eastAsia="宋体" w:cs="Times New Roman"/>
          <w:sz w:val="24"/>
        </w:rPr>
        <w:t>在评标过程中，买方有权向投标人索取任何与评标有关的资料，投标人务必在接到此类要求后，在规定时间内予以答复。对于无答复的投标人，买方有权拒绝其投标。</w:t>
      </w:r>
    </w:p>
    <w:p w14:paraId="4AFD4786">
      <w:pPr>
        <w:spacing w:before="156" w:beforeLines="50" w:after="156" w:afterLines="50" w:line="360" w:lineRule="auto"/>
        <w:ind w:left="601" w:hanging="601"/>
        <w:rPr>
          <w:rFonts w:hint="eastAsia" w:ascii="宋体" w:hAnsi="宋体" w:eastAsia="宋体" w:cs="Times New Roman"/>
          <w:b/>
          <w:sz w:val="28"/>
        </w:rPr>
      </w:pPr>
      <w:r>
        <w:rPr>
          <w:rFonts w:hint="eastAsia" w:ascii="宋体" w:hAnsi="宋体" w:eastAsia="宋体" w:cs="Times New Roman"/>
          <w:b/>
          <w:sz w:val="28"/>
        </w:rPr>
        <w:t>3、工作条件</w:t>
      </w:r>
    </w:p>
    <w:p w14:paraId="35B95AF4">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79C6424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2837D0AC">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0EE2CE6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5E4ACCA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73EEEFC5">
      <w:pPr>
        <w:rPr>
          <w:rFonts w:hint="eastAsia" w:ascii="Times New Roman" w:hAnsi="Times New Roman" w:eastAsia="黑体" w:cs="Times New Roman"/>
          <w:b/>
          <w:bCs/>
          <w:kern w:val="44"/>
          <w:sz w:val="24"/>
        </w:rPr>
      </w:pPr>
    </w:p>
    <w:p w14:paraId="50B4D72C">
      <w:pPr>
        <w:spacing w:before="156" w:beforeLines="50" w:after="156" w:afterLines="50" w:line="360" w:lineRule="auto"/>
        <w:ind w:left="601" w:hanging="601"/>
        <w:rPr>
          <w:rFonts w:hint="eastAsia" w:ascii="宋体" w:hAnsi="宋体" w:eastAsia="宋体" w:cs="Times New Roman"/>
          <w:b/>
          <w:sz w:val="28"/>
        </w:rPr>
      </w:pPr>
      <w:r>
        <w:rPr>
          <w:rFonts w:hint="eastAsia" w:ascii="宋体" w:hAnsi="宋体" w:eastAsia="宋体" w:cs="Times New Roman"/>
          <w:b/>
          <w:sz w:val="28"/>
        </w:rPr>
        <w:t>4、验收标准</w:t>
      </w:r>
    </w:p>
    <w:p w14:paraId="07AA4636">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除非在技术规格中另有说明，所有仪器、设备和系统按下列要求进行验收：</w:t>
      </w:r>
      <w:r>
        <w:rPr>
          <w:rFonts w:ascii="宋体" w:hAnsi="宋体" w:eastAsia="宋体" w:cs="Times New Roman"/>
          <w:sz w:val="24"/>
        </w:rPr>
        <w:t xml:space="preserve"> </w:t>
      </w:r>
    </w:p>
    <w:p w14:paraId="76B16B7F">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3BD72D8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460280E">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5609FEA3">
      <w:pPr>
        <w:pStyle w:val="5"/>
        <w:spacing w:line="360" w:lineRule="auto"/>
        <w:ind w:left="410" w:hanging="410" w:hangingChars="170"/>
        <w:rPr>
          <w:rFonts w:hint="eastAsia" w:hAnsi="宋体" w:eastAsia="宋体" w:cs="Times New Roman"/>
          <w:b/>
          <w:sz w:val="24"/>
          <w:szCs w:val="24"/>
        </w:rPr>
      </w:pPr>
    </w:p>
    <w:p w14:paraId="5E6AE656">
      <w:pPr>
        <w:pStyle w:val="5"/>
        <w:spacing w:line="360" w:lineRule="auto"/>
        <w:ind w:left="410" w:hanging="410" w:hangingChars="170"/>
        <w:rPr>
          <w:rFonts w:hint="eastAsia" w:hAnsi="宋体" w:eastAsia="宋体" w:cs="Times New Roman"/>
          <w:b/>
          <w:sz w:val="24"/>
          <w:szCs w:val="24"/>
        </w:rPr>
      </w:pPr>
      <w:r>
        <w:rPr>
          <w:rFonts w:hint="eastAsia" w:hAnsi="宋体" w:eastAsia="宋体" w:cs="Times New Roman"/>
          <w:b/>
          <w:sz w:val="24"/>
          <w:szCs w:val="24"/>
        </w:rPr>
        <w:t>5、本技术规格书中标注“*”号的为关键技术参数，对这些关键技术参数的任何负偏离将导致废标。</w:t>
      </w:r>
    </w:p>
    <w:p w14:paraId="05EE9CD7">
      <w:pPr>
        <w:pStyle w:val="5"/>
        <w:spacing w:line="360" w:lineRule="auto"/>
        <w:rPr>
          <w:rFonts w:hint="eastAsia" w:hAnsi="宋体" w:eastAsia="宋体" w:cs="Times New Roman"/>
          <w:b/>
          <w:sz w:val="24"/>
          <w:szCs w:val="24"/>
        </w:rPr>
      </w:pPr>
    </w:p>
    <w:p w14:paraId="2EDD9071">
      <w:pPr>
        <w:pStyle w:val="5"/>
        <w:spacing w:line="360" w:lineRule="auto"/>
        <w:rPr>
          <w:rFonts w:hint="eastAsia" w:hAnsi="宋体" w:eastAsia="宋体" w:cs="Times New Roman"/>
          <w:b/>
          <w:sz w:val="24"/>
          <w:szCs w:val="24"/>
        </w:rPr>
      </w:pPr>
      <w:r>
        <w:rPr>
          <w:rFonts w:hint="eastAsia" w:hAnsi="宋体" w:eastAsia="宋体" w:cs="Times New Roman"/>
          <w:b/>
          <w:sz w:val="24"/>
          <w:szCs w:val="24"/>
        </w:rPr>
        <w:t>6、如在具体技术规格中有本总则不一致之处，以具体技术规格中的要求为准。</w:t>
      </w:r>
    </w:p>
    <w:p w14:paraId="1F79425E">
      <w:pPr>
        <w:spacing w:after="156" w:afterLines="50"/>
        <w:ind w:left="601" w:hanging="601"/>
        <w:rPr>
          <w:rFonts w:ascii="宋体" w:hAnsi="宋体" w:eastAsia="宋体" w:cs="宋体"/>
          <w:b/>
          <w:sz w:val="28"/>
        </w:rPr>
      </w:pPr>
      <w:r>
        <w:rPr>
          <w:rFonts w:ascii="宋体" w:hAnsi="宋体" w:eastAsia="宋体" w:cs="Times New Roman"/>
          <w:b/>
          <w:sz w:val="28"/>
        </w:rPr>
        <w:br w:type="page"/>
      </w:r>
      <w:r>
        <w:rPr>
          <w:rFonts w:hint="eastAsia" w:ascii="宋体" w:hAnsi="宋体" w:eastAsia="宋体" w:cs="宋体"/>
          <w:b/>
          <w:sz w:val="28"/>
        </w:rPr>
        <w:t>二、具体技术规格</w:t>
      </w:r>
    </w:p>
    <w:p w14:paraId="27B796F0">
      <w:pPr>
        <w:pStyle w:val="2"/>
        <w:numPr>
          <w:ilvl w:val="0"/>
          <w:numId w:val="2"/>
        </w:numPr>
        <w:tabs>
          <w:tab w:val="left" w:pos="360"/>
        </w:tabs>
        <w:spacing w:before="120" w:line="360" w:lineRule="auto"/>
        <w:ind w:left="425" w:hanging="425"/>
        <w:jc w:val="left"/>
        <w:rPr>
          <w:rFonts w:hAnsi="Times New Roman" w:eastAsia="宋体" w:cs="Times New Roman"/>
          <w:sz w:val="24"/>
        </w:rPr>
      </w:pPr>
      <w:bookmarkStart w:id="2" w:name="_Toc7594"/>
      <w:r>
        <w:rPr>
          <w:rFonts w:hAnsi="Times New Roman" w:eastAsia="宋体" w:cs="Times New Roman"/>
          <w:sz w:val="24"/>
        </w:rPr>
        <w:t>项目描述和内容概要</w:t>
      </w:r>
      <w:bookmarkEnd w:id="2"/>
    </w:p>
    <w:p w14:paraId="22B581BE">
      <w:pPr>
        <w:pStyle w:val="3"/>
        <w:numPr>
          <w:ilvl w:val="1"/>
          <w:numId w:val="3"/>
        </w:numPr>
        <w:tabs>
          <w:tab w:val="left" w:pos="315"/>
          <w:tab w:val="left" w:pos="360"/>
        </w:tabs>
        <w:spacing w:after="120" w:line="360" w:lineRule="auto"/>
        <w:ind w:left="315" w:hanging="315"/>
        <w:jc w:val="left"/>
        <w:rPr>
          <w:rFonts w:ascii="Times New Roman" w:hAnsi="Times New Roman" w:eastAsia="宋体" w:cs="Times New Roman"/>
          <w:sz w:val="24"/>
        </w:rPr>
      </w:pPr>
      <w:bookmarkStart w:id="3" w:name="_Toc32758"/>
      <w:r>
        <w:rPr>
          <w:rFonts w:ascii="Times New Roman" w:hAnsi="Times New Roman" w:eastAsia="宋体" w:cs="Times New Roman"/>
          <w:sz w:val="24"/>
        </w:rPr>
        <w:t>项目名称</w:t>
      </w:r>
      <w:bookmarkEnd w:id="3"/>
    </w:p>
    <w:p w14:paraId="5475492B">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流式细胞仪</w:t>
      </w:r>
    </w:p>
    <w:p w14:paraId="0F00E186">
      <w:pPr>
        <w:pStyle w:val="3"/>
        <w:numPr>
          <w:ilvl w:val="1"/>
          <w:numId w:val="3"/>
        </w:numPr>
        <w:tabs>
          <w:tab w:val="left" w:pos="315"/>
          <w:tab w:val="left" w:pos="360"/>
        </w:tabs>
        <w:spacing w:after="120" w:line="360" w:lineRule="auto"/>
        <w:ind w:left="315" w:hanging="315"/>
        <w:jc w:val="left"/>
        <w:rPr>
          <w:rFonts w:ascii="Times New Roman" w:hAnsi="Times New Roman" w:eastAsia="宋体" w:cs="Times New Roman"/>
          <w:sz w:val="24"/>
        </w:rPr>
      </w:pPr>
      <w:bookmarkStart w:id="4" w:name="_Toc30279"/>
      <w:r>
        <w:rPr>
          <w:rFonts w:ascii="Times New Roman" w:hAnsi="Times New Roman" w:eastAsia="宋体" w:cs="Times New Roman"/>
          <w:sz w:val="24"/>
        </w:rPr>
        <w:t>项目内容</w:t>
      </w:r>
      <w:bookmarkEnd w:id="4"/>
    </w:p>
    <w:p w14:paraId="5558AD5F">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1.2.1任务来源</w:t>
      </w:r>
    </w:p>
    <w:p w14:paraId="57F8A080">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随着生命科学研究的不断深入，对细胞多色免疫功能研究，细胞凋亡、周期分析研究，DNA倍体分析和细胞周期蛋白检测，干细胞的鉴定、功能分析，细胞各种生理功能研究（死活鉴定、细胞内pH值、细胞内钙流、膜电位检测）的需求增加。流式细胞仪可以鉴定表征80纳米以下细胞或微粒，用于细胞外囊泡、血小板颗粒、外泌体等小颗粒检测研究，可以在细胞水平上观察细胞活动、基因表达、疾病进展等，为生命科学研究提供了有力的工具。</w:t>
      </w:r>
    </w:p>
    <w:p w14:paraId="2D239CE9">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研究团队在进行肿瘤生物学、神经科学、免疫学等领域的研究中，需要流式细胞仪来追踪标记细胞、监测细胞凋亡等，以深入了解疾病的发生发展机制和评估药物的疗效。</w:t>
      </w:r>
    </w:p>
    <w:p w14:paraId="782AA511">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1.2.2任务目标</w:t>
      </w:r>
    </w:p>
    <w:p w14:paraId="10E33BEB">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（1）设备采购</w:t>
      </w:r>
    </w:p>
    <w:p w14:paraId="7C1FD3A8">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选择适合项目需求的流式细胞仪，确保设备的性能、质量和价格符合要求。通过市场调研、产品比较和招标等方式，选择具有高分辨率、高灵敏度、低噪声、多功能等特点的设备，并与供应商签订合同，确保设备的按时交付和安装调试。</w:t>
      </w:r>
    </w:p>
    <w:p w14:paraId="33A2388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（2）技术培训</w:t>
      </w:r>
    </w:p>
    <w:p w14:paraId="4DCE215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组织相关人员参加流式细胞仪的操作培训，确保操作人员能够熟练掌握设备的使用方法和维护技巧。培训内容包括设备的基本原理、操作流程、图像分析软件的使用、常见问题的解决方法等。</w:t>
      </w:r>
    </w:p>
    <w:p w14:paraId="7FD35B30">
      <w:pPr>
        <w:pStyle w:val="3"/>
        <w:numPr>
          <w:ilvl w:val="1"/>
          <w:numId w:val="3"/>
        </w:numPr>
        <w:tabs>
          <w:tab w:val="left" w:pos="315"/>
          <w:tab w:val="left" w:pos="360"/>
        </w:tabs>
        <w:spacing w:after="120" w:line="360" w:lineRule="auto"/>
        <w:ind w:left="315" w:hanging="315"/>
        <w:jc w:val="left"/>
        <w:rPr>
          <w:rFonts w:ascii="Times New Roman" w:hAnsi="Times New Roman" w:eastAsia="宋体" w:cs="Times New Roman"/>
          <w:sz w:val="24"/>
        </w:rPr>
      </w:pPr>
      <w:bookmarkStart w:id="5" w:name="_Toc7659"/>
      <w:r>
        <w:rPr>
          <w:rFonts w:ascii="Times New Roman" w:hAnsi="Times New Roman" w:eastAsia="宋体" w:cs="Times New Roman"/>
          <w:sz w:val="24"/>
        </w:rPr>
        <w:t>项目预算</w:t>
      </w:r>
      <w:bookmarkEnd w:id="5"/>
    </w:p>
    <w:p w14:paraId="2AF45F77">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采购预算价格：56.2万元。</w:t>
      </w:r>
    </w:p>
    <w:p w14:paraId="01D28BA4">
      <w:pPr>
        <w:pStyle w:val="3"/>
        <w:numPr>
          <w:ilvl w:val="1"/>
          <w:numId w:val="3"/>
        </w:numPr>
        <w:tabs>
          <w:tab w:val="left" w:pos="315"/>
          <w:tab w:val="left" w:pos="360"/>
        </w:tabs>
        <w:spacing w:after="120" w:line="360" w:lineRule="auto"/>
        <w:ind w:left="315" w:hanging="315"/>
        <w:jc w:val="left"/>
        <w:rPr>
          <w:rFonts w:ascii="Times New Roman" w:hAnsi="Times New Roman" w:eastAsia="宋体" w:cs="Times New Roman"/>
          <w:sz w:val="24"/>
        </w:rPr>
      </w:pPr>
      <w:bookmarkStart w:id="6" w:name="_Toc8360"/>
      <w:r>
        <w:rPr>
          <w:rFonts w:ascii="Times New Roman" w:hAnsi="Times New Roman" w:eastAsia="宋体" w:cs="Times New Roman"/>
          <w:sz w:val="24"/>
        </w:rPr>
        <w:t>预计完成时间</w:t>
      </w:r>
      <w:bookmarkEnd w:id="6"/>
    </w:p>
    <w:p w14:paraId="55E43B24">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本次项目计划进度如下：</w:t>
      </w:r>
    </w:p>
    <w:p w14:paraId="3CF9FE98">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2024年9月1日~2024年9月30日：采购预评审报告等文件的编制；</w:t>
      </w:r>
    </w:p>
    <w:p w14:paraId="1B13BCA6">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2024年10月1日~2024年10月31日：完成招标及合同文件的编制；</w:t>
      </w:r>
    </w:p>
    <w:p w14:paraId="7D230C95">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2024年11月1日~2024年12月31日：设备采购及安装；</w:t>
      </w:r>
    </w:p>
    <w:p w14:paraId="41FE6C49">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2025年1月1日~2025年2月28日：设备及系统验收。</w:t>
      </w:r>
    </w:p>
    <w:p w14:paraId="7F036DCA">
      <w:pPr>
        <w:pStyle w:val="2"/>
        <w:numPr>
          <w:ilvl w:val="0"/>
          <w:numId w:val="2"/>
        </w:numPr>
        <w:tabs>
          <w:tab w:val="left" w:pos="360"/>
        </w:tabs>
        <w:spacing w:before="120" w:line="360" w:lineRule="auto"/>
        <w:ind w:left="425" w:hanging="425"/>
        <w:jc w:val="left"/>
        <w:rPr>
          <w:rFonts w:hAnsi="Times New Roman" w:eastAsia="宋体" w:cs="Times New Roman"/>
          <w:sz w:val="24"/>
        </w:rPr>
      </w:pPr>
      <w:bookmarkStart w:id="7" w:name="_Toc7974"/>
      <w:bookmarkStart w:id="8" w:name="_Toc103094061"/>
      <w:r>
        <w:rPr>
          <w:rFonts w:hAnsi="Times New Roman" w:eastAsia="宋体" w:cs="Times New Roman"/>
          <w:sz w:val="24"/>
        </w:rPr>
        <w:t>项目技术方案</w:t>
      </w:r>
      <w:bookmarkEnd w:id="7"/>
      <w:bookmarkEnd w:id="8"/>
    </w:p>
    <w:p w14:paraId="69609468">
      <w:pPr>
        <w:spacing w:line="360" w:lineRule="auto"/>
        <w:ind w:firstLine="480" w:firstLineChars="200"/>
        <w:jc w:val="left"/>
        <w:rPr>
          <w:rFonts w:ascii="Times New Roman" w:hAnsi="Times New Roman" w:eastAsia="宋体" w:cs="Times New Roman"/>
          <w:sz w:val="24"/>
        </w:rPr>
      </w:pPr>
      <w:bookmarkStart w:id="9" w:name="OLE_LINK35"/>
      <w:bookmarkStart w:id="10" w:name="OLE_LINK34"/>
      <w:r>
        <w:rPr>
          <w:rFonts w:ascii="Times New Roman" w:hAnsi="Times New Roman" w:eastAsia="宋体" w:cs="Times New Roman"/>
          <w:sz w:val="24"/>
        </w:rPr>
        <w:t>1.仪器设备参数</w:t>
      </w:r>
    </w:p>
    <w:p w14:paraId="2898669C">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操作系统：操作及分析软件的运行平台为Windows系统；</w:t>
      </w:r>
    </w:p>
    <w:p w14:paraId="0E45A52B">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w:t>
      </w:r>
      <w:bookmarkStart w:id="11" w:name="OLE_LINK60"/>
      <w:bookmarkStart w:id="12" w:name="OLE_LINK61"/>
      <w:r>
        <w:rPr>
          <w:rFonts w:ascii="Times New Roman" w:hAnsi="Times New Roman" w:eastAsia="宋体" w:cs="Times New Roman"/>
          <w:sz w:val="24"/>
          <w:szCs w:val="24"/>
        </w:rPr>
        <w:t>配置双激光器：蓝色激光（激发波长488nm）和红色激光 （激发波长633nm/635nm/638nm/640nm)</w:t>
      </w:r>
      <w:bookmarkEnd w:id="11"/>
      <w:bookmarkEnd w:id="12"/>
      <w:bookmarkStart w:id="13" w:name="OLE_LINK9"/>
      <w:r>
        <w:rPr>
          <w:rFonts w:hint="eastAsia" w:ascii="Times New Roman" w:hAnsi="Times New Roman" w:eastAsia="宋体" w:cs="Times New Roman"/>
          <w:sz w:val="24"/>
          <w:szCs w:val="24"/>
        </w:rPr>
        <w:t>，</w:t>
      </w:r>
      <w:r>
        <w:rPr>
          <w:rFonts w:ascii="Times New Roman" w:hAnsi="Times New Roman" w:eastAsia="宋体" w:cs="Times New Roman"/>
          <w:sz w:val="24"/>
          <w:szCs w:val="24"/>
        </w:rPr>
        <w:t>可</w:t>
      </w:r>
      <w:r>
        <w:rPr>
          <w:rFonts w:hint="eastAsia" w:ascii="Times New Roman" w:hAnsi="Times New Roman" w:eastAsia="宋体" w:cs="Times New Roman"/>
          <w:sz w:val="24"/>
          <w:szCs w:val="24"/>
        </w:rPr>
        <w:t>原位</w:t>
      </w:r>
      <w:r>
        <w:rPr>
          <w:rFonts w:ascii="Times New Roman" w:hAnsi="Times New Roman" w:eastAsia="宋体" w:cs="Times New Roman"/>
          <w:sz w:val="24"/>
          <w:szCs w:val="24"/>
        </w:rPr>
        <w:t>升级为</w:t>
      </w:r>
      <w:r>
        <w:rPr>
          <w:rFonts w:hint="eastAsia" w:ascii="Times New Roman" w:hAnsi="Times New Roman" w:eastAsia="宋体" w:cs="Times New Roman"/>
          <w:sz w:val="24"/>
          <w:szCs w:val="24"/>
        </w:rPr>
        <w:t>三</w:t>
      </w:r>
      <w:r>
        <w:rPr>
          <w:rFonts w:ascii="Times New Roman" w:hAnsi="Times New Roman" w:eastAsia="宋体" w:cs="Times New Roman"/>
          <w:sz w:val="24"/>
          <w:szCs w:val="24"/>
        </w:rPr>
        <w:t>激光14色检测</w:t>
      </w:r>
      <w:bookmarkEnd w:id="13"/>
      <w:r>
        <w:rPr>
          <w:rFonts w:ascii="Times New Roman" w:hAnsi="Times New Roman" w:eastAsia="宋体" w:cs="Times New Roman"/>
          <w:sz w:val="24"/>
          <w:szCs w:val="24"/>
        </w:rPr>
        <w:t>；</w:t>
      </w:r>
    </w:p>
    <w:p w14:paraId="43B76FDA">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激光器功率</w:t>
      </w:r>
      <w:r>
        <w:rPr>
          <w:rFonts w:hint="eastAsia" w:ascii="宋体" w:hAnsi="宋体" w:eastAsia="宋体" w:cs="Times New Roman"/>
          <w:sz w:val="24"/>
          <w:szCs w:val="24"/>
        </w:rPr>
        <w:t>≥</w:t>
      </w:r>
      <w:r>
        <w:rPr>
          <w:rFonts w:hint="eastAsia" w:ascii="Times New Roman" w:hAnsi="Times New Roman" w:eastAsia="宋体" w:cs="Times New Roman"/>
          <w:sz w:val="24"/>
          <w:szCs w:val="24"/>
        </w:rPr>
        <w:t>5</w:t>
      </w:r>
      <w:r>
        <w:rPr>
          <w:rFonts w:ascii="Times New Roman" w:hAnsi="Times New Roman" w:eastAsia="宋体" w:cs="Times New Roman"/>
          <w:sz w:val="24"/>
          <w:szCs w:val="24"/>
        </w:rPr>
        <w:t>0mW；</w:t>
      </w:r>
    </w:p>
    <w:p w14:paraId="5F86BE62">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激光器类型：两个激光器均为固态激光器；</w:t>
      </w:r>
    </w:p>
    <w:p w14:paraId="15DAF397">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双散射光检测器：前向和侧向；</w:t>
      </w:r>
    </w:p>
    <w:p w14:paraId="3152B19B">
      <w:pPr>
        <w:pStyle w:val="9"/>
        <w:numPr>
          <w:ilvl w:val="0"/>
          <w:numId w:val="4"/>
        </w:numPr>
        <w:spacing w:after="160" w:line="360" w:lineRule="auto"/>
        <w:ind w:left="357"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荧光通道配置：</w:t>
      </w:r>
      <w:bookmarkStart w:id="14" w:name="OLE_LINK54"/>
      <w:bookmarkStart w:id="15" w:name="OLE_LINK53"/>
      <w:bookmarkStart w:id="16" w:name="OLE_LINK68"/>
      <w:bookmarkStart w:id="17" w:name="OLE_LINK67"/>
      <w:r>
        <w:rPr>
          <w:rFonts w:ascii="Times New Roman" w:hAnsi="Times New Roman" w:eastAsia="宋体" w:cs="Times New Roman"/>
          <w:sz w:val="24"/>
          <w:szCs w:val="24"/>
        </w:rPr>
        <w:t>配置</w:t>
      </w:r>
      <w:r>
        <w:rPr>
          <w:rFonts w:hint="eastAsia" w:ascii="Times New Roman" w:hAnsi="Times New Roman" w:eastAsia="宋体" w:cs="Times New Roman"/>
          <w:sz w:val="24"/>
          <w:szCs w:val="24"/>
        </w:rPr>
        <w:t>八通道</w:t>
      </w:r>
      <w:r>
        <w:rPr>
          <w:rFonts w:ascii="Times New Roman" w:hAnsi="Times New Roman" w:eastAsia="宋体" w:cs="Times New Roman"/>
          <w:sz w:val="24"/>
          <w:szCs w:val="24"/>
        </w:rPr>
        <w:t>或以上的PMT</w:t>
      </w:r>
      <w:r>
        <w:rPr>
          <w:rFonts w:hint="eastAsia" w:ascii="Times New Roman" w:hAnsi="Times New Roman" w:eastAsia="宋体" w:cs="Times New Roman"/>
          <w:sz w:val="24"/>
          <w:szCs w:val="24"/>
        </w:rPr>
        <w:t>或APD</w:t>
      </w:r>
      <w:r>
        <w:rPr>
          <w:rFonts w:ascii="Times New Roman" w:hAnsi="Times New Roman" w:eastAsia="宋体" w:cs="Times New Roman"/>
          <w:sz w:val="24"/>
          <w:szCs w:val="24"/>
        </w:rPr>
        <w:t>荧光检测器</w:t>
      </w:r>
      <w:bookmarkEnd w:id="14"/>
      <w:bookmarkEnd w:id="15"/>
      <w:bookmarkStart w:id="18" w:name="OLE_LINK11"/>
      <w:bookmarkStart w:id="19" w:name="OLE_LINK10"/>
      <w:r>
        <w:rPr>
          <w:rFonts w:hint="eastAsia" w:ascii="Times New Roman" w:hAnsi="Times New Roman" w:eastAsia="宋体" w:cs="Times New Roman"/>
          <w:sz w:val="24"/>
          <w:szCs w:val="24"/>
        </w:rPr>
        <w:t>，</w:t>
      </w:r>
      <w:r>
        <w:rPr>
          <w:rFonts w:ascii="Times New Roman" w:hAnsi="Times New Roman" w:eastAsia="宋体" w:cs="Times New Roman"/>
          <w:sz w:val="24"/>
          <w:szCs w:val="24"/>
        </w:rPr>
        <w:t>检测器温度控制精度：</w:t>
      </w:r>
      <w:r>
        <w:rPr>
          <w:rFonts w:hint="eastAsia" w:ascii="宋体" w:hAnsi="宋体" w:eastAsia="宋体" w:cs="Times New Roman"/>
          <w:sz w:val="24"/>
          <w:szCs w:val="24"/>
        </w:rPr>
        <w:t>≤</w:t>
      </w:r>
      <w:r>
        <w:rPr>
          <w:rFonts w:ascii="Times New Roman" w:hAnsi="Times New Roman" w:eastAsia="宋体" w:cs="Times New Roman"/>
          <w:sz w:val="24"/>
          <w:szCs w:val="24"/>
        </w:rPr>
        <w:t>3</w:t>
      </w:r>
      <w:r>
        <w:rPr>
          <w:rFonts w:hint="eastAsia" w:ascii="Times New Roman" w:hAnsi="Times New Roman" w:eastAsia="宋体" w:cs="Times New Roman"/>
          <w:sz w:val="24"/>
          <w:szCs w:val="24"/>
        </w:rPr>
        <w:t>℃</w:t>
      </w:r>
      <w:bookmarkEnd w:id="18"/>
      <w:bookmarkEnd w:id="19"/>
      <w:r>
        <w:rPr>
          <w:rFonts w:ascii="Times New Roman" w:hAnsi="Times New Roman" w:eastAsia="宋体" w:cs="Times New Roman"/>
          <w:sz w:val="24"/>
          <w:szCs w:val="24"/>
        </w:rPr>
        <w:t>；</w:t>
      </w:r>
    </w:p>
    <w:bookmarkEnd w:id="16"/>
    <w:bookmarkEnd w:id="17"/>
    <w:p w14:paraId="38CD9693">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分析速度：</w:t>
      </w:r>
      <w:r>
        <w:rPr>
          <w:rFonts w:hint="eastAsia" w:ascii="宋体" w:hAnsi="宋体" w:eastAsia="宋体" w:cs="Times New Roman"/>
          <w:sz w:val="24"/>
          <w:szCs w:val="24"/>
        </w:rPr>
        <w:t>≥</w:t>
      </w:r>
      <w:r>
        <w:rPr>
          <w:rFonts w:hint="eastAsia" w:ascii="Times New Roman" w:hAnsi="Times New Roman" w:eastAsia="宋体" w:cs="Times New Roman"/>
          <w:sz w:val="24"/>
          <w:szCs w:val="24"/>
        </w:rPr>
        <w:t>25</w:t>
      </w:r>
      <w:r>
        <w:rPr>
          <w:rFonts w:ascii="Times New Roman" w:hAnsi="Times New Roman" w:eastAsia="宋体" w:cs="Times New Roman"/>
          <w:sz w:val="24"/>
          <w:szCs w:val="24"/>
        </w:rPr>
        <w:t>00</w:t>
      </w:r>
      <w:r>
        <w:rPr>
          <w:rFonts w:hint="eastAsia" w:ascii="Times New Roman" w:hAnsi="Times New Roman" w:eastAsia="宋体" w:cs="Times New Roman"/>
          <w:sz w:val="24"/>
          <w:szCs w:val="24"/>
        </w:rPr>
        <w:t>0</w:t>
      </w:r>
      <w:r>
        <w:rPr>
          <w:rFonts w:ascii="Times New Roman" w:hAnsi="Times New Roman" w:eastAsia="宋体" w:cs="Times New Roman"/>
          <w:sz w:val="24"/>
          <w:szCs w:val="24"/>
        </w:rPr>
        <w:t>粒子/秒；</w:t>
      </w:r>
    </w:p>
    <w:p w14:paraId="2CE3C55D">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bookmarkStart w:id="20" w:name="OLE_LINK6"/>
      <w:r>
        <w:rPr>
          <w:rFonts w:ascii="Times New Roman" w:hAnsi="Times New Roman" w:eastAsia="宋体" w:cs="Times New Roman"/>
          <w:sz w:val="24"/>
          <w:szCs w:val="24"/>
        </w:rPr>
        <w:t>#</w:t>
      </w:r>
      <w:bookmarkEnd w:id="20"/>
      <w:r>
        <w:rPr>
          <w:rFonts w:ascii="Times New Roman" w:hAnsi="Times New Roman" w:eastAsia="宋体" w:cs="Times New Roman"/>
          <w:sz w:val="24"/>
          <w:szCs w:val="24"/>
        </w:rPr>
        <w:t>进样方式：</w:t>
      </w:r>
      <w:bookmarkStart w:id="21" w:name="OLE_LINK56"/>
      <w:bookmarkStart w:id="22" w:name="OLE_LINK55"/>
      <w:r>
        <w:rPr>
          <w:rFonts w:ascii="Times New Roman" w:hAnsi="Times New Roman" w:eastAsia="宋体" w:cs="Times New Roman"/>
          <w:sz w:val="24"/>
          <w:szCs w:val="24"/>
        </w:rPr>
        <w:t>采用非注射泵进样方式，以满足快速连续的进样要求</w:t>
      </w:r>
      <w:bookmarkEnd w:id="21"/>
      <w:bookmarkEnd w:id="22"/>
      <w:r>
        <w:rPr>
          <w:rFonts w:ascii="Times New Roman" w:hAnsi="Times New Roman" w:eastAsia="宋体" w:cs="Times New Roman"/>
          <w:sz w:val="24"/>
          <w:szCs w:val="24"/>
        </w:rPr>
        <w:t>；</w:t>
      </w:r>
    </w:p>
    <w:p w14:paraId="1F76DFBE">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液流速度：可根据样本类型进行流速调节；</w:t>
      </w:r>
    </w:p>
    <w:p w14:paraId="250CE7DB">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支持试管类型：12×75mm试管、1.5ml或2ml EP管；</w:t>
      </w:r>
    </w:p>
    <w:p w14:paraId="100C3D58">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 xml:space="preserve">具备绝对计数功能：采用精确的体积法测量原理，同时可兼容微球法； </w:t>
      </w:r>
    </w:p>
    <w:p w14:paraId="693A4369">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试剂余量监测：对鞘液、废液量连续实时检测，及时提示用户处理；</w:t>
      </w:r>
    </w:p>
    <w:p w14:paraId="3C9ECEFA">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操作软件：中</w:t>
      </w:r>
      <w:r>
        <w:rPr>
          <w:rFonts w:hint="eastAsia" w:ascii="Times New Roman" w:hAnsi="Times New Roman" w:eastAsia="宋体" w:cs="Times New Roman"/>
          <w:sz w:val="24"/>
          <w:szCs w:val="24"/>
        </w:rPr>
        <w:t>英</w:t>
      </w:r>
      <w:r>
        <w:rPr>
          <w:rFonts w:ascii="Times New Roman" w:hAnsi="Times New Roman" w:eastAsia="宋体" w:cs="Times New Roman"/>
          <w:sz w:val="24"/>
          <w:szCs w:val="24"/>
        </w:rPr>
        <w:t>文界面；</w:t>
      </w:r>
    </w:p>
    <w:p w14:paraId="38A12AE6">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软件功能：实现所有流式数据（包括信号的高度、宽度和面积信息等）的采集和分析，并且支持线性、对数坐标的变换；</w:t>
      </w:r>
    </w:p>
    <w:p w14:paraId="09D6D03A">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LIS连接：可配置双向LIS连接；</w:t>
      </w:r>
    </w:p>
    <w:p w14:paraId="77AB8240">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电压调节：可以根据样本特点对电压进行调节；</w:t>
      </w:r>
    </w:p>
    <w:p w14:paraId="6632903C">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仪器可以调节信号阈值，最大限度减少无关信号对于结果的干扰；</w:t>
      </w:r>
    </w:p>
    <w:p w14:paraId="4B8A67C7">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荧光补偿：全矩阵荧光信号补偿系统，软件可进行实时补偿、离线补偿和自动补偿；</w:t>
      </w:r>
    </w:p>
    <w:p w14:paraId="1F08DE7D">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数字解析度：</w:t>
      </w:r>
      <w:r>
        <w:rPr>
          <w:rFonts w:hint="eastAsia" w:ascii="宋体" w:hAnsi="宋体" w:eastAsia="宋体" w:cs="宋体"/>
          <w:sz w:val="24"/>
          <w:szCs w:val="24"/>
        </w:rPr>
        <w:t>≥</w:t>
      </w:r>
      <w:r>
        <w:rPr>
          <w:rFonts w:ascii="Times New Roman" w:hAnsi="Times New Roman" w:eastAsia="宋体" w:cs="Times New Roman"/>
          <w:sz w:val="24"/>
          <w:szCs w:val="24"/>
        </w:rPr>
        <w:t>100万通道；</w:t>
      </w:r>
    </w:p>
    <w:p w14:paraId="2CC7E79A">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软件集成自动算法，可自动分析淋巴细胞亚群项目结果；</w:t>
      </w:r>
      <w:bookmarkStart w:id="23" w:name="OLE_LINK57"/>
      <w:bookmarkStart w:id="24" w:name="_Hlk177222792"/>
    </w:p>
    <w:p w14:paraId="286C9F7B">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荧光检测灵敏度：FITC</w:t>
      </w:r>
      <w:r>
        <w:rPr>
          <w:rFonts w:hint="eastAsia" w:ascii="宋体" w:hAnsi="宋体" w:eastAsia="宋体" w:cs="Times New Roman"/>
          <w:sz w:val="24"/>
          <w:szCs w:val="24"/>
        </w:rPr>
        <w:t>≤</w:t>
      </w:r>
      <w:r>
        <w:rPr>
          <w:rFonts w:hint="eastAsia" w:ascii="Times New Roman" w:hAnsi="Times New Roman" w:eastAsia="宋体" w:cs="Times New Roman"/>
          <w:sz w:val="24"/>
          <w:szCs w:val="24"/>
        </w:rPr>
        <w:t>1</w:t>
      </w:r>
      <w:r>
        <w:rPr>
          <w:rFonts w:ascii="Times New Roman" w:hAnsi="Times New Roman" w:eastAsia="宋体" w:cs="Times New Roman"/>
          <w:sz w:val="24"/>
          <w:szCs w:val="24"/>
        </w:rPr>
        <w:t>00MESF，PE</w:t>
      </w:r>
      <w:r>
        <w:rPr>
          <w:rFonts w:hint="eastAsia" w:ascii="宋体" w:hAnsi="宋体" w:eastAsia="宋体" w:cs="Times New Roman"/>
          <w:sz w:val="24"/>
          <w:szCs w:val="24"/>
        </w:rPr>
        <w:t>≤</w:t>
      </w:r>
      <w:r>
        <w:rPr>
          <w:rFonts w:hint="eastAsia" w:ascii="Times New Roman" w:hAnsi="Times New Roman" w:eastAsia="宋体" w:cs="Times New Roman"/>
          <w:sz w:val="24"/>
          <w:szCs w:val="24"/>
        </w:rPr>
        <w:t>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0</w:t>
      </w:r>
      <w:r>
        <w:rPr>
          <w:rFonts w:ascii="Times New Roman" w:hAnsi="Times New Roman" w:eastAsia="宋体" w:cs="Times New Roman"/>
          <w:sz w:val="24"/>
          <w:szCs w:val="24"/>
        </w:rPr>
        <w:t>MESF</w:t>
      </w:r>
      <w:bookmarkEnd w:id="23"/>
      <w:bookmarkStart w:id="25" w:name="OLE_LINK12"/>
      <w:r>
        <w:rPr>
          <w:rFonts w:ascii="Times New Roman" w:hAnsi="Times New Roman" w:eastAsia="宋体" w:cs="Times New Roman"/>
          <w:sz w:val="24"/>
          <w:szCs w:val="24"/>
        </w:rPr>
        <w:t>，</w:t>
      </w:r>
      <w:bookmarkStart w:id="26" w:name="OLE_LINK5"/>
      <w:r>
        <w:rPr>
          <w:rFonts w:ascii="Times New Roman" w:hAnsi="Times New Roman" w:eastAsia="宋体" w:cs="Times New Roman"/>
          <w:sz w:val="24"/>
          <w:szCs w:val="24"/>
        </w:rPr>
        <w:t>检测颗粒范围</w:t>
      </w:r>
      <w:bookmarkEnd w:id="26"/>
      <w:r>
        <w:rPr>
          <w:rFonts w:ascii="Times New Roman" w:hAnsi="Times New Roman" w:eastAsia="宋体" w:cs="Times New Roman"/>
          <w:sz w:val="24"/>
          <w:szCs w:val="24"/>
        </w:rPr>
        <w:t>：0.1μm～50μm</w:t>
      </w:r>
      <w:bookmarkEnd w:id="25"/>
      <w:r>
        <w:rPr>
          <w:rFonts w:ascii="Times New Roman" w:hAnsi="Times New Roman" w:eastAsia="宋体" w:cs="Times New Roman"/>
          <w:sz w:val="24"/>
          <w:szCs w:val="24"/>
        </w:rPr>
        <w:t>；</w:t>
      </w:r>
    </w:p>
    <w:bookmarkEnd w:id="24"/>
    <w:p w14:paraId="3603540E">
      <w:pPr>
        <w:pStyle w:val="9"/>
        <w:numPr>
          <w:ilvl w:val="0"/>
          <w:numId w:val="4"/>
        </w:numPr>
        <w:spacing w:after="160" w:line="360" w:lineRule="auto"/>
        <w:ind w:left="357" w:firstLine="0" w:firstLineChars="0"/>
        <w:jc w:val="left"/>
        <w:rPr>
          <w:rFonts w:hint="eastAsia" w:ascii="Times New Roman" w:hAnsi="Times New Roman" w:eastAsia="宋体" w:cs="Times New Roman"/>
          <w:b/>
          <w:bCs/>
          <w:sz w:val="24"/>
          <w:szCs w:val="24"/>
        </w:rPr>
      </w:pPr>
      <w:r>
        <w:rPr>
          <w:rFonts w:ascii="Times New Roman" w:hAnsi="Times New Roman" w:eastAsia="宋体" w:cs="Times New Roman"/>
          <w:sz w:val="24"/>
          <w:szCs w:val="24"/>
        </w:rPr>
        <w:t>仪器分辨率：前向散射光、FITC通道和PE通道的全峰宽CV</w:t>
      </w:r>
      <w:r>
        <w:rPr>
          <w:rFonts w:hint="eastAsia" w:ascii="宋体" w:hAnsi="宋体" w:eastAsia="宋体" w:cs="Times New Roman"/>
          <w:sz w:val="24"/>
          <w:szCs w:val="24"/>
        </w:rPr>
        <w:t>≤</w:t>
      </w:r>
      <w:r>
        <w:rPr>
          <w:rFonts w:ascii="Times New Roman" w:hAnsi="Times New Roman" w:eastAsia="宋体" w:cs="Times New Roman"/>
          <w:sz w:val="24"/>
          <w:szCs w:val="24"/>
        </w:rPr>
        <w:t>2%；</w:t>
      </w:r>
    </w:p>
    <w:p w14:paraId="7ED1C780">
      <w:pPr>
        <w:pStyle w:val="9"/>
        <w:numPr>
          <w:ilvl w:val="0"/>
          <w:numId w:val="4"/>
        </w:numPr>
        <w:spacing w:after="160" w:line="360" w:lineRule="auto"/>
        <w:ind w:left="357" w:firstLine="0" w:firstLineChars="0"/>
        <w:jc w:val="left"/>
        <w:rPr>
          <w:rFonts w:ascii="Times New Roman" w:hAnsi="Times New Roman" w:eastAsia="宋体" w:cs="Times New Roman"/>
          <w:sz w:val="24"/>
          <w:szCs w:val="24"/>
        </w:rPr>
      </w:pPr>
      <w:r>
        <w:rPr>
          <w:rFonts w:ascii="Times New Roman" w:hAnsi="宋体" w:eastAsia="宋体" w:cs="Times New Roman"/>
          <w:sz w:val="24"/>
          <w:szCs w:val="24"/>
        </w:rPr>
        <w:t>荧光分辨率：</w:t>
      </w:r>
      <w:r>
        <w:rPr>
          <w:rFonts w:ascii="Times New Roman" w:hAnsi="Times New Roman" w:eastAsia="宋体" w:cs="Times New Roman"/>
          <w:sz w:val="24"/>
          <w:szCs w:val="24"/>
        </w:rPr>
        <w:t>rCV</w:t>
      </w:r>
      <w:r>
        <w:rPr>
          <w:rFonts w:ascii="Times New Roman" w:hAnsi="宋体" w:eastAsia="宋体" w:cs="Times New Roman"/>
          <w:sz w:val="24"/>
          <w:szCs w:val="24"/>
        </w:rPr>
        <w:t>＜</w:t>
      </w:r>
      <w:r>
        <w:rPr>
          <w:rFonts w:ascii="Times New Roman" w:hAnsi="Times New Roman" w:eastAsia="宋体" w:cs="Times New Roman"/>
          <w:sz w:val="24"/>
          <w:szCs w:val="24"/>
        </w:rPr>
        <w:t>3.0%</w:t>
      </w:r>
      <w:r>
        <w:rPr>
          <w:rFonts w:ascii="Times New Roman" w:hAnsi="宋体" w:eastAsia="宋体" w:cs="Times New Roman"/>
          <w:sz w:val="24"/>
          <w:szCs w:val="24"/>
        </w:rPr>
        <w:t>；</w:t>
      </w:r>
    </w:p>
    <w:p w14:paraId="1E80530E">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#携带污染率：</w:t>
      </w:r>
      <w:r>
        <w:rPr>
          <w:rFonts w:hint="eastAsia" w:ascii="宋体" w:hAnsi="宋体" w:eastAsia="宋体" w:cs="Times New Roman"/>
          <w:sz w:val="24"/>
          <w:szCs w:val="24"/>
        </w:rPr>
        <w:t>≤</w:t>
      </w:r>
      <w:r>
        <w:rPr>
          <w:rFonts w:ascii="Times New Roman" w:hAnsi="Times New Roman" w:eastAsia="宋体" w:cs="Times New Roman"/>
          <w:sz w:val="24"/>
          <w:szCs w:val="24"/>
        </w:rPr>
        <w:t>0.</w:t>
      </w:r>
      <w:r>
        <w:rPr>
          <w:rFonts w:hint="eastAsia" w:ascii="Times New Roman" w:hAnsi="Times New Roman" w:eastAsia="宋体" w:cs="Times New Roman"/>
          <w:sz w:val="24"/>
          <w:szCs w:val="24"/>
        </w:rPr>
        <w:t>08</w:t>
      </w:r>
      <w:r>
        <w:rPr>
          <w:rFonts w:ascii="Times New Roman" w:hAnsi="Times New Roman" w:eastAsia="宋体" w:cs="Times New Roman"/>
          <w:sz w:val="24"/>
          <w:szCs w:val="24"/>
        </w:rPr>
        <w:t>%；</w:t>
      </w:r>
    </w:p>
    <w:p w14:paraId="40149613">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rPr>
        <w:t>医疗器械资质：如果响应产品中有属于医疗器械的产品，制造商须符合《医疗器械监督管理条例》要求，并提供医疗器械生产（经营）许可证或医疗器械经营备案凭证，所投医疗器械须符合《医疗器械注册管理办法（2014年最新）》要求并提供中华人民共和国医疗器械注册证（一类医疗器械可提供备案凭证）;</w:t>
      </w:r>
    </w:p>
    <w:p w14:paraId="2E4C6EFC">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r>
        <w:rPr>
          <w:rFonts w:ascii="Times New Roman" w:hAnsi="Times New Roman" w:eastAsia="宋体" w:cs="Times New Roman"/>
          <w:sz w:val="24"/>
          <w:szCs w:val="24"/>
        </w:rPr>
        <w:t>#可提供取得中华人民共和国医疗器械注册证的CD3/CD4/CD8/CD45检测试剂、CD3/CD56/CD19/CD45检测试剂或CD3/CD16+56/CD45/CD19、HLA-B27等配套试剂；</w:t>
      </w:r>
    </w:p>
    <w:p w14:paraId="7501ED38">
      <w:pPr>
        <w:pStyle w:val="9"/>
        <w:numPr>
          <w:ilvl w:val="0"/>
          <w:numId w:val="4"/>
        </w:numPr>
        <w:spacing w:after="160" w:line="360" w:lineRule="auto"/>
        <w:ind w:left="357" w:firstLine="0" w:firstLineChars="0"/>
        <w:jc w:val="left"/>
        <w:rPr>
          <w:rFonts w:ascii="Times New Roman" w:hAnsi="Times New Roman" w:eastAsia="宋体" w:cs="Times New Roman"/>
          <w:b/>
          <w:bCs/>
          <w:sz w:val="24"/>
          <w:szCs w:val="24"/>
        </w:rPr>
      </w:pPr>
      <w:bookmarkStart w:id="27" w:name="OLE_LINK59"/>
      <w:bookmarkStart w:id="28" w:name="OLE_LINK58"/>
      <w:r>
        <w:rPr>
          <w:rFonts w:ascii="Times New Roman" w:hAnsi="Times New Roman" w:eastAsia="宋体" w:cs="Times New Roman"/>
          <w:sz w:val="24"/>
          <w:szCs w:val="24"/>
        </w:rPr>
        <w:t>#自动进样器规格：</w:t>
      </w:r>
      <w:r>
        <w:rPr>
          <w:rFonts w:hint="eastAsia" w:ascii="Times New Roman" w:hAnsi="Times New Roman" w:eastAsia="宋体" w:cs="Times New Roman"/>
          <w:sz w:val="24"/>
          <w:szCs w:val="24"/>
        </w:rPr>
        <w:t>32</w:t>
      </w:r>
      <w:r>
        <w:rPr>
          <w:rFonts w:ascii="Times New Roman" w:hAnsi="Times New Roman" w:eastAsia="宋体" w:cs="Times New Roman"/>
          <w:sz w:val="24"/>
          <w:szCs w:val="24"/>
        </w:rPr>
        <w:t>管</w:t>
      </w:r>
      <w:r>
        <w:rPr>
          <w:rFonts w:hint="eastAsia" w:ascii="Times New Roman" w:hAnsi="Times New Roman" w:eastAsia="宋体" w:cs="Times New Roman"/>
          <w:sz w:val="24"/>
          <w:szCs w:val="24"/>
        </w:rPr>
        <w:t>以上高通量自动</w:t>
      </w:r>
      <w:r>
        <w:rPr>
          <w:rFonts w:ascii="Times New Roman" w:hAnsi="Times New Roman" w:eastAsia="宋体" w:cs="Times New Roman"/>
          <w:sz w:val="24"/>
          <w:szCs w:val="24"/>
        </w:rPr>
        <w:t>进样</w:t>
      </w:r>
      <w:r>
        <w:rPr>
          <w:rFonts w:hint="eastAsia" w:ascii="Times New Roman" w:hAnsi="Times New Roman" w:eastAsia="宋体" w:cs="Times New Roman"/>
          <w:sz w:val="24"/>
          <w:szCs w:val="24"/>
        </w:rPr>
        <w:t>器</w:t>
      </w:r>
      <w:r>
        <w:rPr>
          <w:rFonts w:ascii="Times New Roman" w:hAnsi="Times New Roman" w:eastAsia="宋体" w:cs="Times New Roman"/>
          <w:sz w:val="24"/>
          <w:szCs w:val="24"/>
        </w:rPr>
        <w:t>；</w:t>
      </w:r>
    </w:p>
    <w:bookmarkEnd w:id="27"/>
    <w:bookmarkEnd w:id="28"/>
    <w:p w14:paraId="6F68F90D">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2.安装现场应具备的条件</w:t>
      </w:r>
    </w:p>
    <w:p w14:paraId="4CB621A1">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1）相对湿度：20%～80%</w:t>
      </w:r>
    </w:p>
    <w:p w14:paraId="6E4C24DD">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2）环境温度：15℃</w:t>
      </w:r>
      <w:bookmarkStart w:id="29" w:name="OLE_LINK22"/>
      <w:bookmarkStart w:id="30" w:name="OLE_LINK25"/>
      <w:r>
        <w:rPr>
          <w:rFonts w:ascii="Times New Roman" w:hAnsi="Times New Roman" w:eastAsia="宋体" w:cs="Times New Roman"/>
          <w:sz w:val="24"/>
          <w:szCs w:val="24"/>
        </w:rPr>
        <w:t>～</w:t>
      </w:r>
      <w:bookmarkEnd w:id="29"/>
      <w:bookmarkEnd w:id="30"/>
      <w:r>
        <w:rPr>
          <w:rFonts w:ascii="Times New Roman" w:hAnsi="Times New Roman" w:eastAsia="宋体" w:cs="Times New Roman"/>
          <w:sz w:val="24"/>
          <w:szCs w:val="24"/>
        </w:rPr>
        <w:t>27℃</w:t>
      </w:r>
    </w:p>
    <w:p w14:paraId="1DCF12EB">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3）电源：220V，50/60Hz</w:t>
      </w:r>
    </w:p>
    <w:p w14:paraId="1C5601DB">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3、安装程序：</w:t>
      </w:r>
    </w:p>
    <w:p w14:paraId="0E6A9D65">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1）仪器到达使用现场后，由</w:t>
      </w:r>
      <w:r>
        <w:rPr>
          <w:rFonts w:hint="eastAsia" w:ascii="Times New Roman" w:hAnsi="Times New Roman" w:eastAsia="宋体" w:cs="Times New Roman"/>
          <w:sz w:val="24"/>
          <w:szCs w:val="24"/>
        </w:rPr>
        <w:t>供货方</w:t>
      </w:r>
      <w:r>
        <w:rPr>
          <w:rFonts w:ascii="Times New Roman" w:hAnsi="Times New Roman" w:eastAsia="宋体" w:cs="Times New Roman"/>
          <w:sz w:val="24"/>
          <w:szCs w:val="24"/>
        </w:rPr>
        <w:t>派出专业的工程师进行仪器安装、调试</w:t>
      </w:r>
      <w:r>
        <w:rPr>
          <w:rFonts w:hint="eastAsia" w:ascii="Times New Roman" w:hAnsi="Times New Roman" w:eastAsia="宋体" w:cs="Times New Roman"/>
          <w:sz w:val="24"/>
          <w:szCs w:val="24"/>
        </w:rPr>
        <w:t>。</w:t>
      </w:r>
    </w:p>
    <w:p w14:paraId="4D2C6B90">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2）仪器安装调试完成后，对使用人员进行技术培训，包括仪器基本原理和结构介绍、仪器操作方法、仪器基本保养维护程序等内容。</w:t>
      </w:r>
    </w:p>
    <w:p w14:paraId="1D270FFC">
      <w:pPr>
        <w:pStyle w:val="9"/>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3）用户在使用</w:t>
      </w:r>
      <w:bookmarkStart w:id="31" w:name="OLE_LINK29"/>
      <w:bookmarkStart w:id="32" w:name="OLE_LINK28"/>
      <w:r>
        <w:rPr>
          <w:rFonts w:ascii="Times New Roman" w:hAnsi="Times New Roman" w:eastAsia="宋体" w:cs="Times New Roman"/>
          <w:sz w:val="24"/>
          <w:szCs w:val="24"/>
        </w:rPr>
        <w:t>过程中</w:t>
      </w:r>
      <w:bookmarkEnd w:id="31"/>
      <w:bookmarkEnd w:id="32"/>
      <w:r>
        <w:rPr>
          <w:rFonts w:ascii="Times New Roman" w:hAnsi="Times New Roman" w:eastAsia="宋体" w:cs="Times New Roman"/>
          <w:sz w:val="24"/>
          <w:szCs w:val="24"/>
        </w:rPr>
        <w:t>的技术问题可随时向公司提出询问，</w:t>
      </w:r>
      <w:r>
        <w:rPr>
          <w:rFonts w:hint="eastAsia" w:ascii="Times New Roman" w:hAnsi="Times New Roman" w:eastAsia="宋体" w:cs="Times New Roman"/>
          <w:sz w:val="24"/>
          <w:szCs w:val="24"/>
        </w:rPr>
        <w:t>供货方</w:t>
      </w:r>
      <w:r>
        <w:rPr>
          <w:rFonts w:ascii="Times New Roman" w:hAnsi="Times New Roman" w:eastAsia="宋体" w:cs="Times New Roman"/>
          <w:sz w:val="24"/>
          <w:szCs w:val="24"/>
        </w:rPr>
        <w:t>将提供相应咨询服务</w:t>
      </w:r>
    </w:p>
    <w:bookmarkEnd w:id="9"/>
    <w:bookmarkEnd w:id="10"/>
    <w:p w14:paraId="2FA12547">
      <w:pPr>
        <w:pStyle w:val="2"/>
        <w:numPr>
          <w:ilvl w:val="0"/>
          <w:numId w:val="2"/>
        </w:numPr>
        <w:tabs>
          <w:tab w:val="left" w:pos="360"/>
        </w:tabs>
        <w:spacing w:before="120" w:line="360" w:lineRule="auto"/>
        <w:ind w:left="425" w:hanging="425"/>
        <w:jc w:val="left"/>
        <w:rPr>
          <w:rFonts w:hAnsi="Times New Roman" w:eastAsia="宋体" w:cs="Times New Roman"/>
          <w:sz w:val="24"/>
        </w:rPr>
      </w:pPr>
      <w:bookmarkStart w:id="33" w:name="_Toc29822"/>
      <w:r>
        <w:rPr>
          <w:rFonts w:hAnsi="Times New Roman" w:eastAsia="宋体" w:cs="Times New Roman"/>
          <w:sz w:val="24"/>
        </w:rPr>
        <w:t>项目总体要求</w:t>
      </w:r>
      <w:bookmarkEnd w:id="33"/>
    </w:p>
    <w:p w14:paraId="47DC89F4">
      <w:pPr>
        <w:pStyle w:val="6"/>
        <w:spacing w:line="360" w:lineRule="auto"/>
        <w:ind w:firstLine="480" w:firstLineChars="200"/>
        <w:rPr>
          <w:rFonts w:hint="eastAsia" w:ascii="Times New Roman" w:hAnsi="Times New Roman" w:eastAsia="宋体" w:cs="Times New Roman"/>
          <w:kern w:val="2"/>
        </w:rPr>
      </w:pPr>
      <w:bookmarkStart w:id="34" w:name="OLE_LINK44"/>
      <w:bookmarkStart w:id="35" w:name="OLE_LINK45"/>
      <w:bookmarkStart w:id="36" w:name="OLE_LINK27"/>
      <w:bookmarkStart w:id="37" w:name="OLE_LINK26"/>
      <w:r>
        <w:rPr>
          <w:rFonts w:hint="eastAsia" w:ascii="Times New Roman" w:hAnsi="Times New Roman" w:eastAsia="宋体" w:cs="Times New Roman"/>
          <w:kern w:val="2"/>
        </w:rPr>
        <w:t>项目要求在控制预算的前提下，以高标准、高要求完成招标采购，确保采购的仪器设备符合或高于技术指标和功能需求，确保设备运行的稳定性、质量的可靠性和实验数据的真实性。此外，需要考虑设备的长期运行成本、能耗和维护便捷性，在预算范围内保质保量完成招标采购。</w:t>
      </w:r>
    </w:p>
    <w:bookmarkEnd w:id="34"/>
    <w:bookmarkEnd w:id="35"/>
    <w:bookmarkEnd w:id="36"/>
    <w:bookmarkEnd w:id="37"/>
    <w:p w14:paraId="3B3C522C">
      <w:pPr>
        <w:pStyle w:val="2"/>
        <w:numPr>
          <w:ilvl w:val="0"/>
          <w:numId w:val="2"/>
        </w:numPr>
        <w:tabs>
          <w:tab w:val="left" w:pos="360"/>
        </w:tabs>
        <w:spacing w:before="120" w:line="360" w:lineRule="auto"/>
        <w:ind w:left="425" w:hanging="425"/>
        <w:jc w:val="left"/>
        <w:rPr>
          <w:rFonts w:hAnsi="Times New Roman" w:eastAsia="宋体" w:cs="Times New Roman"/>
          <w:sz w:val="24"/>
        </w:rPr>
      </w:pPr>
      <w:bookmarkStart w:id="38" w:name="_Toc4910"/>
      <w:r>
        <w:rPr>
          <w:rFonts w:hAnsi="Times New Roman" w:eastAsia="宋体" w:cs="Times New Roman"/>
          <w:sz w:val="24"/>
        </w:rPr>
        <w:t>验收技术要求</w:t>
      </w:r>
      <w:bookmarkEnd w:id="38"/>
    </w:p>
    <w:p w14:paraId="76987FD5">
      <w:pPr>
        <w:pStyle w:val="3"/>
        <w:numPr>
          <w:ilvl w:val="1"/>
          <w:numId w:val="2"/>
        </w:numPr>
        <w:tabs>
          <w:tab w:val="left" w:pos="360"/>
        </w:tabs>
        <w:spacing w:after="120" w:line="360" w:lineRule="auto"/>
        <w:ind w:left="-4" w:leftChars="-2" w:firstLine="426"/>
        <w:jc w:val="left"/>
        <w:rPr>
          <w:rFonts w:ascii="Times New Roman" w:hAnsi="Times New Roman" w:eastAsia="宋体" w:cs="Times New Roman"/>
          <w:sz w:val="24"/>
        </w:rPr>
      </w:pPr>
      <w:bookmarkStart w:id="39" w:name="_Toc26470"/>
      <w:r>
        <w:rPr>
          <w:rFonts w:ascii="Times New Roman" w:hAnsi="Times New Roman" w:eastAsia="宋体" w:cs="Times New Roman"/>
          <w:sz w:val="24"/>
        </w:rPr>
        <w:t>功能标准：</w:t>
      </w:r>
      <w:bookmarkEnd w:id="39"/>
    </w:p>
    <w:p w14:paraId="47C8E5B3">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4.1.1 验收主要指标</w:t>
      </w:r>
    </w:p>
    <w:p w14:paraId="13A0D040">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1）</w:t>
      </w:r>
      <w:r>
        <w:rPr>
          <w:rFonts w:ascii="Times New Roman" w:hAnsi="Times New Roman" w:eastAsia="宋体" w:cs="Times New Roman"/>
          <w:sz w:val="24"/>
        </w:rPr>
        <w:t>配置双激光器：蓝色激光（激发波长488nm）和红色激光（激发波长633nm/635nm/638nm/640nm)，激光器功率</w:t>
      </w:r>
      <w:r>
        <w:rPr>
          <w:rFonts w:hint="eastAsia" w:ascii="宋体" w:hAnsi="宋体" w:eastAsia="宋体" w:cs="Times New Roman"/>
          <w:sz w:val="24"/>
        </w:rPr>
        <w:t>≥</w:t>
      </w:r>
      <w:r>
        <w:rPr>
          <w:rFonts w:hint="eastAsia" w:ascii="Times New Roman" w:hAnsi="Times New Roman" w:eastAsia="宋体" w:cs="Times New Roman"/>
          <w:sz w:val="24"/>
        </w:rPr>
        <w:t>5</w:t>
      </w:r>
      <w:r>
        <w:rPr>
          <w:rFonts w:ascii="Times New Roman" w:hAnsi="Times New Roman" w:eastAsia="宋体" w:cs="Times New Roman"/>
          <w:sz w:val="24"/>
        </w:rPr>
        <w:t>0mW</w:t>
      </w:r>
      <w:r>
        <w:rPr>
          <w:rFonts w:hint="eastAsia" w:ascii="Times New Roman" w:hAnsi="Times New Roman" w:eastAsia="宋体" w:cs="Times New Roman"/>
          <w:sz w:val="24"/>
        </w:rPr>
        <w:t>；</w:t>
      </w:r>
    </w:p>
    <w:p w14:paraId="592E1F7A">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2）</w:t>
      </w:r>
      <w:bookmarkStart w:id="40" w:name="OLE_LINK62"/>
      <w:bookmarkStart w:id="41" w:name="OLE_LINK63"/>
      <w:bookmarkStart w:id="42" w:name="OLE_LINK64"/>
      <w:r>
        <w:rPr>
          <w:rFonts w:hint="eastAsia" w:ascii="Times New Roman" w:hAnsi="Times New Roman" w:eastAsia="宋体" w:cs="Times New Roman"/>
          <w:sz w:val="24"/>
        </w:rPr>
        <w:t>配置八通道或以上的</w:t>
      </w:r>
      <w:r>
        <w:rPr>
          <w:rFonts w:ascii="Times New Roman" w:hAnsi="Times New Roman" w:eastAsia="宋体" w:cs="Times New Roman"/>
          <w:sz w:val="24"/>
        </w:rPr>
        <w:t>PMT</w:t>
      </w:r>
      <w:r>
        <w:rPr>
          <w:rFonts w:hint="eastAsia" w:ascii="Times New Roman" w:hAnsi="Times New Roman" w:eastAsia="宋体" w:cs="Times New Roman"/>
          <w:sz w:val="24"/>
        </w:rPr>
        <w:t>或APD荧光检测器</w:t>
      </w:r>
      <w:bookmarkEnd w:id="40"/>
      <w:bookmarkEnd w:id="41"/>
      <w:bookmarkEnd w:id="42"/>
      <w:r>
        <w:rPr>
          <w:rFonts w:hint="eastAsia" w:ascii="Times New Roman" w:hAnsi="Times New Roman" w:eastAsia="宋体" w:cs="Times New Roman"/>
          <w:sz w:val="24"/>
        </w:rPr>
        <w:t>；</w:t>
      </w:r>
    </w:p>
    <w:p w14:paraId="53433C15">
      <w:pPr>
        <w:spacing w:line="360" w:lineRule="auto"/>
        <w:ind w:firstLine="480" w:firstLineChars="200"/>
        <w:jc w:val="left"/>
        <w:rPr>
          <w:rFonts w:hint="eastAsia" w:ascii="Times New Roman" w:hAnsi="Times New Roman" w:eastAsia="宋体" w:cs="Times New Roman"/>
          <w:sz w:val="24"/>
        </w:rPr>
      </w:pPr>
      <w:r>
        <w:rPr>
          <w:rFonts w:hint="eastAsia" w:ascii="Times New Roman" w:hAnsi="Times New Roman" w:eastAsia="宋体" w:cs="Times New Roman"/>
          <w:sz w:val="24"/>
        </w:rPr>
        <w:t>3）</w:t>
      </w:r>
      <w:r>
        <w:rPr>
          <w:rFonts w:ascii="Times New Roman" w:hAnsi="Times New Roman" w:eastAsia="宋体" w:cs="Times New Roman"/>
          <w:sz w:val="24"/>
        </w:rPr>
        <w:t>采用非注射泵进样方式</w:t>
      </w:r>
      <w:r>
        <w:rPr>
          <w:rFonts w:hint="eastAsia" w:ascii="Times New Roman" w:hAnsi="Times New Roman" w:eastAsia="宋体" w:cs="Times New Roman"/>
          <w:sz w:val="24"/>
        </w:rPr>
        <w:t>进样</w:t>
      </w:r>
      <w:r>
        <w:rPr>
          <w:rFonts w:ascii="Times New Roman" w:hAnsi="Times New Roman" w:eastAsia="宋体" w:cs="Times New Roman"/>
          <w:sz w:val="24"/>
        </w:rPr>
        <w:t>，以满足快速连续的进样要求</w:t>
      </w:r>
      <w:r>
        <w:rPr>
          <w:rFonts w:hint="eastAsia" w:ascii="Times New Roman" w:hAnsi="Times New Roman" w:eastAsia="宋体" w:cs="Times New Roman"/>
          <w:sz w:val="24"/>
        </w:rPr>
        <w:t>；</w:t>
      </w:r>
    </w:p>
    <w:p w14:paraId="71082650">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4）</w:t>
      </w:r>
      <w:r>
        <w:rPr>
          <w:rFonts w:ascii="Times New Roman" w:hAnsi="Times New Roman" w:eastAsia="宋体" w:cs="Times New Roman"/>
          <w:sz w:val="24"/>
        </w:rPr>
        <w:t>荧光检测灵敏度：FITC</w:t>
      </w:r>
      <w:r>
        <w:rPr>
          <w:rFonts w:hint="eastAsia" w:ascii="宋体" w:hAnsi="宋体" w:eastAsia="宋体" w:cs="Times New Roman"/>
          <w:sz w:val="24"/>
        </w:rPr>
        <w:t>≤</w:t>
      </w:r>
      <w:r>
        <w:rPr>
          <w:rFonts w:hint="eastAsia" w:ascii="Times New Roman" w:hAnsi="Times New Roman" w:eastAsia="宋体" w:cs="Times New Roman"/>
          <w:sz w:val="24"/>
        </w:rPr>
        <w:t>1</w:t>
      </w:r>
      <w:r>
        <w:rPr>
          <w:rFonts w:ascii="Times New Roman" w:hAnsi="Times New Roman" w:eastAsia="宋体" w:cs="Times New Roman"/>
          <w:sz w:val="24"/>
        </w:rPr>
        <w:t>00 MESF，PE</w:t>
      </w:r>
      <w:r>
        <w:rPr>
          <w:rFonts w:hint="eastAsia" w:ascii="宋体" w:hAnsi="宋体" w:eastAsia="宋体" w:cs="Times New Roman"/>
          <w:sz w:val="24"/>
        </w:rPr>
        <w:t>≤</w:t>
      </w:r>
      <w:r>
        <w:rPr>
          <w:rFonts w:hint="eastAsia" w:ascii="Times New Roman" w:hAnsi="Times New Roman" w:eastAsia="宋体" w:cs="Times New Roman"/>
          <w:sz w:val="24"/>
        </w:rPr>
        <w:t>10</w:t>
      </w:r>
      <w:r>
        <w:rPr>
          <w:rFonts w:ascii="Times New Roman" w:hAnsi="Times New Roman" w:eastAsia="宋体" w:cs="Times New Roman"/>
          <w:sz w:val="24"/>
        </w:rPr>
        <w:t>0 MESF</w:t>
      </w:r>
      <w:r>
        <w:rPr>
          <w:rFonts w:hint="eastAsia" w:ascii="Times New Roman" w:hAnsi="Times New Roman" w:eastAsia="宋体" w:cs="Times New Roman"/>
          <w:sz w:val="24"/>
        </w:rPr>
        <w:t>；</w:t>
      </w:r>
    </w:p>
    <w:p w14:paraId="57A16529">
      <w:pPr>
        <w:pStyle w:val="9"/>
        <w:spacing w:after="160" w:line="360" w:lineRule="auto"/>
        <w:ind w:firstLine="480"/>
        <w:jc w:val="left"/>
        <w:rPr>
          <w:rFonts w:ascii="Times New Roman" w:hAnsi="Times New Roman" w:eastAsia="宋体" w:cs="Times New Roman"/>
          <w:b/>
          <w:bCs/>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携带污染率：</w:t>
      </w:r>
      <w:r>
        <w:rPr>
          <w:rFonts w:hint="eastAsia" w:ascii="宋体" w:hAnsi="宋体" w:eastAsia="宋体" w:cs="Times New Roman"/>
          <w:sz w:val="24"/>
        </w:rPr>
        <w:t>≤</w:t>
      </w:r>
      <w:r>
        <w:rPr>
          <w:rFonts w:ascii="Times New Roman" w:hAnsi="Times New Roman" w:eastAsia="宋体" w:cs="Times New Roman"/>
          <w:sz w:val="24"/>
          <w:szCs w:val="24"/>
        </w:rPr>
        <w:t>0.</w:t>
      </w:r>
      <w:r>
        <w:rPr>
          <w:rFonts w:hint="eastAsia" w:ascii="Times New Roman" w:hAnsi="Times New Roman" w:eastAsia="宋体" w:cs="Times New Roman"/>
          <w:sz w:val="24"/>
          <w:szCs w:val="24"/>
        </w:rPr>
        <w:t>08</w:t>
      </w:r>
      <w:r>
        <w:rPr>
          <w:rFonts w:ascii="Times New Roman" w:hAnsi="Times New Roman" w:eastAsia="宋体" w:cs="Times New Roman"/>
          <w:sz w:val="24"/>
          <w:szCs w:val="24"/>
        </w:rPr>
        <w:t>%</w:t>
      </w:r>
      <w:r>
        <w:rPr>
          <w:rFonts w:hint="eastAsia" w:ascii="Times New Roman" w:hAnsi="Times New Roman" w:eastAsia="宋体" w:cs="Times New Roman"/>
          <w:sz w:val="24"/>
          <w:szCs w:val="24"/>
        </w:rPr>
        <w:t>；</w:t>
      </w:r>
    </w:p>
    <w:p w14:paraId="7AE77E9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工作站：配套不低于处理器Intel i5，硬盘1T、内存8G计算机和23寸显示器一套</w:t>
      </w:r>
    </w:p>
    <w:p w14:paraId="4C14B4EB">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配套试剂：配备鞘液、清洗液、质控微球</w:t>
      </w:r>
    </w:p>
    <w:p w14:paraId="25E731B1">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4.1.2设备到货：设备须按照交货期要求到货。</w:t>
      </w:r>
    </w:p>
    <w:p w14:paraId="342FEC96">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4.1.3设备安装调试：设备的性能应符合供货方应答文件中承诺的技术指标，所有指标验收必须由用户确认。</w:t>
      </w:r>
    </w:p>
    <w:p w14:paraId="45108356">
      <w:pPr>
        <w:spacing w:line="360" w:lineRule="auto"/>
        <w:ind w:firstLine="480" w:firstLineChars="200"/>
        <w:jc w:val="left"/>
        <w:rPr>
          <w:rFonts w:ascii="Times New Roman" w:hAnsi="Times New Roman" w:eastAsia="宋体" w:cs="Times New Roman"/>
          <w:sz w:val="24"/>
        </w:rPr>
      </w:pPr>
    </w:p>
    <w:p w14:paraId="2DF3774C">
      <w:pPr>
        <w:pStyle w:val="3"/>
        <w:numPr>
          <w:ilvl w:val="1"/>
          <w:numId w:val="2"/>
        </w:numPr>
        <w:tabs>
          <w:tab w:val="left" w:pos="360"/>
        </w:tabs>
        <w:spacing w:after="120" w:line="360" w:lineRule="auto"/>
        <w:ind w:left="992" w:firstLine="0"/>
        <w:jc w:val="left"/>
        <w:rPr>
          <w:rFonts w:ascii="Times New Roman" w:hAnsi="Times New Roman" w:eastAsia="宋体" w:cs="Times New Roman"/>
          <w:sz w:val="24"/>
        </w:rPr>
      </w:pPr>
      <w:bookmarkStart w:id="43" w:name="_Toc29849"/>
      <w:r>
        <w:rPr>
          <w:rFonts w:ascii="Times New Roman" w:hAnsi="Times New Roman" w:eastAsia="宋体" w:cs="Times New Roman"/>
          <w:sz w:val="24"/>
        </w:rPr>
        <w:t>其他要求：</w:t>
      </w:r>
      <w:bookmarkEnd w:id="43"/>
    </w:p>
    <w:p w14:paraId="4E96DEB1">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验收时交付</w:t>
      </w:r>
      <w:r>
        <w:rPr>
          <w:rFonts w:hint="eastAsia" w:ascii="Times New Roman" w:hAnsi="Times New Roman" w:eastAsia="宋体" w:cs="Times New Roman"/>
          <w:sz w:val="24"/>
        </w:rPr>
        <w:t>买方</w:t>
      </w:r>
      <w:r>
        <w:rPr>
          <w:rFonts w:ascii="Times New Roman" w:hAnsi="Times New Roman" w:eastAsia="宋体" w:cs="Times New Roman"/>
          <w:sz w:val="24"/>
        </w:rPr>
        <w:t>的材料</w:t>
      </w:r>
    </w:p>
    <w:p w14:paraId="755153F7">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验收表</w:t>
      </w:r>
      <w:r>
        <w:rPr>
          <w:rFonts w:hint="eastAsia" w:ascii="Times New Roman" w:hAnsi="Times New Roman" w:eastAsia="宋体" w:cs="Times New Roman"/>
          <w:sz w:val="24"/>
        </w:rPr>
        <w:t>1</w:t>
      </w:r>
      <w:r>
        <w:rPr>
          <w:rFonts w:ascii="Times New Roman" w:hAnsi="Times New Roman" w:eastAsia="宋体" w:cs="Times New Roman"/>
          <w:sz w:val="24"/>
        </w:rPr>
        <w:t>：材料交付</w:t>
      </w:r>
    </w:p>
    <w:tbl>
      <w:tblPr>
        <w:tblStyle w:val="7"/>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805"/>
        <w:gridCol w:w="1437"/>
        <w:gridCol w:w="1227"/>
        <w:gridCol w:w="448"/>
        <w:gridCol w:w="1150"/>
        <w:gridCol w:w="388"/>
        <w:gridCol w:w="862"/>
        <w:gridCol w:w="1579"/>
      </w:tblGrid>
      <w:tr w14:paraId="79AC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07F81A15">
            <w:pPr>
              <w:spacing w:line="360" w:lineRule="auto"/>
              <w:jc w:val="left"/>
              <w:rPr>
                <w:rFonts w:ascii="Times New Roman" w:hAnsi="Times New Roman" w:eastAsia="宋体" w:cs="Times New Roman"/>
                <w:sz w:val="24"/>
              </w:rPr>
            </w:pPr>
            <w:r>
              <w:rPr>
                <w:rFonts w:ascii="Times New Roman" w:hAnsi="Times New Roman" w:eastAsia="宋体" w:cs="Times New Roman"/>
                <w:sz w:val="24"/>
              </w:rPr>
              <w:t>序号</w:t>
            </w:r>
          </w:p>
        </w:tc>
        <w:tc>
          <w:tcPr>
            <w:tcW w:w="2242" w:type="dxa"/>
            <w:gridSpan w:val="2"/>
            <w:shd w:val="clear" w:color="auto" w:fill="auto"/>
            <w:noWrap w:val="0"/>
            <w:vAlign w:val="center"/>
          </w:tcPr>
          <w:p w14:paraId="16000A17">
            <w:pPr>
              <w:spacing w:line="360" w:lineRule="auto"/>
              <w:jc w:val="left"/>
              <w:rPr>
                <w:rFonts w:ascii="Times New Roman" w:hAnsi="Times New Roman" w:eastAsia="宋体" w:cs="Times New Roman"/>
                <w:sz w:val="24"/>
              </w:rPr>
            </w:pPr>
            <w:r>
              <w:rPr>
                <w:rFonts w:ascii="Times New Roman" w:hAnsi="Times New Roman" w:eastAsia="宋体" w:cs="Times New Roman"/>
                <w:sz w:val="24"/>
              </w:rPr>
              <w:t>名称</w:t>
            </w:r>
          </w:p>
        </w:tc>
        <w:tc>
          <w:tcPr>
            <w:tcW w:w="1227" w:type="dxa"/>
            <w:shd w:val="clear" w:color="auto" w:fill="auto"/>
            <w:noWrap w:val="0"/>
            <w:vAlign w:val="center"/>
          </w:tcPr>
          <w:p w14:paraId="18B2447F">
            <w:pPr>
              <w:spacing w:line="360" w:lineRule="auto"/>
              <w:jc w:val="left"/>
              <w:rPr>
                <w:rFonts w:ascii="Times New Roman" w:hAnsi="Times New Roman" w:eastAsia="宋体" w:cs="Times New Roman"/>
                <w:sz w:val="24"/>
              </w:rPr>
            </w:pPr>
            <w:r>
              <w:rPr>
                <w:rFonts w:ascii="Times New Roman" w:hAnsi="Times New Roman" w:eastAsia="宋体" w:cs="Times New Roman"/>
                <w:sz w:val="24"/>
              </w:rPr>
              <w:t>数量</w:t>
            </w:r>
          </w:p>
        </w:tc>
        <w:tc>
          <w:tcPr>
            <w:tcW w:w="1598" w:type="dxa"/>
            <w:gridSpan w:val="2"/>
            <w:shd w:val="clear" w:color="auto" w:fill="auto"/>
            <w:noWrap w:val="0"/>
            <w:vAlign w:val="center"/>
          </w:tcPr>
          <w:p w14:paraId="71EB615A">
            <w:pPr>
              <w:spacing w:line="360" w:lineRule="auto"/>
              <w:jc w:val="left"/>
              <w:rPr>
                <w:rFonts w:ascii="Times New Roman" w:hAnsi="Times New Roman" w:eastAsia="宋体" w:cs="Times New Roman"/>
                <w:sz w:val="24"/>
              </w:rPr>
            </w:pPr>
            <w:r>
              <w:rPr>
                <w:rFonts w:ascii="Times New Roman" w:hAnsi="Times New Roman" w:eastAsia="宋体" w:cs="Times New Roman"/>
                <w:sz w:val="24"/>
              </w:rPr>
              <w:t>单位</w:t>
            </w:r>
          </w:p>
        </w:tc>
        <w:tc>
          <w:tcPr>
            <w:tcW w:w="2829" w:type="dxa"/>
            <w:gridSpan w:val="3"/>
            <w:shd w:val="clear" w:color="auto" w:fill="auto"/>
            <w:noWrap w:val="0"/>
            <w:vAlign w:val="center"/>
          </w:tcPr>
          <w:p w14:paraId="08B9B57A">
            <w:pPr>
              <w:spacing w:line="360" w:lineRule="auto"/>
              <w:jc w:val="left"/>
              <w:rPr>
                <w:rFonts w:ascii="Times New Roman" w:hAnsi="Times New Roman" w:eastAsia="宋体" w:cs="Times New Roman"/>
                <w:sz w:val="24"/>
              </w:rPr>
            </w:pPr>
            <w:r>
              <w:rPr>
                <w:rFonts w:ascii="Times New Roman" w:hAnsi="Times New Roman" w:eastAsia="宋体" w:cs="Times New Roman"/>
                <w:sz w:val="24"/>
              </w:rPr>
              <w:t>要求</w:t>
            </w:r>
          </w:p>
        </w:tc>
      </w:tr>
      <w:tr w14:paraId="2D59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77FC077D">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2242" w:type="dxa"/>
            <w:gridSpan w:val="2"/>
            <w:shd w:val="clear" w:color="auto" w:fill="auto"/>
            <w:noWrap w:val="0"/>
            <w:vAlign w:val="center"/>
          </w:tcPr>
          <w:p w14:paraId="50951951">
            <w:pPr>
              <w:spacing w:line="360" w:lineRule="auto"/>
              <w:jc w:val="left"/>
              <w:rPr>
                <w:rFonts w:ascii="Times New Roman" w:hAnsi="Times New Roman" w:eastAsia="宋体" w:cs="Times New Roman"/>
                <w:sz w:val="24"/>
              </w:rPr>
            </w:pPr>
            <w:r>
              <w:rPr>
                <w:rFonts w:ascii="Times New Roman" w:hAnsi="Times New Roman" w:eastAsia="宋体" w:cs="Times New Roman"/>
                <w:sz w:val="24"/>
              </w:rPr>
              <w:t>出厂报告</w:t>
            </w:r>
          </w:p>
        </w:tc>
        <w:tc>
          <w:tcPr>
            <w:tcW w:w="1227" w:type="dxa"/>
            <w:shd w:val="clear" w:color="auto" w:fill="auto"/>
            <w:noWrap w:val="0"/>
            <w:vAlign w:val="center"/>
          </w:tcPr>
          <w:p w14:paraId="2065C0BE">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4D5D2FDE">
            <w:pPr>
              <w:spacing w:line="360" w:lineRule="auto"/>
              <w:jc w:val="left"/>
              <w:rPr>
                <w:rFonts w:ascii="Times New Roman" w:hAnsi="Times New Roman" w:eastAsia="宋体" w:cs="Times New Roman"/>
                <w:sz w:val="24"/>
              </w:rPr>
            </w:pPr>
            <w:r>
              <w:rPr>
                <w:rFonts w:ascii="Times New Roman" w:hAnsi="Times New Roman" w:eastAsia="宋体" w:cs="Times New Roman"/>
                <w:sz w:val="24"/>
              </w:rPr>
              <w:t>套</w:t>
            </w:r>
          </w:p>
        </w:tc>
        <w:tc>
          <w:tcPr>
            <w:tcW w:w="2829" w:type="dxa"/>
            <w:gridSpan w:val="3"/>
            <w:shd w:val="clear" w:color="auto" w:fill="auto"/>
            <w:noWrap w:val="0"/>
            <w:vAlign w:val="center"/>
          </w:tcPr>
          <w:p w14:paraId="03CD3192">
            <w:pPr>
              <w:spacing w:line="360" w:lineRule="auto"/>
              <w:jc w:val="left"/>
              <w:rPr>
                <w:rFonts w:ascii="Times New Roman" w:hAnsi="Times New Roman" w:eastAsia="宋体" w:cs="Times New Roman"/>
                <w:sz w:val="24"/>
              </w:rPr>
            </w:pPr>
          </w:p>
        </w:tc>
      </w:tr>
      <w:tr w14:paraId="500B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3A47EB89">
            <w:pPr>
              <w:spacing w:line="360" w:lineRule="auto"/>
              <w:jc w:val="left"/>
              <w:rPr>
                <w:rFonts w:ascii="Times New Roman" w:hAnsi="Times New Roman" w:eastAsia="宋体" w:cs="Times New Roman"/>
                <w:sz w:val="24"/>
              </w:rPr>
            </w:pPr>
            <w:r>
              <w:rPr>
                <w:rFonts w:ascii="Times New Roman" w:hAnsi="Times New Roman" w:eastAsia="宋体" w:cs="Times New Roman"/>
                <w:sz w:val="24"/>
              </w:rPr>
              <w:t>2</w:t>
            </w:r>
          </w:p>
        </w:tc>
        <w:tc>
          <w:tcPr>
            <w:tcW w:w="2242" w:type="dxa"/>
            <w:gridSpan w:val="2"/>
            <w:shd w:val="clear" w:color="auto" w:fill="auto"/>
            <w:noWrap w:val="0"/>
            <w:vAlign w:val="center"/>
          </w:tcPr>
          <w:p w14:paraId="120AA323">
            <w:pPr>
              <w:spacing w:line="360" w:lineRule="auto"/>
              <w:jc w:val="left"/>
              <w:rPr>
                <w:rFonts w:ascii="Times New Roman" w:hAnsi="Times New Roman" w:eastAsia="宋体" w:cs="Times New Roman"/>
                <w:sz w:val="24"/>
              </w:rPr>
            </w:pPr>
            <w:r>
              <w:rPr>
                <w:rFonts w:ascii="Times New Roman" w:hAnsi="Times New Roman" w:eastAsia="宋体" w:cs="Times New Roman"/>
                <w:sz w:val="24"/>
              </w:rPr>
              <w:t>装箱单</w:t>
            </w:r>
          </w:p>
        </w:tc>
        <w:tc>
          <w:tcPr>
            <w:tcW w:w="1227" w:type="dxa"/>
            <w:shd w:val="clear" w:color="auto" w:fill="auto"/>
            <w:noWrap w:val="0"/>
            <w:vAlign w:val="center"/>
          </w:tcPr>
          <w:p w14:paraId="50BB578F">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655C8BDE">
            <w:pPr>
              <w:spacing w:line="360" w:lineRule="auto"/>
              <w:jc w:val="left"/>
              <w:rPr>
                <w:rFonts w:ascii="Times New Roman" w:hAnsi="Times New Roman" w:eastAsia="宋体" w:cs="Times New Roman"/>
                <w:sz w:val="24"/>
              </w:rPr>
            </w:pPr>
            <w:r>
              <w:rPr>
                <w:rFonts w:ascii="Times New Roman" w:hAnsi="Times New Roman" w:eastAsia="宋体" w:cs="Times New Roman"/>
                <w:sz w:val="24"/>
              </w:rPr>
              <w:t>份</w:t>
            </w:r>
          </w:p>
        </w:tc>
        <w:tc>
          <w:tcPr>
            <w:tcW w:w="2829" w:type="dxa"/>
            <w:gridSpan w:val="3"/>
            <w:shd w:val="clear" w:color="auto" w:fill="auto"/>
            <w:noWrap w:val="0"/>
            <w:vAlign w:val="center"/>
          </w:tcPr>
          <w:p w14:paraId="58265585">
            <w:pPr>
              <w:spacing w:line="360" w:lineRule="auto"/>
              <w:jc w:val="left"/>
              <w:rPr>
                <w:rFonts w:ascii="Times New Roman" w:hAnsi="Times New Roman" w:eastAsia="宋体" w:cs="Times New Roman"/>
                <w:sz w:val="24"/>
              </w:rPr>
            </w:pPr>
          </w:p>
        </w:tc>
      </w:tr>
      <w:tr w14:paraId="452E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01F20913">
            <w:pPr>
              <w:spacing w:line="360" w:lineRule="auto"/>
              <w:jc w:val="left"/>
              <w:rPr>
                <w:rFonts w:ascii="Times New Roman" w:hAnsi="Times New Roman" w:eastAsia="宋体" w:cs="Times New Roman"/>
                <w:sz w:val="24"/>
              </w:rPr>
            </w:pPr>
            <w:r>
              <w:rPr>
                <w:rFonts w:ascii="Times New Roman" w:hAnsi="Times New Roman" w:eastAsia="宋体" w:cs="Times New Roman"/>
                <w:sz w:val="24"/>
              </w:rPr>
              <w:t>3</w:t>
            </w:r>
          </w:p>
        </w:tc>
        <w:tc>
          <w:tcPr>
            <w:tcW w:w="2242" w:type="dxa"/>
            <w:gridSpan w:val="2"/>
            <w:shd w:val="clear" w:color="auto" w:fill="auto"/>
            <w:noWrap w:val="0"/>
            <w:vAlign w:val="center"/>
          </w:tcPr>
          <w:p w14:paraId="12A00D76">
            <w:pPr>
              <w:spacing w:line="360" w:lineRule="auto"/>
              <w:jc w:val="left"/>
              <w:rPr>
                <w:rFonts w:ascii="Times New Roman" w:hAnsi="Times New Roman" w:eastAsia="宋体" w:cs="Times New Roman"/>
                <w:sz w:val="24"/>
              </w:rPr>
            </w:pPr>
            <w:r>
              <w:rPr>
                <w:rFonts w:ascii="Times New Roman" w:hAnsi="Times New Roman" w:eastAsia="宋体" w:cs="Times New Roman"/>
                <w:sz w:val="24"/>
              </w:rPr>
              <w:t>技术图纸及模型</w:t>
            </w:r>
          </w:p>
        </w:tc>
        <w:tc>
          <w:tcPr>
            <w:tcW w:w="1227" w:type="dxa"/>
            <w:shd w:val="clear" w:color="auto" w:fill="auto"/>
            <w:noWrap w:val="0"/>
            <w:vAlign w:val="center"/>
          </w:tcPr>
          <w:p w14:paraId="7186BDCA">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2B56D0EC">
            <w:pPr>
              <w:spacing w:line="360" w:lineRule="auto"/>
              <w:jc w:val="left"/>
              <w:rPr>
                <w:rFonts w:ascii="Times New Roman" w:hAnsi="Times New Roman" w:eastAsia="宋体" w:cs="Times New Roman"/>
                <w:sz w:val="24"/>
              </w:rPr>
            </w:pPr>
            <w:r>
              <w:rPr>
                <w:rFonts w:ascii="Times New Roman" w:hAnsi="Times New Roman" w:eastAsia="宋体" w:cs="Times New Roman"/>
                <w:sz w:val="24"/>
              </w:rPr>
              <w:t>份</w:t>
            </w:r>
          </w:p>
        </w:tc>
        <w:tc>
          <w:tcPr>
            <w:tcW w:w="2829" w:type="dxa"/>
            <w:gridSpan w:val="3"/>
            <w:shd w:val="clear" w:color="auto" w:fill="auto"/>
            <w:noWrap w:val="0"/>
            <w:vAlign w:val="center"/>
          </w:tcPr>
          <w:p w14:paraId="483748E1">
            <w:pPr>
              <w:spacing w:line="360" w:lineRule="auto"/>
              <w:jc w:val="left"/>
              <w:rPr>
                <w:rFonts w:ascii="Times New Roman" w:hAnsi="Times New Roman" w:eastAsia="宋体" w:cs="Times New Roman"/>
                <w:sz w:val="24"/>
              </w:rPr>
            </w:pPr>
          </w:p>
        </w:tc>
      </w:tr>
      <w:tr w14:paraId="0C8E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7BB73B67">
            <w:pPr>
              <w:spacing w:line="360" w:lineRule="auto"/>
              <w:jc w:val="left"/>
              <w:rPr>
                <w:rFonts w:ascii="Times New Roman" w:hAnsi="Times New Roman" w:eastAsia="宋体" w:cs="Times New Roman"/>
                <w:sz w:val="24"/>
              </w:rPr>
            </w:pPr>
            <w:r>
              <w:rPr>
                <w:rFonts w:ascii="Times New Roman" w:hAnsi="Times New Roman" w:eastAsia="宋体" w:cs="Times New Roman"/>
                <w:sz w:val="24"/>
              </w:rPr>
              <w:t>4</w:t>
            </w:r>
          </w:p>
        </w:tc>
        <w:tc>
          <w:tcPr>
            <w:tcW w:w="2242" w:type="dxa"/>
            <w:gridSpan w:val="2"/>
            <w:shd w:val="clear" w:color="auto" w:fill="auto"/>
            <w:noWrap w:val="0"/>
            <w:vAlign w:val="center"/>
          </w:tcPr>
          <w:p w14:paraId="4F47BCF4">
            <w:pPr>
              <w:spacing w:line="360" w:lineRule="auto"/>
              <w:jc w:val="left"/>
              <w:rPr>
                <w:rFonts w:ascii="Times New Roman" w:hAnsi="Times New Roman" w:eastAsia="宋体" w:cs="Times New Roman"/>
                <w:sz w:val="24"/>
              </w:rPr>
            </w:pPr>
            <w:r>
              <w:rPr>
                <w:rFonts w:ascii="Times New Roman" w:hAnsi="Times New Roman" w:eastAsia="宋体" w:cs="Times New Roman"/>
                <w:sz w:val="24"/>
              </w:rPr>
              <w:t>操作使用说明书</w:t>
            </w:r>
          </w:p>
        </w:tc>
        <w:tc>
          <w:tcPr>
            <w:tcW w:w="1227" w:type="dxa"/>
            <w:shd w:val="clear" w:color="auto" w:fill="auto"/>
            <w:noWrap w:val="0"/>
            <w:vAlign w:val="center"/>
          </w:tcPr>
          <w:p w14:paraId="72A3A556">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1D2C3219">
            <w:pPr>
              <w:spacing w:line="360" w:lineRule="auto"/>
              <w:jc w:val="left"/>
              <w:rPr>
                <w:rFonts w:ascii="Times New Roman" w:hAnsi="Times New Roman" w:eastAsia="宋体" w:cs="Times New Roman"/>
                <w:sz w:val="24"/>
              </w:rPr>
            </w:pPr>
            <w:r>
              <w:rPr>
                <w:rFonts w:ascii="Times New Roman" w:hAnsi="Times New Roman" w:eastAsia="宋体" w:cs="Times New Roman"/>
                <w:sz w:val="24"/>
              </w:rPr>
              <w:t>份</w:t>
            </w:r>
          </w:p>
        </w:tc>
        <w:tc>
          <w:tcPr>
            <w:tcW w:w="2829" w:type="dxa"/>
            <w:gridSpan w:val="3"/>
            <w:shd w:val="clear" w:color="auto" w:fill="auto"/>
            <w:noWrap w:val="0"/>
            <w:vAlign w:val="center"/>
          </w:tcPr>
          <w:p w14:paraId="11475659">
            <w:pPr>
              <w:spacing w:line="360" w:lineRule="auto"/>
              <w:jc w:val="left"/>
              <w:rPr>
                <w:rFonts w:ascii="Times New Roman" w:hAnsi="Times New Roman" w:eastAsia="宋体" w:cs="Times New Roman"/>
                <w:sz w:val="24"/>
              </w:rPr>
            </w:pPr>
            <w:r>
              <w:rPr>
                <w:rFonts w:ascii="Times New Roman" w:hAnsi="Times New Roman" w:eastAsia="宋体" w:cs="Times New Roman"/>
                <w:sz w:val="24"/>
              </w:rPr>
              <w:t>含主要试验的操作方法、主要设备的操作及注意事项</w:t>
            </w:r>
          </w:p>
        </w:tc>
      </w:tr>
      <w:tr w14:paraId="1F4E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2855E9D5">
            <w:pPr>
              <w:spacing w:line="360" w:lineRule="auto"/>
              <w:jc w:val="left"/>
              <w:rPr>
                <w:rFonts w:ascii="Times New Roman" w:hAnsi="Times New Roman" w:eastAsia="宋体" w:cs="Times New Roman"/>
                <w:sz w:val="24"/>
              </w:rPr>
            </w:pPr>
            <w:r>
              <w:rPr>
                <w:rFonts w:ascii="Times New Roman" w:hAnsi="Times New Roman" w:eastAsia="宋体" w:cs="Times New Roman"/>
                <w:sz w:val="24"/>
              </w:rPr>
              <w:t>5</w:t>
            </w:r>
          </w:p>
        </w:tc>
        <w:tc>
          <w:tcPr>
            <w:tcW w:w="2242" w:type="dxa"/>
            <w:gridSpan w:val="2"/>
            <w:shd w:val="clear" w:color="auto" w:fill="auto"/>
            <w:noWrap w:val="0"/>
            <w:vAlign w:val="center"/>
          </w:tcPr>
          <w:p w14:paraId="5986456C">
            <w:pPr>
              <w:spacing w:line="360" w:lineRule="auto"/>
              <w:jc w:val="left"/>
              <w:rPr>
                <w:rFonts w:ascii="Times New Roman" w:hAnsi="Times New Roman" w:eastAsia="宋体" w:cs="Times New Roman"/>
                <w:sz w:val="24"/>
              </w:rPr>
            </w:pPr>
            <w:r>
              <w:rPr>
                <w:rFonts w:ascii="Times New Roman" w:hAnsi="Times New Roman" w:eastAsia="宋体" w:cs="Times New Roman"/>
                <w:sz w:val="24"/>
              </w:rPr>
              <w:t>培训记录</w:t>
            </w:r>
          </w:p>
        </w:tc>
        <w:tc>
          <w:tcPr>
            <w:tcW w:w="1227" w:type="dxa"/>
            <w:shd w:val="clear" w:color="auto" w:fill="auto"/>
            <w:noWrap w:val="0"/>
            <w:vAlign w:val="center"/>
          </w:tcPr>
          <w:p w14:paraId="4535A4A4">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024450D4">
            <w:pPr>
              <w:spacing w:line="360" w:lineRule="auto"/>
              <w:jc w:val="left"/>
              <w:rPr>
                <w:rFonts w:ascii="Times New Roman" w:hAnsi="Times New Roman" w:eastAsia="宋体" w:cs="Times New Roman"/>
                <w:sz w:val="24"/>
              </w:rPr>
            </w:pPr>
            <w:r>
              <w:rPr>
                <w:rFonts w:ascii="Times New Roman" w:hAnsi="Times New Roman" w:eastAsia="宋体" w:cs="Times New Roman"/>
                <w:sz w:val="24"/>
              </w:rPr>
              <w:t>份</w:t>
            </w:r>
          </w:p>
        </w:tc>
        <w:tc>
          <w:tcPr>
            <w:tcW w:w="2829" w:type="dxa"/>
            <w:gridSpan w:val="3"/>
            <w:shd w:val="clear" w:color="auto" w:fill="auto"/>
            <w:noWrap w:val="0"/>
            <w:vAlign w:val="center"/>
          </w:tcPr>
          <w:p w14:paraId="6AA75A00">
            <w:pPr>
              <w:spacing w:line="360" w:lineRule="auto"/>
              <w:jc w:val="left"/>
              <w:rPr>
                <w:rFonts w:ascii="Times New Roman" w:hAnsi="Times New Roman" w:eastAsia="宋体" w:cs="Times New Roman"/>
                <w:sz w:val="24"/>
              </w:rPr>
            </w:pPr>
          </w:p>
        </w:tc>
      </w:tr>
      <w:tr w14:paraId="2A4F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616E535F">
            <w:pPr>
              <w:spacing w:line="360" w:lineRule="auto"/>
              <w:jc w:val="left"/>
              <w:rPr>
                <w:rFonts w:ascii="Times New Roman" w:hAnsi="Times New Roman" w:eastAsia="宋体" w:cs="Times New Roman"/>
                <w:sz w:val="24"/>
              </w:rPr>
            </w:pPr>
            <w:r>
              <w:rPr>
                <w:rFonts w:ascii="Times New Roman" w:hAnsi="Times New Roman" w:eastAsia="宋体" w:cs="Times New Roman"/>
                <w:sz w:val="24"/>
              </w:rPr>
              <w:t>6</w:t>
            </w:r>
          </w:p>
        </w:tc>
        <w:tc>
          <w:tcPr>
            <w:tcW w:w="2242" w:type="dxa"/>
            <w:gridSpan w:val="2"/>
            <w:shd w:val="clear" w:color="auto" w:fill="auto"/>
            <w:noWrap w:val="0"/>
            <w:vAlign w:val="center"/>
          </w:tcPr>
          <w:p w14:paraId="6188BBBF">
            <w:pPr>
              <w:spacing w:line="360" w:lineRule="auto"/>
              <w:jc w:val="left"/>
              <w:rPr>
                <w:rFonts w:ascii="Times New Roman" w:hAnsi="Times New Roman" w:eastAsia="宋体" w:cs="Times New Roman"/>
                <w:sz w:val="24"/>
              </w:rPr>
            </w:pPr>
            <w:r>
              <w:rPr>
                <w:rFonts w:ascii="Times New Roman" w:hAnsi="Times New Roman" w:eastAsia="宋体" w:cs="Times New Roman"/>
                <w:sz w:val="24"/>
              </w:rPr>
              <w:t>验收大纲</w:t>
            </w:r>
          </w:p>
        </w:tc>
        <w:tc>
          <w:tcPr>
            <w:tcW w:w="1227" w:type="dxa"/>
            <w:shd w:val="clear" w:color="auto" w:fill="auto"/>
            <w:noWrap w:val="0"/>
            <w:vAlign w:val="center"/>
          </w:tcPr>
          <w:p w14:paraId="61871B8D">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1598" w:type="dxa"/>
            <w:gridSpan w:val="2"/>
            <w:shd w:val="clear" w:color="auto" w:fill="auto"/>
            <w:noWrap w:val="0"/>
            <w:vAlign w:val="center"/>
          </w:tcPr>
          <w:p w14:paraId="0EC696C2">
            <w:pPr>
              <w:spacing w:line="360" w:lineRule="auto"/>
              <w:jc w:val="left"/>
              <w:rPr>
                <w:rFonts w:ascii="Times New Roman" w:hAnsi="Times New Roman" w:eastAsia="宋体" w:cs="Times New Roman"/>
                <w:sz w:val="24"/>
              </w:rPr>
            </w:pPr>
            <w:r>
              <w:rPr>
                <w:rFonts w:ascii="Times New Roman" w:hAnsi="Times New Roman" w:eastAsia="宋体" w:cs="Times New Roman"/>
                <w:sz w:val="24"/>
              </w:rPr>
              <w:t>份</w:t>
            </w:r>
          </w:p>
        </w:tc>
        <w:tc>
          <w:tcPr>
            <w:tcW w:w="2829" w:type="dxa"/>
            <w:gridSpan w:val="3"/>
            <w:shd w:val="clear" w:color="auto" w:fill="auto"/>
            <w:noWrap w:val="0"/>
            <w:vAlign w:val="center"/>
          </w:tcPr>
          <w:p w14:paraId="0D4E987E">
            <w:pPr>
              <w:spacing w:line="360" w:lineRule="auto"/>
              <w:jc w:val="left"/>
              <w:rPr>
                <w:rFonts w:ascii="Times New Roman" w:hAnsi="Times New Roman" w:eastAsia="宋体" w:cs="Times New Roman"/>
                <w:sz w:val="24"/>
              </w:rPr>
            </w:pPr>
          </w:p>
        </w:tc>
      </w:tr>
      <w:tr w14:paraId="14A8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shd w:val="clear" w:color="auto" w:fill="auto"/>
            <w:noWrap w:val="0"/>
            <w:vAlign w:val="center"/>
          </w:tcPr>
          <w:p w14:paraId="0E30AB2A">
            <w:pPr>
              <w:spacing w:line="360" w:lineRule="auto"/>
              <w:jc w:val="left"/>
              <w:rPr>
                <w:rFonts w:ascii="Times New Roman" w:hAnsi="Times New Roman" w:eastAsia="宋体" w:cs="Times New Roman"/>
                <w:sz w:val="24"/>
              </w:rPr>
            </w:pPr>
            <w:r>
              <w:rPr>
                <w:rFonts w:ascii="Times New Roman" w:hAnsi="Times New Roman" w:eastAsia="宋体" w:cs="Times New Roman"/>
                <w:sz w:val="24"/>
              </w:rPr>
              <w:t>7</w:t>
            </w:r>
          </w:p>
        </w:tc>
        <w:tc>
          <w:tcPr>
            <w:tcW w:w="2242" w:type="dxa"/>
            <w:gridSpan w:val="2"/>
            <w:shd w:val="clear" w:color="auto" w:fill="auto"/>
            <w:noWrap w:val="0"/>
            <w:vAlign w:val="center"/>
          </w:tcPr>
          <w:p w14:paraId="78A0C665">
            <w:pPr>
              <w:spacing w:line="360" w:lineRule="auto"/>
              <w:jc w:val="left"/>
              <w:rPr>
                <w:rFonts w:ascii="Times New Roman" w:hAnsi="Times New Roman" w:eastAsia="宋体" w:cs="Times New Roman"/>
                <w:sz w:val="24"/>
              </w:rPr>
            </w:pPr>
            <w:r>
              <w:rPr>
                <w:rFonts w:ascii="Times New Roman" w:hAnsi="Times New Roman" w:eastAsia="宋体" w:cs="Times New Roman"/>
                <w:sz w:val="24"/>
              </w:rPr>
              <w:t>其他文件</w:t>
            </w:r>
          </w:p>
        </w:tc>
        <w:tc>
          <w:tcPr>
            <w:tcW w:w="1227" w:type="dxa"/>
            <w:shd w:val="clear" w:color="auto" w:fill="auto"/>
            <w:noWrap w:val="0"/>
            <w:vAlign w:val="center"/>
          </w:tcPr>
          <w:p w14:paraId="0C43FFC5">
            <w:pPr>
              <w:spacing w:line="360" w:lineRule="auto"/>
              <w:jc w:val="left"/>
              <w:rPr>
                <w:rFonts w:ascii="Times New Roman" w:hAnsi="Times New Roman" w:eastAsia="宋体" w:cs="Times New Roman"/>
                <w:sz w:val="24"/>
              </w:rPr>
            </w:pPr>
          </w:p>
        </w:tc>
        <w:tc>
          <w:tcPr>
            <w:tcW w:w="1598" w:type="dxa"/>
            <w:gridSpan w:val="2"/>
            <w:shd w:val="clear" w:color="auto" w:fill="auto"/>
            <w:noWrap w:val="0"/>
            <w:vAlign w:val="center"/>
          </w:tcPr>
          <w:p w14:paraId="749031B1">
            <w:pPr>
              <w:spacing w:line="360" w:lineRule="auto"/>
              <w:jc w:val="left"/>
              <w:rPr>
                <w:rFonts w:ascii="Times New Roman" w:hAnsi="Times New Roman" w:eastAsia="宋体" w:cs="Times New Roman"/>
                <w:sz w:val="24"/>
              </w:rPr>
            </w:pPr>
          </w:p>
        </w:tc>
        <w:tc>
          <w:tcPr>
            <w:tcW w:w="2829" w:type="dxa"/>
            <w:gridSpan w:val="3"/>
            <w:shd w:val="clear" w:color="auto" w:fill="auto"/>
            <w:noWrap w:val="0"/>
            <w:vAlign w:val="center"/>
          </w:tcPr>
          <w:p w14:paraId="006A49C1">
            <w:pPr>
              <w:spacing w:line="360" w:lineRule="auto"/>
              <w:jc w:val="left"/>
              <w:rPr>
                <w:rFonts w:ascii="Times New Roman" w:hAnsi="Times New Roman" w:eastAsia="宋体" w:cs="Times New Roman"/>
                <w:sz w:val="24"/>
              </w:rPr>
            </w:pPr>
          </w:p>
        </w:tc>
      </w:tr>
      <w:tr w14:paraId="4EB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569" w:type="dxa"/>
            <w:gridSpan w:val="2"/>
            <w:shd w:val="clear" w:color="auto" w:fill="auto"/>
            <w:noWrap w:val="0"/>
            <w:vAlign w:val="center"/>
          </w:tcPr>
          <w:p w14:paraId="36681EDC">
            <w:pPr>
              <w:spacing w:line="360" w:lineRule="auto"/>
              <w:jc w:val="left"/>
              <w:rPr>
                <w:rFonts w:ascii="Times New Roman" w:hAnsi="Times New Roman" w:eastAsia="宋体" w:cs="Times New Roman"/>
                <w:sz w:val="24"/>
              </w:rPr>
            </w:pPr>
            <w:r>
              <w:rPr>
                <w:rFonts w:ascii="Times New Roman" w:hAnsi="Times New Roman" w:eastAsia="宋体" w:cs="Times New Roman"/>
                <w:sz w:val="24"/>
              </w:rPr>
              <w:t>现场</w:t>
            </w:r>
          </w:p>
          <w:p w14:paraId="4A7A40D2">
            <w:pPr>
              <w:spacing w:line="360" w:lineRule="auto"/>
              <w:jc w:val="left"/>
              <w:rPr>
                <w:rFonts w:ascii="Times New Roman" w:hAnsi="Times New Roman" w:eastAsia="宋体" w:cs="Times New Roman"/>
                <w:sz w:val="24"/>
              </w:rPr>
            </w:pPr>
            <w:r>
              <w:rPr>
                <w:rFonts w:ascii="Times New Roman" w:hAnsi="Times New Roman" w:eastAsia="宋体" w:cs="Times New Roman"/>
                <w:sz w:val="24"/>
              </w:rPr>
              <w:t>技术人员</w:t>
            </w:r>
          </w:p>
        </w:tc>
        <w:tc>
          <w:tcPr>
            <w:tcW w:w="1437" w:type="dxa"/>
            <w:shd w:val="clear" w:color="auto" w:fill="auto"/>
            <w:noWrap w:val="0"/>
            <w:vAlign w:val="center"/>
          </w:tcPr>
          <w:p w14:paraId="77E0C314">
            <w:pPr>
              <w:spacing w:line="360" w:lineRule="auto"/>
              <w:jc w:val="left"/>
              <w:rPr>
                <w:rFonts w:ascii="Times New Roman" w:hAnsi="Times New Roman" w:eastAsia="宋体" w:cs="Times New Roman"/>
                <w:sz w:val="24"/>
              </w:rPr>
            </w:pPr>
            <w:r>
              <w:rPr>
                <w:rFonts w:ascii="Times New Roman" w:hAnsi="Times New Roman" w:eastAsia="宋体" w:cs="Times New Roman"/>
                <w:sz w:val="24"/>
              </w:rPr>
              <w:t>（签字）</w:t>
            </w:r>
          </w:p>
        </w:tc>
        <w:tc>
          <w:tcPr>
            <w:tcW w:w="1675" w:type="dxa"/>
            <w:gridSpan w:val="2"/>
            <w:shd w:val="clear" w:color="auto" w:fill="auto"/>
            <w:noWrap w:val="0"/>
            <w:vAlign w:val="center"/>
          </w:tcPr>
          <w:p w14:paraId="632ED3B5">
            <w:pPr>
              <w:spacing w:line="360" w:lineRule="auto"/>
              <w:jc w:val="left"/>
              <w:rPr>
                <w:rFonts w:ascii="Times New Roman" w:hAnsi="Times New Roman" w:eastAsia="宋体" w:cs="Times New Roman"/>
                <w:sz w:val="24"/>
              </w:rPr>
            </w:pPr>
            <w:r>
              <w:rPr>
                <w:rFonts w:ascii="Times New Roman" w:hAnsi="Times New Roman" w:eastAsia="宋体" w:cs="Times New Roman"/>
                <w:sz w:val="24"/>
              </w:rPr>
              <w:t>业主确认</w:t>
            </w:r>
          </w:p>
        </w:tc>
        <w:tc>
          <w:tcPr>
            <w:tcW w:w="1538" w:type="dxa"/>
            <w:gridSpan w:val="2"/>
            <w:shd w:val="clear" w:color="auto" w:fill="auto"/>
            <w:noWrap w:val="0"/>
            <w:vAlign w:val="center"/>
          </w:tcPr>
          <w:p w14:paraId="3A9A265E">
            <w:pPr>
              <w:spacing w:line="360" w:lineRule="auto"/>
              <w:jc w:val="left"/>
              <w:rPr>
                <w:rFonts w:ascii="Times New Roman" w:hAnsi="Times New Roman" w:eastAsia="宋体" w:cs="Times New Roman"/>
                <w:sz w:val="24"/>
              </w:rPr>
            </w:pPr>
            <w:r>
              <w:rPr>
                <w:rFonts w:ascii="Times New Roman" w:hAnsi="Times New Roman" w:eastAsia="宋体" w:cs="Times New Roman"/>
                <w:sz w:val="24"/>
              </w:rPr>
              <w:t>（签字）</w:t>
            </w:r>
          </w:p>
        </w:tc>
        <w:tc>
          <w:tcPr>
            <w:tcW w:w="862" w:type="dxa"/>
            <w:shd w:val="clear" w:color="auto" w:fill="auto"/>
            <w:noWrap w:val="0"/>
            <w:vAlign w:val="center"/>
          </w:tcPr>
          <w:p w14:paraId="468CD327">
            <w:pPr>
              <w:spacing w:line="360" w:lineRule="auto"/>
              <w:jc w:val="left"/>
              <w:rPr>
                <w:rFonts w:ascii="Times New Roman" w:hAnsi="Times New Roman" w:eastAsia="宋体" w:cs="Times New Roman"/>
                <w:sz w:val="24"/>
              </w:rPr>
            </w:pPr>
            <w:r>
              <w:rPr>
                <w:rFonts w:ascii="Times New Roman" w:hAnsi="Times New Roman" w:eastAsia="宋体" w:cs="Times New Roman"/>
                <w:sz w:val="24"/>
              </w:rPr>
              <w:t>日期</w:t>
            </w:r>
          </w:p>
        </w:tc>
        <w:tc>
          <w:tcPr>
            <w:tcW w:w="1579" w:type="dxa"/>
            <w:shd w:val="clear" w:color="auto" w:fill="auto"/>
            <w:noWrap w:val="0"/>
            <w:vAlign w:val="center"/>
          </w:tcPr>
          <w:p w14:paraId="7C5AA74D">
            <w:pPr>
              <w:spacing w:line="360" w:lineRule="auto"/>
              <w:jc w:val="left"/>
              <w:rPr>
                <w:rFonts w:ascii="Times New Roman" w:hAnsi="Times New Roman" w:eastAsia="宋体" w:cs="Times New Roman"/>
                <w:sz w:val="24"/>
              </w:rPr>
            </w:pPr>
          </w:p>
        </w:tc>
      </w:tr>
    </w:tbl>
    <w:p w14:paraId="5D769D00">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项目的调试验收大纲，经由</w:t>
      </w:r>
      <w:r>
        <w:rPr>
          <w:rFonts w:hint="eastAsia" w:ascii="Times New Roman" w:hAnsi="Times New Roman" w:eastAsia="宋体" w:cs="Times New Roman"/>
          <w:sz w:val="24"/>
        </w:rPr>
        <w:t>卖方</w:t>
      </w:r>
      <w:r>
        <w:rPr>
          <w:rFonts w:ascii="Times New Roman" w:hAnsi="Times New Roman" w:eastAsia="宋体" w:cs="Times New Roman"/>
          <w:sz w:val="24"/>
        </w:rPr>
        <w:t>细化形成调试验收计划或实施细则后，由</w:t>
      </w:r>
      <w:r>
        <w:rPr>
          <w:rFonts w:hint="eastAsia" w:ascii="Times New Roman" w:hAnsi="Times New Roman" w:eastAsia="宋体" w:cs="Times New Roman"/>
          <w:sz w:val="24"/>
        </w:rPr>
        <w:t>买方</w:t>
      </w:r>
      <w:r>
        <w:rPr>
          <w:rFonts w:ascii="Times New Roman" w:hAnsi="Times New Roman" w:eastAsia="宋体" w:cs="Times New Roman"/>
          <w:sz w:val="24"/>
        </w:rPr>
        <w:t>审定同意后即可实施。实施的各记录表格需有</w:t>
      </w:r>
      <w:r>
        <w:rPr>
          <w:rFonts w:hint="eastAsia" w:ascii="Times New Roman" w:hAnsi="Times New Roman" w:eastAsia="宋体" w:cs="Times New Roman"/>
          <w:sz w:val="24"/>
        </w:rPr>
        <w:t>买方</w:t>
      </w:r>
      <w:r>
        <w:rPr>
          <w:rFonts w:ascii="Times New Roman" w:hAnsi="Times New Roman" w:eastAsia="宋体" w:cs="Times New Roman"/>
          <w:sz w:val="24"/>
        </w:rPr>
        <w:t>或使用方人员的签字确认。</w:t>
      </w:r>
    </w:p>
    <w:p w14:paraId="3246B760">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各检验表格与试验记录是验收报告不可或缺的一部分。待形成完整的验收报告后，由</w:t>
      </w:r>
      <w:r>
        <w:rPr>
          <w:rFonts w:hint="eastAsia" w:ascii="Times New Roman" w:hAnsi="Times New Roman" w:eastAsia="宋体" w:cs="Times New Roman"/>
          <w:sz w:val="24"/>
        </w:rPr>
        <w:t>买方</w:t>
      </w:r>
      <w:r>
        <w:rPr>
          <w:rFonts w:ascii="Times New Roman" w:hAnsi="Times New Roman" w:eastAsia="宋体" w:cs="Times New Roman"/>
          <w:sz w:val="24"/>
        </w:rPr>
        <w:t>、</w:t>
      </w:r>
      <w:r>
        <w:rPr>
          <w:rFonts w:hint="eastAsia" w:ascii="Times New Roman" w:hAnsi="Times New Roman" w:eastAsia="宋体" w:cs="Times New Roman"/>
          <w:sz w:val="24"/>
        </w:rPr>
        <w:t>卖方</w:t>
      </w:r>
      <w:r>
        <w:rPr>
          <w:rFonts w:ascii="Times New Roman" w:hAnsi="Times New Roman" w:eastAsia="宋体" w:cs="Times New Roman"/>
          <w:sz w:val="24"/>
        </w:rPr>
        <w:t>、监理（若有）三方签字认可后，即认为验收通过。</w:t>
      </w:r>
    </w:p>
    <w:p w14:paraId="5513E398">
      <w:pPr>
        <w:spacing w:line="360" w:lineRule="auto"/>
        <w:ind w:firstLine="480" w:firstLineChars="200"/>
        <w:jc w:val="left"/>
        <w:rPr>
          <w:rFonts w:ascii="Times New Roman" w:hAnsi="Times New Roman" w:eastAsia="宋体" w:cs="Times New Roman"/>
          <w:sz w:val="24"/>
        </w:rPr>
      </w:pPr>
    </w:p>
    <w:p w14:paraId="23EAAC1F">
      <w:pPr>
        <w:pStyle w:val="2"/>
        <w:numPr>
          <w:ilvl w:val="0"/>
          <w:numId w:val="2"/>
        </w:numPr>
        <w:tabs>
          <w:tab w:val="left" w:pos="360"/>
        </w:tabs>
        <w:spacing w:before="120" w:line="360" w:lineRule="auto"/>
        <w:ind w:left="425" w:hanging="425"/>
        <w:jc w:val="left"/>
        <w:rPr>
          <w:rFonts w:hAnsi="Times New Roman" w:eastAsia="宋体" w:cs="Times New Roman"/>
          <w:sz w:val="24"/>
        </w:rPr>
      </w:pPr>
      <w:bookmarkStart w:id="44" w:name="_Toc8029"/>
      <w:r>
        <w:rPr>
          <w:rFonts w:hAnsi="Times New Roman" w:eastAsia="宋体" w:cs="Times New Roman"/>
          <w:sz w:val="24"/>
        </w:rPr>
        <w:t>服务要求</w:t>
      </w:r>
      <w:bookmarkEnd w:id="44"/>
    </w:p>
    <w:p w14:paraId="0AA1A0E1">
      <w:pPr>
        <w:pStyle w:val="3"/>
        <w:numPr>
          <w:ilvl w:val="1"/>
          <w:numId w:val="2"/>
        </w:numPr>
        <w:tabs>
          <w:tab w:val="left" w:pos="360"/>
        </w:tabs>
        <w:spacing w:after="120" w:line="360" w:lineRule="auto"/>
        <w:ind w:left="992" w:firstLine="0"/>
        <w:jc w:val="left"/>
        <w:rPr>
          <w:rFonts w:ascii="Times New Roman" w:hAnsi="Times New Roman" w:eastAsia="宋体" w:cs="Times New Roman"/>
          <w:sz w:val="24"/>
        </w:rPr>
      </w:pPr>
      <w:bookmarkStart w:id="45" w:name="_Toc6183"/>
      <w:r>
        <w:rPr>
          <w:rFonts w:ascii="Times New Roman" w:hAnsi="Times New Roman" w:eastAsia="宋体" w:cs="Times New Roman"/>
          <w:sz w:val="24"/>
        </w:rPr>
        <w:t>供货要求：</w:t>
      </w:r>
      <w:bookmarkEnd w:id="45"/>
    </w:p>
    <w:p w14:paraId="6491D640">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.1.1总则</w:t>
      </w:r>
    </w:p>
    <w:p w14:paraId="7F7E8A2B">
      <w:pPr>
        <w:spacing w:line="360" w:lineRule="auto"/>
        <w:ind w:firstLine="480" w:firstLineChars="200"/>
        <w:jc w:val="left"/>
        <w:rPr>
          <w:rFonts w:ascii="Times New Roman" w:hAnsi="Times New Roman" w:eastAsia="宋体" w:cs="Times New Roman"/>
          <w:sz w:val="24"/>
        </w:rPr>
      </w:pPr>
      <w:bookmarkStart w:id="46" w:name="_Hlk109489650"/>
      <w:r>
        <w:rPr>
          <w:rFonts w:hint="eastAsia" w:ascii="Times New Roman" w:hAnsi="Times New Roman" w:eastAsia="宋体" w:cs="Times New Roman"/>
          <w:sz w:val="24"/>
        </w:rPr>
        <w:t>该项目主要建设基于百千瓦强流质子超导直线加速器的精准放疗用α-同位素药物研发平台，将建成国际上首台完全创新的能够大幅度提高α放射性同位素产额和纯度的研发装置。</w:t>
      </w:r>
    </w:p>
    <w:p w14:paraId="5C82ED34">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对本设备采购及供货要求，中标人需严格执行设备采购技术文件要求。</w:t>
      </w:r>
    </w:p>
    <w:bookmarkEnd w:id="46"/>
    <w:p w14:paraId="69323FC8">
      <w:pPr>
        <w:spacing w:line="360" w:lineRule="auto"/>
        <w:ind w:firstLine="480" w:firstLineChars="200"/>
        <w:jc w:val="left"/>
        <w:rPr>
          <w:rFonts w:ascii="Times New Roman" w:hAnsi="Times New Roman" w:eastAsia="宋体" w:cs="Times New Roman"/>
          <w:sz w:val="24"/>
        </w:rPr>
      </w:pPr>
      <w:bookmarkStart w:id="47" w:name="_Hlk109489769"/>
      <w:r>
        <w:rPr>
          <w:rFonts w:ascii="Times New Roman" w:hAnsi="Times New Roman" w:eastAsia="宋体" w:cs="Times New Roman"/>
          <w:sz w:val="24"/>
        </w:rPr>
        <w:t>采购技术文件提出了上述设备和材料的一些技术要求，验收过程必须完全符合其要求，否则视为验收不合格。</w:t>
      </w:r>
    </w:p>
    <w:bookmarkEnd w:id="47"/>
    <w:p w14:paraId="19F12B6A">
      <w:pPr>
        <w:spacing w:line="360" w:lineRule="auto"/>
        <w:ind w:firstLine="480" w:firstLineChars="200"/>
        <w:jc w:val="left"/>
        <w:rPr>
          <w:rFonts w:ascii="Times New Roman" w:hAnsi="Times New Roman" w:eastAsia="宋体" w:cs="Times New Roman"/>
          <w:sz w:val="24"/>
        </w:rPr>
      </w:pPr>
      <w:bookmarkStart w:id="48" w:name="_Hlk109489856"/>
      <w:r>
        <w:rPr>
          <w:rFonts w:ascii="Times New Roman" w:hAnsi="Times New Roman" w:eastAsia="宋体" w:cs="Times New Roman"/>
          <w:sz w:val="24"/>
        </w:rPr>
        <w:t>采购技术文件提出的是最低限度的技术要求，并未对一切技术细节作出规定，也未充分引述有关标准和规范的条文，卖方应提供符合有关最新版本的标准和本规范书的优质产品。</w:t>
      </w:r>
      <w:bookmarkEnd w:id="48"/>
    </w:p>
    <w:p w14:paraId="47F33A1E">
      <w:pPr>
        <w:spacing w:line="360" w:lineRule="auto"/>
        <w:ind w:firstLine="480" w:firstLineChars="200"/>
        <w:jc w:val="left"/>
        <w:rPr>
          <w:rFonts w:ascii="Times New Roman" w:hAnsi="Times New Roman" w:eastAsia="宋体" w:cs="Times New Roman"/>
          <w:sz w:val="24"/>
        </w:rPr>
      </w:pPr>
      <w:bookmarkStart w:id="49" w:name="_Hlk109489888"/>
      <w:r>
        <w:rPr>
          <w:rFonts w:ascii="Times New Roman" w:hAnsi="Times New Roman" w:eastAsia="宋体" w:cs="Times New Roman"/>
          <w:sz w:val="24"/>
        </w:rPr>
        <w:t>招标文件所引用的标准如遇与卖方所执行的标准发生矛盾时，按较高标准执行。</w:t>
      </w:r>
    </w:p>
    <w:p w14:paraId="0EE8CFC1">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采购技术文件作为合同附件，与合同正文具有同等的法律效力。</w:t>
      </w:r>
    </w:p>
    <w:p w14:paraId="3E554997">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采购技术文件未尽事宜，由买卖双方协商确定。</w:t>
      </w:r>
    </w:p>
    <w:bookmarkEnd w:id="49"/>
    <w:p w14:paraId="4F841E05">
      <w:pPr>
        <w:spacing w:line="360" w:lineRule="auto"/>
        <w:ind w:firstLine="480" w:firstLineChars="200"/>
        <w:jc w:val="left"/>
        <w:rPr>
          <w:rFonts w:ascii="Times New Roman" w:hAnsi="Times New Roman" w:eastAsia="宋体" w:cs="Times New Roman"/>
          <w:sz w:val="24"/>
        </w:rPr>
      </w:pPr>
      <w:bookmarkStart w:id="50" w:name="_Hlk109489921"/>
      <w:r>
        <w:rPr>
          <w:rFonts w:hint="eastAsia" w:ascii="Times New Roman" w:hAnsi="Times New Roman" w:eastAsia="宋体" w:cs="Times New Roman"/>
          <w:sz w:val="24"/>
        </w:rPr>
        <w:t>5</w:t>
      </w:r>
      <w:r>
        <w:rPr>
          <w:rFonts w:ascii="Times New Roman" w:hAnsi="Times New Roman" w:eastAsia="宋体" w:cs="Times New Roman"/>
          <w:sz w:val="24"/>
        </w:rPr>
        <w:t>.1.2所遵循的标准及质量保证</w:t>
      </w:r>
    </w:p>
    <w:p w14:paraId="43F50F5B">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7E3EB1F">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投标人提供的所有技术文件中的技术指标除非在技术规格中另作规定外,均应使用相应的国际先进标准、中国国家标准、各行业的相应标准、国际标准化组织标准。</w:t>
      </w:r>
    </w:p>
    <w:p w14:paraId="6F479F76">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投标人所提供货物的设计、制造、产品性能、材料的选择和材料的检验及产品的测试等,都应按国内外通行的现行标准和相应的技术规范执行。而这些标准和技术规范应为合同签字日为止最新公布发行的标准和技术规范。</w:t>
      </w:r>
    </w:p>
    <w:p w14:paraId="4DCF88C0">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投标人提供货物所使用的度量衡单位除技术规格中另有规定外，应统一用公制单位。</w:t>
      </w:r>
    </w:p>
    <w:p w14:paraId="1F99B6DA">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为便于用户进行接收仪器的准备工作，卖方应在合同生效后60天内向用户提供一套完整的使用说明书、操作手册、维修说明等文件。另一套完整上述资料应在交货时随货包装提供给用户，这些费用应计入投标价中。</w:t>
      </w:r>
    </w:p>
    <w:p w14:paraId="2A35D25A">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关于设备的调试，如果有必要的准备条件，卖方应在合同生效后一个月内向买方提出详细的要求或计划。调试的费用应计入投标价中，并应单独列出，供评标使用。</w:t>
      </w:r>
    </w:p>
    <w:p w14:paraId="6BDDAF21">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制造厂家提供的培训指的是涉及货物的基本原理、操作使用和保养维修等有关内容的培训。培训教员的培训费、旅费、食宿费等费用和培训场地费及培训资料费均应由卖方支付。</w:t>
      </w:r>
    </w:p>
    <w:p w14:paraId="277F2AC9">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在评标过程中，买方有权向投标人索取任何与评标有关的资料，投标人务必在接到此类要求后，在规定时间内予以答复。对于无答复的投标人，买方有权拒绝其投标。</w:t>
      </w:r>
    </w:p>
    <w:p w14:paraId="42E15EA4">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所有设备生产前，其配置要经过使用单位审核通过后方可进行。</w:t>
      </w:r>
    </w:p>
    <w:bookmarkEnd w:id="50"/>
    <w:p w14:paraId="23EE3B0D">
      <w:pPr>
        <w:pStyle w:val="3"/>
        <w:numPr>
          <w:ilvl w:val="1"/>
          <w:numId w:val="2"/>
        </w:numPr>
        <w:tabs>
          <w:tab w:val="left" w:pos="360"/>
        </w:tabs>
        <w:spacing w:after="120" w:line="360" w:lineRule="auto"/>
        <w:ind w:left="992" w:firstLine="0"/>
        <w:jc w:val="left"/>
        <w:rPr>
          <w:rFonts w:ascii="Times New Roman" w:hAnsi="Times New Roman" w:eastAsia="宋体" w:cs="Times New Roman"/>
          <w:sz w:val="24"/>
        </w:rPr>
      </w:pPr>
      <w:bookmarkStart w:id="51" w:name="_Toc12793"/>
      <w:r>
        <w:rPr>
          <w:rFonts w:ascii="Times New Roman" w:hAnsi="Times New Roman" w:eastAsia="宋体" w:cs="Times New Roman"/>
          <w:sz w:val="24"/>
        </w:rPr>
        <w:t>安装调试：</w:t>
      </w:r>
      <w:bookmarkEnd w:id="51"/>
    </w:p>
    <w:p w14:paraId="2382AF36">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.2.1总体要求</w:t>
      </w:r>
    </w:p>
    <w:p w14:paraId="2C506633">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1）乙方接到甲方通知后10个工作日内将货物送至甲方指定地点（一般为项目所在地），当乙方所提供设备运抵现场后，在双方约定时间内，须由甲方、乙方等双方组成的验收小组，对乙方提供设备的外观和数量进行验收和核实。</w:t>
      </w:r>
    </w:p>
    <w:p w14:paraId="72357E3F">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（2）开箱验收：甲方查看所供产品是否与合同内容（数量与型号）一致；</w:t>
      </w:r>
    </w:p>
    <w:p w14:paraId="634CCFD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（3）如果设备和材料的任一零部件经检验和试验后，不符合设计要求及合同技术附件中的规定，卖方应消除其缺陷，直至产品合格获得满意结果为止。</w:t>
      </w:r>
    </w:p>
    <w:p w14:paraId="2984144A">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.2.2验收标准</w:t>
      </w:r>
    </w:p>
    <w:p w14:paraId="15C0087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设备到达施工现场具备验收条件后4小时（工作时间）内，由甲方组织开始现场验收，若验收合格，则由甲乙双方签署现场验收合格证明文件，此合格证明文件为现场验收通过且作为已交货的凭证。</w:t>
      </w:r>
    </w:p>
    <w:p w14:paraId="344DA2E7">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.2.3最终验收</w:t>
      </w:r>
    </w:p>
    <w:p w14:paraId="47A7BCF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（1）现场验收合格后，乙方负责对所供设备和系统进行安装，安装完毕以后，由乙方负责并组织有甲方代表、设备供应商等参加的现场调试。调试按照乙方编制、甲方审核同意的调试方案进行。</w:t>
      </w:r>
    </w:p>
    <w:p w14:paraId="0E6CC18D">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（2）安装调试验收首先对设备进行性能检查，乙方负责提供设备的调试记录表，由甲方代表逐个签署验收。</w:t>
      </w:r>
    </w:p>
    <w:p w14:paraId="10810324">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（3）验收过程中，如发现任何设备存在质量问题、或单体设备或系统性能不能满足工艺设计要求，乙方须尽快修改、调整或更换，直至满足规定要求为止。期间发生的所有费用由乙方负责。</w:t>
      </w:r>
    </w:p>
    <w:p w14:paraId="2ED741D7">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（4）所有设备质量和性能满足规定要求；系统性能指标符合设计要求、运转正常；文件资料完整齐全视为安装调试验收合格。安装调试验收合格后，无故障运行2个月，视为最终验收合格。</w:t>
      </w:r>
    </w:p>
    <w:p w14:paraId="2B7365C4">
      <w:pPr>
        <w:pStyle w:val="3"/>
        <w:numPr>
          <w:ilvl w:val="1"/>
          <w:numId w:val="2"/>
        </w:numPr>
        <w:tabs>
          <w:tab w:val="left" w:pos="360"/>
        </w:tabs>
        <w:spacing w:after="120" w:line="360" w:lineRule="auto"/>
        <w:ind w:left="992" w:firstLine="0"/>
        <w:jc w:val="left"/>
        <w:rPr>
          <w:rFonts w:ascii="Times New Roman" w:hAnsi="Times New Roman" w:eastAsia="宋体" w:cs="Times New Roman"/>
          <w:sz w:val="24"/>
        </w:rPr>
      </w:pPr>
      <w:bookmarkStart w:id="52" w:name="_Toc18848"/>
      <w:r>
        <w:rPr>
          <w:rFonts w:ascii="Times New Roman" w:hAnsi="Times New Roman" w:eastAsia="宋体" w:cs="Times New Roman"/>
          <w:sz w:val="24"/>
        </w:rPr>
        <w:t>保修期及响应时间：</w:t>
      </w:r>
      <w:bookmarkEnd w:id="52"/>
    </w:p>
    <w:p w14:paraId="75112895">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产品实行“三包”，质量保证期为设备验收合格后12个月。在质保期内，如因产品质量出现问题，乙方应在接到通知后2小时内做出明确答复，24小时内赶到使用现场，免费维修；</w:t>
      </w:r>
    </w:p>
    <w:p w14:paraId="71CC8FF4">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超过保修期后，产品在运行中出现甲方不能处理的问题时，乙方售后服务人员在接到通知后应在2小时内做出明确答复，24小时内赶到使用现场解决问题；</w:t>
      </w:r>
    </w:p>
    <w:p w14:paraId="44FE07C3">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实行终身服务，以最优惠的价格长期提供易损件和零配件；</w:t>
      </w:r>
    </w:p>
    <w:p w14:paraId="01E98FF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质保期内，乙方须免费提供技术支持、人员培训、设备调试等服务。</w:t>
      </w:r>
    </w:p>
    <w:p w14:paraId="40044A07">
      <w:pPr>
        <w:pStyle w:val="3"/>
        <w:numPr>
          <w:ilvl w:val="1"/>
          <w:numId w:val="5"/>
        </w:numPr>
        <w:tabs>
          <w:tab w:val="left" w:pos="360"/>
        </w:tabs>
        <w:spacing w:after="120" w:line="360" w:lineRule="auto"/>
        <w:ind w:left="992" w:firstLine="0"/>
        <w:jc w:val="left"/>
        <w:rPr>
          <w:rFonts w:ascii="Times New Roman" w:hAnsi="Times New Roman" w:eastAsia="宋体" w:cs="Times New Roman"/>
          <w:sz w:val="24"/>
        </w:rPr>
      </w:pPr>
      <w:bookmarkStart w:id="53" w:name="_Toc11468"/>
      <w:r>
        <w:rPr>
          <w:rFonts w:ascii="Times New Roman" w:hAnsi="Times New Roman" w:eastAsia="宋体" w:cs="Times New Roman"/>
          <w:sz w:val="24"/>
        </w:rPr>
        <w:t>其他要求：</w:t>
      </w:r>
      <w:bookmarkEnd w:id="53"/>
    </w:p>
    <w:p w14:paraId="3C682F6F">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w:t>
      </w:r>
      <w:r>
        <w:rPr>
          <w:rFonts w:hint="eastAsia" w:ascii="Times New Roman" w:hAnsi="Times New Roman" w:eastAsia="宋体" w:cs="Times New Roman"/>
          <w:sz w:val="24"/>
        </w:rPr>
        <w:t>4</w:t>
      </w:r>
      <w:r>
        <w:rPr>
          <w:rFonts w:ascii="Times New Roman" w:hAnsi="Times New Roman" w:eastAsia="宋体" w:cs="Times New Roman"/>
          <w:sz w:val="24"/>
        </w:rPr>
        <w:t>.1附件、备件和消耗品</w:t>
      </w:r>
    </w:p>
    <w:p w14:paraId="51B6E409">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供货方须提供保证正常运行所必须的附件、备件、工具和消耗品等。</w:t>
      </w:r>
    </w:p>
    <w:p w14:paraId="3E61FE50">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供货方还须保证，在保修期满后以优惠价格供应维持设备正常运转所必需的附件、备件及相应技术图纸等资料、工具和消耗品等。</w:t>
      </w:r>
    </w:p>
    <w:p w14:paraId="63E39B96">
      <w:pPr>
        <w:spacing w:line="360" w:lineRule="auto"/>
        <w:ind w:firstLine="480" w:firstLineChars="200"/>
        <w:jc w:val="left"/>
        <w:rPr>
          <w:rFonts w:ascii="Times New Roman" w:hAnsi="Times New Roman" w:eastAsia="宋体" w:cs="Times New Roman"/>
          <w:sz w:val="24"/>
        </w:rPr>
      </w:pPr>
      <w:r>
        <w:rPr>
          <w:rFonts w:hint="eastAsia" w:ascii="Times New Roman" w:hAnsi="Times New Roman" w:eastAsia="宋体" w:cs="Times New Roman"/>
          <w:sz w:val="24"/>
        </w:rPr>
        <w:t>5</w:t>
      </w:r>
      <w:r>
        <w:rPr>
          <w:rFonts w:ascii="Times New Roman" w:hAnsi="Times New Roman" w:eastAsia="宋体" w:cs="Times New Roman"/>
          <w:sz w:val="24"/>
        </w:rPr>
        <w:t>.</w:t>
      </w:r>
      <w:r>
        <w:rPr>
          <w:rFonts w:hint="eastAsia" w:ascii="Times New Roman" w:hAnsi="Times New Roman" w:eastAsia="宋体" w:cs="Times New Roman"/>
          <w:sz w:val="24"/>
        </w:rPr>
        <w:t>4</w:t>
      </w:r>
      <w:r>
        <w:rPr>
          <w:rFonts w:ascii="Times New Roman" w:hAnsi="Times New Roman" w:eastAsia="宋体" w:cs="Times New Roman"/>
          <w:sz w:val="24"/>
        </w:rPr>
        <w:t>.2技术附件清单（出厂随机材料）</w:t>
      </w:r>
    </w:p>
    <w:p w14:paraId="19A69BCE">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设备到货验收时根据具体设备情况出具以下随机材料。</w:t>
      </w:r>
    </w:p>
    <w:tbl>
      <w:tblPr>
        <w:tblStyle w:val="7"/>
        <w:tblW w:w="8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5799"/>
        <w:gridCol w:w="1451"/>
      </w:tblGrid>
      <w:tr w14:paraId="7AF0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1020DB57">
            <w:pPr>
              <w:spacing w:line="360" w:lineRule="auto"/>
              <w:jc w:val="left"/>
              <w:rPr>
                <w:rFonts w:ascii="Times New Roman" w:hAnsi="Times New Roman" w:eastAsia="宋体" w:cs="Times New Roman"/>
                <w:sz w:val="24"/>
              </w:rPr>
            </w:pPr>
            <w:r>
              <w:rPr>
                <w:rFonts w:ascii="Times New Roman" w:hAnsi="Times New Roman" w:eastAsia="宋体" w:cs="Times New Roman"/>
                <w:sz w:val="24"/>
              </w:rPr>
              <w:t>序号</w:t>
            </w:r>
          </w:p>
        </w:tc>
        <w:tc>
          <w:tcPr>
            <w:tcW w:w="5799" w:type="dxa"/>
            <w:noWrap w:val="0"/>
            <w:vAlign w:val="center"/>
          </w:tcPr>
          <w:p w14:paraId="376E32B9">
            <w:pPr>
              <w:spacing w:line="360" w:lineRule="auto"/>
              <w:jc w:val="left"/>
              <w:rPr>
                <w:rFonts w:ascii="Times New Roman" w:hAnsi="Times New Roman" w:eastAsia="宋体" w:cs="Times New Roman"/>
                <w:sz w:val="24"/>
              </w:rPr>
            </w:pPr>
            <w:r>
              <w:rPr>
                <w:rFonts w:ascii="Times New Roman" w:hAnsi="Times New Roman" w:eastAsia="宋体" w:cs="Times New Roman"/>
                <w:sz w:val="24"/>
              </w:rPr>
              <w:t>文件名称</w:t>
            </w:r>
          </w:p>
        </w:tc>
        <w:tc>
          <w:tcPr>
            <w:tcW w:w="1451" w:type="dxa"/>
            <w:noWrap w:val="0"/>
            <w:vAlign w:val="center"/>
          </w:tcPr>
          <w:p w14:paraId="528F47A5">
            <w:pPr>
              <w:spacing w:line="360" w:lineRule="auto"/>
              <w:jc w:val="left"/>
              <w:rPr>
                <w:rFonts w:ascii="Times New Roman" w:hAnsi="Times New Roman" w:eastAsia="宋体" w:cs="Times New Roman"/>
                <w:sz w:val="24"/>
              </w:rPr>
            </w:pPr>
            <w:r>
              <w:rPr>
                <w:rFonts w:ascii="Times New Roman" w:hAnsi="Times New Roman" w:eastAsia="宋体" w:cs="Times New Roman"/>
                <w:sz w:val="24"/>
              </w:rPr>
              <w:t>文件份数</w:t>
            </w:r>
          </w:p>
        </w:tc>
      </w:tr>
      <w:tr w14:paraId="0B75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6476B7EB">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c>
          <w:tcPr>
            <w:tcW w:w="5799" w:type="dxa"/>
            <w:noWrap w:val="0"/>
            <w:vAlign w:val="center"/>
          </w:tcPr>
          <w:p w14:paraId="620C1972">
            <w:pPr>
              <w:spacing w:line="360" w:lineRule="auto"/>
              <w:jc w:val="left"/>
              <w:rPr>
                <w:rFonts w:ascii="Times New Roman" w:hAnsi="Times New Roman" w:eastAsia="宋体" w:cs="Times New Roman"/>
                <w:sz w:val="24"/>
              </w:rPr>
            </w:pPr>
            <w:r>
              <w:rPr>
                <w:rFonts w:ascii="Times New Roman" w:hAnsi="Times New Roman" w:eastAsia="宋体" w:cs="Times New Roman"/>
                <w:sz w:val="24"/>
              </w:rPr>
              <w:t>设备装箱单（中转站签字盖章的复印件）</w:t>
            </w:r>
          </w:p>
        </w:tc>
        <w:tc>
          <w:tcPr>
            <w:tcW w:w="1451" w:type="dxa"/>
            <w:noWrap w:val="0"/>
            <w:vAlign w:val="center"/>
          </w:tcPr>
          <w:p w14:paraId="1422BB5A">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149F2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2DD75577">
            <w:pPr>
              <w:spacing w:line="360" w:lineRule="auto"/>
              <w:jc w:val="left"/>
              <w:rPr>
                <w:rFonts w:ascii="Times New Roman" w:hAnsi="Times New Roman" w:eastAsia="宋体" w:cs="Times New Roman"/>
                <w:sz w:val="24"/>
              </w:rPr>
            </w:pPr>
            <w:r>
              <w:rPr>
                <w:rFonts w:ascii="Times New Roman" w:hAnsi="Times New Roman" w:eastAsia="宋体" w:cs="Times New Roman"/>
                <w:sz w:val="24"/>
              </w:rPr>
              <w:t>2</w:t>
            </w:r>
          </w:p>
        </w:tc>
        <w:tc>
          <w:tcPr>
            <w:tcW w:w="5799" w:type="dxa"/>
            <w:noWrap w:val="0"/>
            <w:vAlign w:val="center"/>
          </w:tcPr>
          <w:p w14:paraId="60B1301F">
            <w:pPr>
              <w:spacing w:line="360" w:lineRule="auto"/>
              <w:jc w:val="left"/>
              <w:rPr>
                <w:rFonts w:ascii="Times New Roman" w:hAnsi="Times New Roman" w:eastAsia="宋体" w:cs="Times New Roman"/>
                <w:sz w:val="24"/>
              </w:rPr>
            </w:pPr>
            <w:r>
              <w:rPr>
                <w:rFonts w:ascii="Times New Roman" w:hAnsi="Times New Roman" w:eastAsia="宋体" w:cs="Times New Roman"/>
                <w:sz w:val="24"/>
              </w:rPr>
              <w:t>出厂合格证（原件）</w:t>
            </w:r>
          </w:p>
        </w:tc>
        <w:tc>
          <w:tcPr>
            <w:tcW w:w="1451" w:type="dxa"/>
            <w:noWrap w:val="0"/>
            <w:vAlign w:val="center"/>
          </w:tcPr>
          <w:p w14:paraId="01E65D10">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3921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220816B3">
            <w:pPr>
              <w:spacing w:line="360" w:lineRule="auto"/>
              <w:jc w:val="left"/>
              <w:rPr>
                <w:rFonts w:ascii="Times New Roman" w:hAnsi="Times New Roman" w:eastAsia="宋体" w:cs="Times New Roman"/>
                <w:sz w:val="24"/>
              </w:rPr>
            </w:pPr>
            <w:r>
              <w:rPr>
                <w:rFonts w:ascii="Times New Roman" w:hAnsi="Times New Roman" w:eastAsia="宋体" w:cs="Times New Roman"/>
                <w:sz w:val="24"/>
              </w:rPr>
              <w:t>3</w:t>
            </w:r>
          </w:p>
        </w:tc>
        <w:tc>
          <w:tcPr>
            <w:tcW w:w="5799" w:type="dxa"/>
            <w:noWrap w:val="0"/>
            <w:vAlign w:val="center"/>
          </w:tcPr>
          <w:p w14:paraId="7506CA40">
            <w:pPr>
              <w:spacing w:line="360" w:lineRule="auto"/>
              <w:jc w:val="left"/>
              <w:rPr>
                <w:rFonts w:ascii="Times New Roman" w:hAnsi="Times New Roman" w:eastAsia="宋体" w:cs="Times New Roman"/>
                <w:sz w:val="24"/>
              </w:rPr>
            </w:pPr>
            <w:r>
              <w:rPr>
                <w:rFonts w:ascii="Times New Roman" w:hAnsi="Times New Roman" w:eastAsia="宋体" w:cs="Times New Roman"/>
                <w:sz w:val="24"/>
              </w:rPr>
              <w:t>出厂质量说明书（原件）</w:t>
            </w:r>
          </w:p>
        </w:tc>
        <w:tc>
          <w:tcPr>
            <w:tcW w:w="1451" w:type="dxa"/>
            <w:noWrap w:val="0"/>
            <w:vAlign w:val="center"/>
          </w:tcPr>
          <w:p w14:paraId="419670D7">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7F93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42B9C408">
            <w:pPr>
              <w:spacing w:line="360" w:lineRule="auto"/>
              <w:jc w:val="left"/>
              <w:rPr>
                <w:rFonts w:ascii="Times New Roman" w:hAnsi="Times New Roman" w:eastAsia="宋体" w:cs="Times New Roman"/>
                <w:sz w:val="24"/>
              </w:rPr>
            </w:pPr>
            <w:r>
              <w:rPr>
                <w:rFonts w:ascii="Times New Roman" w:hAnsi="Times New Roman" w:eastAsia="宋体" w:cs="Times New Roman"/>
                <w:sz w:val="24"/>
              </w:rPr>
              <w:t>4</w:t>
            </w:r>
          </w:p>
        </w:tc>
        <w:tc>
          <w:tcPr>
            <w:tcW w:w="5799" w:type="dxa"/>
            <w:noWrap w:val="0"/>
            <w:vAlign w:val="center"/>
          </w:tcPr>
          <w:p w14:paraId="0DEC2BA6">
            <w:pPr>
              <w:spacing w:line="360" w:lineRule="auto"/>
              <w:jc w:val="left"/>
              <w:rPr>
                <w:rFonts w:ascii="Times New Roman" w:hAnsi="Times New Roman" w:eastAsia="宋体" w:cs="Times New Roman"/>
                <w:sz w:val="24"/>
              </w:rPr>
            </w:pPr>
            <w:r>
              <w:rPr>
                <w:rFonts w:ascii="Times New Roman" w:hAnsi="Times New Roman" w:eastAsia="宋体" w:cs="Times New Roman"/>
                <w:sz w:val="24"/>
              </w:rPr>
              <w:t>出厂各项检验报告/实验记录/证书（原件）</w:t>
            </w:r>
          </w:p>
        </w:tc>
        <w:tc>
          <w:tcPr>
            <w:tcW w:w="1451" w:type="dxa"/>
            <w:noWrap w:val="0"/>
            <w:vAlign w:val="center"/>
          </w:tcPr>
          <w:p w14:paraId="61E033E3">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158E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77838114">
            <w:pPr>
              <w:spacing w:line="360" w:lineRule="auto"/>
              <w:jc w:val="left"/>
              <w:rPr>
                <w:rFonts w:ascii="Times New Roman" w:hAnsi="Times New Roman" w:eastAsia="宋体" w:cs="Times New Roman"/>
                <w:sz w:val="24"/>
              </w:rPr>
            </w:pPr>
            <w:r>
              <w:rPr>
                <w:rFonts w:ascii="Times New Roman" w:hAnsi="Times New Roman" w:eastAsia="宋体" w:cs="Times New Roman"/>
                <w:sz w:val="24"/>
              </w:rPr>
              <w:t>5</w:t>
            </w:r>
          </w:p>
        </w:tc>
        <w:tc>
          <w:tcPr>
            <w:tcW w:w="5799" w:type="dxa"/>
            <w:noWrap w:val="0"/>
            <w:vAlign w:val="center"/>
          </w:tcPr>
          <w:p w14:paraId="2A0ED43E">
            <w:pPr>
              <w:spacing w:line="360" w:lineRule="auto"/>
              <w:jc w:val="left"/>
              <w:rPr>
                <w:rFonts w:ascii="Times New Roman" w:hAnsi="Times New Roman" w:eastAsia="宋体" w:cs="Times New Roman"/>
                <w:sz w:val="24"/>
              </w:rPr>
            </w:pPr>
            <w:r>
              <w:rPr>
                <w:rFonts w:ascii="Times New Roman" w:hAnsi="Times New Roman" w:eastAsia="宋体" w:cs="Times New Roman"/>
                <w:sz w:val="24"/>
              </w:rPr>
              <w:t>产品零部件质量证明/测试报告（若是复印件，加盖红章确认）</w:t>
            </w:r>
          </w:p>
        </w:tc>
        <w:tc>
          <w:tcPr>
            <w:tcW w:w="1451" w:type="dxa"/>
            <w:noWrap w:val="0"/>
            <w:vAlign w:val="center"/>
          </w:tcPr>
          <w:p w14:paraId="013D335B">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4E5A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63695930">
            <w:pPr>
              <w:spacing w:line="360" w:lineRule="auto"/>
              <w:jc w:val="left"/>
              <w:rPr>
                <w:rFonts w:ascii="Times New Roman" w:hAnsi="Times New Roman" w:eastAsia="宋体" w:cs="Times New Roman"/>
                <w:sz w:val="24"/>
              </w:rPr>
            </w:pPr>
            <w:r>
              <w:rPr>
                <w:rFonts w:ascii="Times New Roman" w:hAnsi="Times New Roman" w:eastAsia="宋体" w:cs="Times New Roman"/>
                <w:sz w:val="24"/>
              </w:rPr>
              <w:t>6</w:t>
            </w:r>
          </w:p>
        </w:tc>
        <w:tc>
          <w:tcPr>
            <w:tcW w:w="5799" w:type="dxa"/>
            <w:noWrap w:val="0"/>
            <w:vAlign w:val="center"/>
          </w:tcPr>
          <w:p w14:paraId="06ABFC28">
            <w:pPr>
              <w:spacing w:line="360" w:lineRule="auto"/>
              <w:jc w:val="left"/>
              <w:rPr>
                <w:rFonts w:ascii="Times New Roman" w:hAnsi="Times New Roman" w:eastAsia="宋体" w:cs="Times New Roman"/>
                <w:sz w:val="24"/>
              </w:rPr>
            </w:pPr>
            <w:r>
              <w:rPr>
                <w:rFonts w:ascii="Times New Roman" w:hAnsi="Times New Roman" w:eastAsia="宋体" w:cs="Times New Roman"/>
                <w:sz w:val="24"/>
              </w:rPr>
              <w:t>产品原材料材质证明（若是复印件，加盖红章确认）</w:t>
            </w:r>
          </w:p>
        </w:tc>
        <w:tc>
          <w:tcPr>
            <w:tcW w:w="1451" w:type="dxa"/>
            <w:noWrap w:val="0"/>
            <w:vAlign w:val="center"/>
          </w:tcPr>
          <w:p w14:paraId="768669B0">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0C7B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1164AF4C">
            <w:pPr>
              <w:spacing w:line="360" w:lineRule="auto"/>
              <w:jc w:val="left"/>
              <w:rPr>
                <w:rFonts w:ascii="Times New Roman" w:hAnsi="Times New Roman" w:eastAsia="宋体" w:cs="Times New Roman"/>
                <w:sz w:val="24"/>
              </w:rPr>
            </w:pPr>
            <w:r>
              <w:rPr>
                <w:rFonts w:ascii="Times New Roman" w:hAnsi="Times New Roman" w:eastAsia="宋体" w:cs="Times New Roman"/>
                <w:sz w:val="24"/>
              </w:rPr>
              <w:t>7</w:t>
            </w:r>
          </w:p>
        </w:tc>
        <w:tc>
          <w:tcPr>
            <w:tcW w:w="5799" w:type="dxa"/>
            <w:noWrap w:val="0"/>
            <w:vAlign w:val="center"/>
          </w:tcPr>
          <w:p w14:paraId="250FA49B">
            <w:pPr>
              <w:spacing w:line="360" w:lineRule="auto"/>
              <w:jc w:val="left"/>
              <w:rPr>
                <w:rFonts w:ascii="Times New Roman" w:hAnsi="Times New Roman" w:eastAsia="宋体" w:cs="Times New Roman"/>
                <w:sz w:val="24"/>
              </w:rPr>
            </w:pPr>
            <w:r>
              <w:rPr>
                <w:rFonts w:ascii="Times New Roman" w:hAnsi="Times New Roman" w:eastAsia="宋体" w:cs="Times New Roman"/>
                <w:sz w:val="24"/>
              </w:rPr>
              <w:t>安装手册</w:t>
            </w:r>
          </w:p>
        </w:tc>
        <w:tc>
          <w:tcPr>
            <w:tcW w:w="1451" w:type="dxa"/>
            <w:noWrap w:val="0"/>
            <w:vAlign w:val="center"/>
          </w:tcPr>
          <w:p w14:paraId="07B04D6C">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544B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59" w:type="dxa"/>
            <w:noWrap w:val="0"/>
            <w:vAlign w:val="center"/>
          </w:tcPr>
          <w:p w14:paraId="06DECABA">
            <w:pPr>
              <w:spacing w:line="360" w:lineRule="auto"/>
              <w:jc w:val="left"/>
              <w:rPr>
                <w:rFonts w:ascii="Times New Roman" w:hAnsi="Times New Roman" w:eastAsia="宋体" w:cs="Times New Roman"/>
                <w:sz w:val="24"/>
              </w:rPr>
            </w:pPr>
            <w:r>
              <w:rPr>
                <w:rFonts w:ascii="Times New Roman" w:hAnsi="Times New Roman" w:eastAsia="宋体" w:cs="Times New Roman"/>
                <w:sz w:val="24"/>
              </w:rPr>
              <w:t>8</w:t>
            </w:r>
          </w:p>
        </w:tc>
        <w:tc>
          <w:tcPr>
            <w:tcW w:w="5799" w:type="dxa"/>
            <w:noWrap w:val="0"/>
            <w:vAlign w:val="center"/>
          </w:tcPr>
          <w:p w14:paraId="2F49C52F">
            <w:pPr>
              <w:spacing w:line="360" w:lineRule="auto"/>
              <w:jc w:val="left"/>
              <w:rPr>
                <w:rFonts w:ascii="Times New Roman" w:hAnsi="Times New Roman" w:eastAsia="宋体" w:cs="Times New Roman"/>
                <w:sz w:val="24"/>
              </w:rPr>
            </w:pPr>
            <w:r>
              <w:rPr>
                <w:rFonts w:ascii="Times New Roman" w:hAnsi="Times New Roman" w:eastAsia="宋体" w:cs="Times New Roman"/>
                <w:sz w:val="24"/>
              </w:rPr>
              <w:t>使用及维护说明</w:t>
            </w:r>
          </w:p>
        </w:tc>
        <w:tc>
          <w:tcPr>
            <w:tcW w:w="1451" w:type="dxa"/>
            <w:noWrap w:val="0"/>
            <w:vAlign w:val="center"/>
          </w:tcPr>
          <w:p w14:paraId="2C72CB1D">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28C9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390A7900">
            <w:pPr>
              <w:spacing w:line="360" w:lineRule="auto"/>
              <w:jc w:val="left"/>
              <w:rPr>
                <w:rFonts w:ascii="Times New Roman" w:hAnsi="Times New Roman" w:eastAsia="宋体" w:cs="Times New Roman"/>
                <w:sz w:val="24"/>
              </w:rPr>
            </w:pPr>
            <w:r>
              <w:rPr>
                <w:rFonts w:ascii="Times New Roman" w:hAnsi="Times New Roman" w:eastAsia="宋体" w:cs="Times New Roman"/>
                <w:sz w:val="24"/>
              </w:rPr>
              <w:t>9</w:t>
            </w:r>
          </w:p>
        </w:tc>
        <w:tc>
          <w:tcPr>
            <w:tcW w:w="5799" w:type="dxa"/>
            <w:noWrap w:val="0"/>
            <w:vAlign w:val="center"/>
          </w:tcPr>
          <w:p w14:paraId="3331BA6D">
            <w:pPr>
              <w:spacing w:line="360" w:lineRule="auto"/>
              <w:jc w:val="left"/>
              <w:rPr>
                <w:rFonts w:ascii="Times New Roman" w:hAnsi="Times New Roman" w:eastAsia="宋体" w:cs="Times New Roman"/>
                <w:sz w:val="24"/>
              </w:rPr>
            </w:pPr>
            <w:r>
              <w:rPr>
                <w:rFonts w:ascii="Times New Roman" w:hAnsi="Times New Roman" w:eastAsia="宋体" w:cs="Times New Roman"/>
                <w:sz w:val="24"/>
              </w:rPr>
              <w:t>图纸及模型文件</w:t>
            </w:r>
          </w:p>
        </w:tc>
        <w:tc>
          <w:tcPr>
            <w:tcW w:w="1451" w:type="dxa"/>
            <w:noWrap w:val="0"/>
            <w:vAlign w:val="center"/>
          </w:tcPr>
          <w:p w14:paraId="4CF75CAD">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r w14:paraId="56EA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noWrap w:val="0"/>
            <w:vAlign w:val="center"/>
          </w:tcPr>
          <w:p w14:paraId="32A44759">
            <w:pPr>
              <w:spacing w:line="360" w:lineRule="auto"/>
              <w:jc w:val="left"/>
              <w:rPr>
                <w:rFonts w:ascii="Times New Roman" w:hAnsi="Times New Roman" w:eastAsia="宋体" w:cs="Times New Roman"/>
                <w:sz w:val="24"/>
              </w:rPr>
            </w:pPr>
            <w:r>
              <w:rPr>
                <w:rFonts w:ascii="Times New Roman" w:hAnsi="Times New Roman" w:eastAsia="宋体" w:cs="Times New Roman"/>
                <w:sz w:val="24"/>
              </w:rPr>
              <w:t>10</w:t>
            </w:r>
          </w:p>
        </w:tc>
        <w:tc>
          <w:tcPr>
            <w:tcW w:w="5799" w:type="dxa"/>
            <w:noWrap w:val="0"/>
            <w:vAlign w:val="center"/>
          </w:tcPr>
          <w:p w14:paraId="5C2A7B91">
            <w:pPr>
              <w:spacing w:line="360" w:lineRule="auto"/>
              <w:jc w:val="left"/>
              <w:rPr>
                <w:rFonts w:ascii="Times New Roman" w:hAnsi="Times New Roman" w:eastAsia="宋体" w:cs="Times New Roman"/>
                <w:sz w:val="24"/>
              </w:rPr>
            </w:pPr>
            <w:r>
              <w:rPr>
                <w:rFonts w:ascii="Times New Roman" w:hAnsi="Times New Roman" w:eastAsia="宋体" w:cs="Times New Roman"/>
                <w:sz w:val="24"/>
              </w:rPr>
              <w:t>甲方要求的其他文件</w:t>
            </w:r>
          </w:p>
        </w:tc>
        <w:tc>
          <w:tcPr>
            <w:tcW w:w="1451" w:type="dxa"/>
            <w:noWrap w:val="0"/>
            <w:vAlign w:val="center"/>
          </w:tcPr>
          <w:p w14:paraId="6B1E4CDC">
            <w:pPr>
              <w:spacing w:line="360" w:lineRule="auto"/>
              <w:jc w:val="left"/>
              <w:rPr>
                <w:rFonts w:ascii="Times New Roman" w:hAnsi="Times New Roman" w:eastAsia="宋体" w:cs="Times New Roman"/>
                <w:sz w:val="24"/>
              </w:rPr>
            </w:pPr>
            <w:r>
              <w:rPr>
                <w:rFonts w:ascii="Times New Roman" w:hAnsi="Times New Roman" w:eastAsia="宋体" w:cs="Times New Roman"/>
                <w:sz w:val="24"/>
              </w:rPr>
              <w:t>1</w:t>
            </w:r>
          </w:p>
        </w:tc>
      </w:tr>
    </w:tbl>
    <w:p w14:paraId="5C6BE96A">
      <w:pPr>
        <w:spacing w:line="360" w:lineRule="auto"/>
        <w:jc w:val="left"/>
        <w:rPr>
          <w:rFonts w:hint="eastAsia" w:ascii="宋体" w:hAnsi="宋体" w:eastAsia="宋体" w:cs="Times New Roman"/>
          <w:sz w:val="30"/>
          <w:szCs w:val="30"/>
        </w:rPr>
      </w:pPr>
    </w:p>
    <w:p w14:paraId="677C62B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9A0FC8"/>
    <w:multiLevelType w:val="multilevel"/>
    <w:tmpl w:val="029A0FC8"/>
    <w:lvl w:ilvl="0" w:tentative="0">
      <w:start w:val="5"/>
      <w:numFmt w:val="decimal"/>
      <w:lvlText w:val="%1."/>
      <w:lvlJc w:val="left"/>
      <w:pPr>
        <w:ind w:left="360" w:hanging="360"/>
      </w:pPr>
      <w:rPr>
        <w:rFonts w:hint="default"/>
      </w:rPr>
    </w:lvl>
    <w:lvl w:ilvl="1" w:tentative="0">
      <w:start w:val="4"/>
      <w:numFmt w:val="decimal"/>
      <w:lvlText w:val="%1.%2."/>
      <w:lvlJc w:val="left"/>
      <w:pPr>
        <w:ind w:left="1205" w:hanging="360"/>
      </w:pPr>
      <w:rPr>
        <w:rFonts w:hint="default"/>
      </w:rPr>
    </w:lvl>
    <w:lvl w:ilvl="2" w:tentative="0">
      <w:start w:val="1"/>
      <w:numFmt w:val="decimal"/>
      <w:lvlText w:val="%1.%2.%3."/>
      <w:lvlJc w:val="left"/>
      <w:pPr>
        <w:ind w:left="2410" w:hanging="720"/>
      </w:pPr>
      <w:rPr>
        <w:rFonts w:hint="default"/>
      </w:rPr>
    </w:lvl>
    <w:lvl w:ilvl="3" w:tentative="0">
      <w:start w:val="1"/>
      <w:numFmt w:val="decimal"/>
      <w:lvlText w:val="%1.%2.%3.%4."/>
      <w:lvlJc w:val="left"/>
      <w:pPr>
        <w:ind w:left="3255" w:hanging="720"/>
      </w:pPr>
      <w:rPr>
        <w:rFonts w:hint="default"/>
      </w:rPr>
    </w:lvl>
    <w:lvl w:ilvl="4" w:tentative="0">
      <w:start w:val="1"/>
      <w:numFmt w:val="decimal"/>
      <w:lvlText w:val="%1.%2.%3.%4.%5."/>
      <w:lvlJc w:val="left"/>
      <w:pPr>
        <w:ind w:left="4460" w:hanging="1080"/>
      </w:pPr>
      <w:rPr>
        <w:rFonts w:hint="default"/>
      </w:rPr>
    </w:lvl>
    <w:lvl w:ilvl="5" w:tentative="0">
      <w:start w:val="1"/>
      <w:numFmt w:val="decimal"/>
      <w:lvlText w:val="%1.%2.%3.%4.%5.%6."/>
      <w:lvlJc w:val="left"/>
      <w:pPr>
        <w:ind w:left="5305" w:hanging="1080"/>
      </w:pPr>
      <w:rPr>
        <w:rFonts w:hint="default"/>
      </w:rPr>
    </w:lvl>
    <w:lvl w:ilvl="6" w:tentative="0">
      <w:start w:val="1"/>
      <w:numFmt w:val="decimal"/>
      <w:lvlText w:val="%1.%2.%3.%4.%5.%6.%7."/>
      <w:lvlJc w:val="left"/>
      <w:pPr>
        <w:ind w:left="6510" w:hanging="1440"/>
      </w:pPr>
      <w:rPr>
        <w:rFonts w:hint="default"/>
      </w:rPr>
    </w:lvl>
    <w:lvl w:ilvl="7" w:tentative="0">
      <w:start w:val="1"/>
      <w:numFmt w:val="decimal"/>
      <w:lvlText w:val="%1.%2.%3.%4.%5.%6.%7.%8."/>
      <w:lvlJc w:val="left"/>
      <w:pPr>
        <w:ind w:left="7355" w:hanging="1440"/>
      </w:pPr>
      <w:rPr>
        <w:rFonts w:hint="default"/>
      </w:rPr>
    </w:lvl>
    <w:lvl w:ilvl="8" w:tentative="0">
      <w:start w:val="1"/>
      <w:numFmt w:val="decimal"/>
      <w:lvlText w:val="%1.%2.%3.%4.%5.%6.%7.%8.%9."/>
      <w:lvlJc w:val="left"/>
      <w:pPr>
        <w:ind w:left="8560" w:hanging="1800"/>
      </w:pPr>
      <w:rPr>
        <w:rFonts w:hint="default"/>
      </w:rPr>
    </w:lvl>
  </w:abstractNum>
  <w:abstractNum w:abstractNumId="1">
    <w:nsid w:val="14B23004"/>
    <w:multiLevelType w:val="multilevel"/>
    <w:tmpl w:val="14B23004"/>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1C053E5"/>
    <w:multiLevelType w:val="multilevel"/>
    <w:tmpl w:val="61C053E5"/>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9C31D31"/>
    <w:multiLevelType w:val="multilevel"/>
    <w:tmpl w:val="69C31D31"/>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0NzAwOGIxMzMzNDNjMzg0ZTYyYzNmMjJjNTY1ODEifQ=="/>
  </w:docVars>
  <w:rsids>
    <w:rsidRoot w:val="29C52CA7"/>
    <w:rsid w:val="29C52CA7"/>
    <w:rsid w:val="685E0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keepNext/>
      <w:keepLines/>
      <w:widowControl w:val="0"/>
      <w:autoSpaceDE w:val="0"/>
      <w:autoSpaceDN w:val="0"/>
      <w:adjustRightInd w:val="0"/>
      <w:spacing w:before="240" w:after="120" w:line="300" w:lineRule="auto"/>
      <w:jc w:val="center"/>
      <w:outlineLvl w:val="0"/>
    </w:pPr>
    <w:rPr>
      <w:rFonts w:ascii="宋体" w:hAnsi="Times New Roman" w:eastAsia="宋体" w:cs="Times New Roman"/>
      <w:b/>
      <w:kern w:val="44"/>
      <w:sz w:val="32"/>
      <w:szCs w:val="20"/>
      <w:lang w:val="en-US" w:eastAsia="zh-CN" w:bidi="ar-SA"/>
    </w:rPr>
  </w:style>
  <w:style w:type="paragraph" w:styleId="3">
    <w:name w:val="heading 2"/>
    <w:next w:val="4"/>
    <w:qFormat/>
    <w:uiPriority w:val="0"/>
    <w:pPr>
      <w:keepNext/>
      <w:keepLines/>
      <w:widowControl w:val="0"/>
      <w:autoSpaceDE w:val="0"/>
      <w:autoSpaceDN w:val="0"/>
      <w:adjustRightInd w:val="0"/>
      <w:spacing w:before="120" w:line="300" w:lineRule="auto"/>
      <w:jc w:val="center"/>
      <w:outlineLvl w:val="1"/>
    </w:pPr>
    <w:rPr>
      <w:rFonts w:ascii="Arial" w:hAnsi="Arial" w:eastAsia="黑体" w:cs="Times New Roman"/>
      <w:b/>
      <w:kern w:val="0"/>
      <w:sz w:val="30"/>
      <w:szCs w:val="20"/>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qFormat/>
    <w:uiPriority w:val="0"/>
    <w:pPr>
      <w:widowControl w:val="0"/>
      <w:autoSpaceDE w:val="0"/>
      <w:autoSpaceDN w:val="0"/>
      <w:adjustRightInd w:val="0"/>
      <w:ind w:firstLine="420"/>
      <w:jc w:val="left"/>
    </w:pPr>
    <w:rPr>
      <w:rFonts w:ascii="宋体" w:hAnsi="Times New Roman" w:eastAsia="宋体" w:cs="Times New Roman"/>
      <w:kern w:val="0"/>
      <w:sz w:val="24"/>
      <w:szCs w:val="20"/>
      <w:lang w:val="en-US" w:eastAsia="zh-CN" w:bidi="ar-SA"/>
    </w:rPr>
  </w:style>
  <w:style w:type="paragraph" w:styleId="5">
    <w:name w:val="Plain Text"/>
    <w:qFormat/>
    <w:uiPriority w:val="0"/>
    <w:pPr>
      <w:widowControl w:val="0"/>
      <w:jc w:val="both"/>
    </w:pPr>
    <w:rPr>
      <w:rFonts w:ascii="宋体" w:hAnsi="Courier New" w:eastAsia="宋体" w:cs="Times New Roman"/>
      <w:kern w:val="2"/>
      <w:sz w:val="21"/>
      <w:szCs w:val="20"/>
      <w:lang w:val="en-US" w:eastAsia="zh-CN" w:bidi="ar-SA"/>
    </w:rPr>
  </w:style>
  <w:style w:type="paragraph" w:styleId="6">
    <w:name w:val="Normal (Web)"/>
    <w:qFormat/>
    <w:uiPriority w:val="99"/>
    <w:pPr>
      <w:widowControl/>
      <w:spacing w:before="100" w:beforeAutospacing="1" w:after="100" w:afterAutospacing="1"/>
      <w:jc w:val="left"/>
    </w:pPr>
    <w:rPr>
      <w:rFonts w:ascii="Arial Unicode MS" w:hAnsi="Arial Unicode MS" w:eastAsia="Arial Unicode MS" w:cs="Arial Unicode MS"/>
      <w:kern w:val="0"/>
      <w:sz w:val="24"/>
      <w:szCs w:val="24"/>
      <w:lang w:val="en-US" w:eastAsia="zh-CN" w:bidi="ar-SA"/>
    </w:rPr>
  </w:style>
  <w:style w:type="paragraph" w:styleId="9">
    <w:name w:val="List Paragraph"/>
    <w:qFormat/>
    <w:uiPriority w:val="34"/>
    <w:pPr>
      <w:widowControl w:val="0"/>
      <w:ind w:firstLine="42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5914</Words>
  <Characters>6305</Characters>
  <Lines>0</Lines>
  <Paragraphs>0</Paragraphs>
  <TotalTime>0</TotalTime>
  <ScaleCrop>false</ScaleCrop>
  <LinksUpToDate>false</LinksUpToDate>
  <CharactersWithSpaces>6353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2024-10-12T12:56:00Z</dcterms:created>
  <dc:creator>唐添慧</dc:creator>
  <cp:lastModifiedBy>清</cp:lastModifiedBy>
  <dcterms:modified xsi:type="dcterms:W3CDTF">2024-10-14T01:14:53Z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A1EB3180F7C0436A8912600D0F032242_13</vt:lpwstr>
  </property>
</Properties>
</file>