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D419E"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bookmarkStart w:id="0" w:name="_GoBack"/>
      <w:bookmarkEnd w:id="0"/>
      <w:r>
        <w:rPr>
          <w:rFonts w:hint="eastAsia" w:ascii="宋体" w:hAnsi="宋体"/>
          <w:b/>
          <w:sz w:val="30"/>
          <w:szCs w:val="30"/>
        </w:rPr>
        <w:t>货物需求一览表</w:t>
      </w:r>
    </w:p>
    <w:p w14:paraId="532B8AC9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4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148"/>
        <w:gridCol w:w="1127"/>
        <w:gridCol w:w="1320"/>
        <w:gridCol w:w="1765"/>
        <w:gridCol w:w="2520"/>
      </w:tblGrid>
      <w:tr w14:paraId="161373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 w14:paraId="09E5AE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包号</w:t>
            </w:r>
          </w:p>
        </w:tc>
        <w:tc>
          <w:tcPr>
            <w:tcW w:w="2148" w:type="dxa"/>
            <w:noWrap w:val="0"/>
            <w:vAlign w:val="center"/>
          </w:tcPr>
          <w:p w14:paraId="535304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货物名称</w:t>
            </w:r>
          </w:p>
        </w:tc>
        <w:tc>
          <w:tcPr>
            <w:tcW w:w="1127" w:type="dxa"/>
            <w:noWrap w:val="0"/>
            <w:vAlign w:val="center"/>
          </w:tcPr>
          <w:p w14:paraId="751F6D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 w14:paraId="6C9BE05F">
            <w:pPr>
              <w:jc w:val="center"/>
              <w:rPr>
                <w:sz w:val="24"/>
              </w:rPr>
            </w:pPr>
            <w:r>
              <w:rPr>
                <w:sz w:val="24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 w14:paraId="454330AC">
            <w:pPr>
              <w:jc w:val="center"/>
              <w:rPr>
                <w:sz w:val="24"/>
              </w:rPr>
            </w:pPr>
            <w:r>
              <w:rPr>
                <w:sz w:val="24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 w14:paraId="4094DFDA">
            <w:pPr>
              <w:jc w:val="center"/>
              <w:rPr>
                <w:sz w:val="24"/>
                <w:shd w:val="pct10" w:color="auto" w:fill="FFFFFF"/>
              </w:rPr>
            </w:pPr>
            <w:r>
              <w:rPr>
                <w:sz w:val="24"/>
              </w:rPr>
              <w:t>项目现场（交货地点）</w:t>
            </w:r>
          </w:p>
        </w:tc>
      </w:tr>
      <w:tr w14:paraId="0C1F09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 w14:paraId="4B9285D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48" w:type="dxa"/>
            <w:noWrap w:val="0"/>
            <w:vAlign w:val="center"/>
          </w:tcPr>
          <w:p w14:paraId="08EC05AF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全自动配料系统</w:t>
            </w:r>
          </w:p>
        </w:tc>
        <w:tc>
          <w:tcPr>
            <w:tcW w:w="1127" w:type="dxa"/>
            <w:noWrap w:val="0"/>
            <w:vAlign w:val="center"/>
          </w:tcPr>
          <w:p w14:paraId="37BC28D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1套</w:t>
            </w:r>
          </w:p>
        </w:tc>
        <w:tc>
          <w:tcPr>
            <w:tcW w:w="1320" w:type="dxa"/>
            <w:noWrap w:val="0"/>
            <w:vAlign w:val="center"/>
          </w:tcPr>
          <w:p w14:paraId="332D7C5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合同签订后两个月交付</w:t>
            </w:r>
          </w:p>
        </w:tc>
        <w:tc>
          <w:tcPr>
            <w:tcW w:w="1765" w:type="dxa"/>
            <w:noWrap w:val="0"/>
            <w:vAlign w:val="center"/>
          </w:tcPr>
          <w:p w14:paraId="50ED98C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/</w:t>
            </w:r>
          </w:p>
        </w:tc>
        <w:tc>
          <w:tcPr>
            <w:tcW w:w="2520" w:type="dxa"/>
            <w:noWrap w:val="0"/>
            <w:vAlign w:val="center"/>
          </w:tcPr>
          <w:p w14:paraId="012451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中国科学院理化技术研究所</w:t>
            </w:r>
          </w:p>
        </w:tc>
      </w:tr>
    </w:tbl>
    <w:p w14:paraId="029292A6">
      <w:pPr>
        <w:rPr>
          <w:rFonts w:hint="eastAsia"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67366041">
      <w:pPr>
        <w:adjustRightInd w:val="0"/>
        <w:snapToGrid w:val="0"/>
        <w:rPr>
          <w:rFonts w:hint="eastAsia" w:ascii="宋体" w:hAnsi="宋体"/>
          <w:szCs w:val="21"/>
        </w:rPr>
      </w:pPr>
    </w:p>
    <w:p w14:paraId="111EBED1">
      <w:pPr>
        <w:adjustRightInd w:val="0"/>
        <w:snapToGrid w:val="0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 w14:paraId="176D6F7A">
      <w:pPr>
        <w:spacing w:after="156" w:afterLines="50"/>
        <w:ind w:left="601" w:hanging="601"/>
        <w:rPr>
          <w:rStyle w:val="6"/>
          <w:rFonts w:hint="eastAsia" w:ascii="宋体" w:hAnsi="宋体" w:cs="宋体"/>
          <w:b/>
          <w:sz w:val="24"/>
        </w:rPr>
      </w:pPr>
      <w:r>
        <w:rPr>
          <w:rFonts w:hint="eastAsia" w:ascii="宋体" w:hAnsi="宋体"/>
          <w:b/>
          <w:sz w:val="28"/>
        </w:rPr>
        <w:t>三、具体技术规格</w:t>
      </w:r>
    </w:p>
    <w:p w14:paraId="1648B80E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全自动配料系统采购技术要求</w:t>
      </w:r>
    </w:p>
    <w:p w14:paraId="79023345">
      <w:pPr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采购一套全自动配料系统，</w:t>
      </w:r>
      <w:r>
        <w:rPr>
          <w:rFonts w:hint="eastAsia" w:ascii="宋体" w:hAnsi="宋体" w:cs="宋体"/>
          <w:bCs/>
          <w:sz w:val="24"/>
        </w:rPr>
        <w:t>用于制备空心玻璃微球配料过程所需的配方管理、自动称量、记录、追溯、过程控制等，</w:t>
      </w:r>
      <w:r>
        <w:rPr>
          <w:rFonts w:hint="eastAsia" w:ascii="宋体" w:hAnsi="宋体" w:cs="宋体"/>
          <w:sz w:val="24"/>
        </w:rPr>
        <w:t>技术参数如下：</w:t>
      </w:r>
    </w:p>
    <w:p w14:paraId="226003D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1、配料品种</w:t>
      </w:r>
    </w:p>
    <w:tbl>
      <w:tblPr>
        <w:tblStyle w:val="4"/>
        <w:tblW w:w="80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796"/>
        <w:gridCol w:w="2424"/>
        <w:gridCol w:w="1176"/>
        <w:gridCol w:w="1720"/>
        <w:gridCol w:w="1424"/>
      </w:tblGrid>
      <w:tr w14:paraId="325E5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52A1A43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796" w:type="dxa"/>
            <w:noWrap w:val="0"/>
            <w:vAlign w:val="center"/>
          </w:tcPr>
          <w:p w14:paraId="08CFB744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原料名称</w:t>
            </w:r>
          </w:p>
        </w:tc>
        <w:tc>
          <w:tcPr>
            <w:tcW w:w="2424" w:type="dxa"/>
            <w:noWrap w:val="0"/>
            <w:vAlign w:val="center"/>
          </w:tcPr>
          <w:p w14:paraId="4318352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物料状态</w:t>
            </w:r>
          </w:p>
        </w:tc>
        <w:tc>
          <w:tcPr>
            <w:tcW w:w="1176" w:type="dxa"/>
            <w:noWrap w:val="0"/>
            <w:vAlign w:val="center"/>
          </w:tcPr>
          <w:p w14:paraId="14A780D9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单批次投料量</w:t>
            </w:r>
          </w:p>
        </w:tc>
        <w:tc>
          <w:tcPr>
            <w:tcW w:w="1720" w:type="dxa"/>
            <w:noWrap w:val="0"/>
            <w:vAlign w:val="center"/>
          </w:tcPr>
          <w:p w14:paraId="065C5113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允许偏差值</w:t>
            </w:r>
          </w:p>
        </w:tc>
        <w:tc>
          <w:tcPr>
            <w:tcW w:w="1424" w:type="dxa"/>
            <w:noWrap w:val="0"/>
            <w:vAlign w:val="center"/>
          </w:tcPr>
          <w:p w14:paraId="08C911A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备注</w:t>
            </w:r>
          </w:p>
        </w:tc>
      </w:tr>
      <w:tr w14:paraId="7CC6F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00DB82BE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796" w:type="dxa"/>
            <w:noWrap w:val="0"/>
            <w:vAlign w:val="center"/>
          </w:tcPr>
          <w:p w14:paraId="7832A5F2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A</w:t>
            </w:r>
          </w:p>
        </w:tc>
        <w:tc>
          <w:tcPr>
            <w:tcW w:w="2424" w:type="dxa"/>
            <w:noWrap w:val="0"/>
            <w:vAlign w:val="center"/>
          </w:tcPr>
          <w:p w14:paraId="468760F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胶状</w:t>
            </w:r>
          </w:p>
        </w:tc>
        <w:tc>
          <w:tcPr>
            <w:tcW w:w="1176" w:type="dxa"/>
            <w:noWrap w:val="0"/>
            <w:vAlign w:val="center"/>
          </w:tcPr>
          <w:p w14:paraId="6042ADD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0~1200kg可设定</w:t>
            </w:r>
          </w:p>
        </w:tc>
        <w:tc>
          <w:tcPr>
            <w:tcW w:w="1720" w:type="dxa"/>
            <w:noWrap w:val="0"/>
            <w:vAlign w:val="center"/>
          </w:tcPr>
          <w:p w14:paraId="6CF9D36B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±10kg</w:t>
            </w:r>
          </w:p>
        </w:tc>
        <w:tc>
          <w:tcPr>
            <w:tcW w:w="1424" w:type="dxa"/>
            <w:noWrap w:val="0"/>
            <w:vAlign w:val="center"/>
          </w:tcPr>
          <w:p w14:paraId="65BE7943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可泵送</w:t>
            </w:r>
          </w:p>
        </w:tc>
      </w:tr>
      <w:tr w14:paraId="13BA8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0544AD06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796" w:type="dxa"/>
            <w:noWrap w:val="0"/>
            <w:vAlign w:val="center"/>
          </w:tcPr>
          <w:p w14:paraId="54E29F86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B</w:t>
            </w:r>
          </w:p>
        </w:tc>
        <w:tc>
          <w:tcPr>
            <w:tcW w:w="2424" w:type="dxa"/>
            <w:noWrap w:val="0"/>
            <w:vAlign w:val="center"/>
          </w:tcPr>
          <w:p w14:paraId="298D0912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粉末状</w:t>
            </w:r>
          </w:p>
          <w:p w14:paraId="5397DAC1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堆积密度为0.8±0.1g/cm³</w:t>
            </w:r>
          </w:p>
        </w:tc>
        <w:tc>
          <w:tcPr>
            <w:tcW w:w="1176" w:type="dxa"/>
            <w:noWrap w:val="0"/>
            <w:vAlign w:val="center"/>
          </w:tcPr>
          <w:p w14:paraId="0E960EBE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0~300kg可设定</w:t>
            </w:r>
          </w:p>
        </w:tc>
        <w:tc>
          <w:tcPr>
            <w:tcW w:w="1720" w:type="dxa"/>
            <w:noWrap w:val="0"/>
            <w:vAlign w:val="center"/>
          </w:tcPr>
          <w:p w14:paraId="2174EED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±5kg</w:t>
            </w:r>
          </w:p>
        </w:tc>
        <w:tc>
          <w:tcPr>
            <w:tcW w:w="1424" w:type="dxa"/>
            <w:noWrap w:val="0"/>
            <w:vAlign w:val="center"/>
          </w:tcPr>
          <w:p w14:paraId="0C5F3D3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气力输送</w:t>
            </w:r>
          </w:p>
        </w:tc>
      </w:tr>
      <w:tr w14:paraId="73978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19BDBC9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796" w:type="dxa"/>
            <w:noWrap w:val="0"/>
            <w:vAlign w:val="center"/>
          </w:tcPr>
          <w:p w14:paraId="1DE3B588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C</w:t>
            </w:r>
          </w:p>
        </w:tc>
        <w:tc>
          <w:tcPr>
            <w:tcW w:w="2424" w:type="dxa"/>
            <w:noWrap w:val="0"/>
            <w:vAlign w:val="center"/>
          </w:tcPr>
          <w:p w14:paraId="5B18EB21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晶粒状，易吸潮水解</w:t>
            </w:r>
          </w:p>
        </w:tc>
        <w:tc>
          <w:tcPr>
            <w:tcW w:w="1176" w:type="dxa"/>
            <w:noWrap w:val="0"/>
            <w:vAlign w:val="center"/>
          </w:tcPr>
          <w:p w14:paraId="353D944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0~30kg</w:t>
            </w:r>
          </w:p>
          <w:p w14:paraId="2D4DCCC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可设定</w:t>
            </w:r>
          </w:p>
        </w:tc>
        <w:tc>
          <w:tcPr>
            <w:tcW w:w="1720" w:type="dxa"/>
            <w:noWrap w:val="0"/>
            <w:vAlign w:val="center"/>
          </w:tcPr>
          <w:p w14:paraId="2AD7BA2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±0.5kg</w:t>
            </w:r>
          </w:p>
        </w:tc>
        <w:tc>
          <w:tcPr>
            <w:tcW w:w="1424" w:type="dxa"/>
            <w:noWrap w:val="0"/>
            <w:vAlign w:val="center"/>
          </w:tcPr>
          <w:p w14:paraId="514886E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PTFE喷涂，通干燥空气</w:t>
            </w:r>
          </w:p>
        </w:tc>
      </w:tr>
      <w:tr w14:paraId="307EF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09E4BD6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796" w:type="dxa"/>
            <w:noWrap w:val="0"/>
            <w:vAlign w:val="center"/>
          </w:tcPr>
          <w:p w14:paraId="1B659BB3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D</w:t>
            </w:r>
          </w:p>
        </w:tc>
        <w:tc>
          <w:tcPr>
            <w:tcW w:w="2424" w:type="dxa"/>
            <w:noWrap w:val="0"/>
            <w:vAlign w:val="center"/>
          </w:tcPr>
          <w:p w14:paraId="21A8FE9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晶粒状，易吸潮水解</w:t>
            </w:r>
          </w:p>
        </w:tc>
        <w:tc>
          <w:tcPr>
            <w:tcW w:w="1176" w:type="dxa"/>
            <w:noWrap w:val="0"/>
            <w:vAlign w:val="center"/>
          </w:tcPr>
          <w:p w14:paraId="01DD23C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0~100kg可设定</w:t>
            </w:r>
          </w:p>
        </w:tc>
        <w:tc>
          <w:tcPr>
            <w:tcW w:w="1720" w:type="dxa"/>
            <w:noWrap w:val="0"/>
            <w:vAlign w:val="center"/>
          </w:tcPr>
          <w:p w14:paraId="3BF436AB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±3kg</w:t>
            </w:r>
          </w:p>
        </w:tc>
        <w:tc>
          <w:tcPr>
            <w:tcW w:w="1424" w:type="dxa"/>
            <w:noWrap w:val="0"/>
            <w:vAlign w:val="center"/>
          </w:tcPr>
          <w:p w14:paraId="7FFF093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PTFE喷涂，通干燥空气</w:t>
            </w:r>
          </w:p>
        </w:tc>
      </w:tr>
      <w:tr w14:paraId="55777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5855D3B3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796" w:type="dxa"/>
            <w:noWrap w:val="0"/>
            <w:vAlign w:val="center"/>
          </w:tcPr>
          <w:p w14:paraId="4F0B6CB9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E</w:t>
            </w:r>
          </w:p>
        </w:tc>
        <w:tc>
          <w:tcPr>
            <w:tcW w:w="2424" w:type="dxa"/>
            <w:noWrap w:val="0"/>
            <w:vAlign w:val="center"/>
          </w:tcPr>
          <w:p w14:paraId="26F21ED4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颗粒状，易吸潮水解气化</w:t>
            </w:r>
          </w:p>
        </w:tc>
        <w:tc>
          <w:tcPr>
            <w:tcW w:w="1176" w:type="dxa"/>
            <w:noWrap w:val="0"/>
            <w:vAlign w:val="center"/>
          </w:tcPr>
          <w:p w14:paraId="131348C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0~300kg可设定</w:t>
            </w:r>
          </w:p>
        </w:tc>
        <w:tc>
          <w:tcPr>
            <w:tcW w:w="1720" w:type="dxa"/>
            <w:noWrap w:val="0"/>
            <w:vAlign w:val="center"/>
          </w:tcPr>
          <w:p w14:paraId="037B063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±5kg</w:t>
            </w:r>
          </w:p>
        </w:tc>
        <w:tc>
          <w:tcPr>
            <w:tcW w:w="1424" w:type="dxa"/>
            <w:noWrap w:val="0"/>
            <w:vAlign w:val="center"/>
          </w:tcPr>
          <w:p w14:paraId="0D32D8E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PTFE喷涂，通干燥空气</w:t>
            </w:r>
          </w:p>
        </w:tc>
      </w:tr>
      <w:tr w14:paraId="0E9A3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48A4298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796" w:type="dxa"/>
            <w:noWrap w:val="0"/>
            <w:vAlign w:val="center"/>
          </w:tcPr>
          <w:p w14:paraId="2164033A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F</w:t>
            </w:r>
          </w:p>
        </w:tc>
        <w:tc>
          <w:tcPr>
            <w:tcW w:w="2424" w:type="dxa"/>
            <w:noWrap w:val="0"/>
            <w:vAlign w:val="center"/>
          </w:tcPr>
          <w:p w14:paraId="7A3EE242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晶粒状，易吸潮水解</w:t>
            </w:r>
          </w:p>
        </w:tc>
        <w:tc>
          <w:tcPr>
            <w:tcW w:w="1176" w:type="dxa"/>
            <w:noWrap w:val="0"/>
            <w:vAlign w:val="center"/>
          </w:tcPr>
          <w:p w14:paraId="57E80A6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0~500kg可设定</w:t>
            </w:r>
          </w:p>
        </w:tc>
        <w:tc>
          <w:tcPr>
            <w:tcW w:w="1720" w:type="dxa"/>
            <w:noWrap w:val="0"/>
            <w:vAlign w:val="center"/>
          </w:tcPr>
          <w:p w14:paraId="17AF9DE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±6kg</w:t>
            </w:r>
          </w:p>
        </w:tc>
        <w:tc>
          <w:tcPr>
            <w:tcW w:w="1424" w:type="dxa"/>
            <w:noWrap w:val="0"/>
            <w:vAlign w:val="center"/>
          </w:tcPr>
          <w:p w14:paraId="748DA94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PTFE喷涂，通干燥空气</w:t>
            </w:r>
          </w:p>
        </w:tc>
      </w:tr>
      <w:tr w14:paraId="232F4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182075B1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</w:t>
            </w:r>
          </w:p>
        </w:tc>
        <w:tc>
          <w:tcPr>
            <w:tcW w:w="796" w:type="dxa"/>
            <w:noWrap w:val="0"/>
            <w:vAlign w:val="center"/>
          </w:tcPr>
          <w:p w14:paraId="5241CDB9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G</w:t>
            </w:r>
          </w:p>
        </w:tc>
        <w:tc>
          <w:tcPr>
            <w:tcW w:w="2424" w:type="dxa"/>
            <w:noWrap w:val="0"/>
            <w:vAlign w:val="center"/>
          </w:tcPr>
          <w:p w14:paraId="2CAB38BB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悬浊液，有一定黏性</w:t>
            </w:r>
          </w:p>
        </w:tc>
        <w:tc>
          <w:tcPr>
            <w:tcW w:w="1176" w:type="dxa"/>
            <w:noWrap w:val="0"/>
            <w:vAlign w:val="center"/>
          </w:tcPr>
          <w:p w14:paraId="01C1A41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0~2500kg </w:t>
            </w:r>
          </w:p>
        </w:tc>
        <w:tc>
          <w:tcPr>
            <w:tcW w:w="1720" w:type="dxa"/>
            <w:noWrap w:val="0"/>
            <w:vAlign w:val="center"/>
          </w:tcPr>
          <w:p w14:paraId="1C0DCD8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±20kg</w:t>
            </w:r>
          </w:p>
        </w:tc>
        <w:tc>
          <w:tcPr>
            <w:tcW w:w="1424" w:type="dxa"/>
            <w:noWrap w:val="0"/>
            <w:vAlign w:val="center"/>
          </w:tcPr>
          <w:p w14:paraId="69E064B4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可泵送</w:t>
            </w:r>
          </w:p>
        </w:tc>
      </w:tr>
      <w:tr w14:paraId="26646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37507EC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796" w:type="dxa"/>
            <w:noWrap w:val="0"/>
            <w:vAlign w:val="center"/>
          </w:tcPr>
          <w:p w14:paraId="1807732E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H</w:t>
            </w:r>
          </w:p>
        </w:tc>
        <w:tc>
          <w:tcPr>
            <w:tcW w:w="2424" w:type="dxa"/>
            <w:noWrap w:val="0"/>
            <w:vAlign w:val="center"/>
          </w:tcPr>
          <w:p w14:paraId="54E38A23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粉末状，易团聚</w:t>
            </w:r>
          </w:p>
          <w:p w14:paraId="0E8E2166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堆积密度为0.3±0.1g/cm³</w:t>
            </w:r>
          </w:p>
        </w:tc>
        <w:tc>
          <w:tcPr>
            <w:tcW w:w="1176" w:type="dxa"/>
            <w:noWrap w:val="0"/>
            <w:vAlign w:val="center"/>
          </w:tcPr>
          <w:p w14:paraId="318A4471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0~400kg可设定</w:t>
            </w:r>
          </w:p>
        </w:tc>
        <w:tc>
          <w:tcPr>
            <w:tcW w:w="1720" w:type="dxa"/>
            <w:noWrap w:val="0"/>
            <w:vAlign w:val="center"/>
          </w:tcPr>
          <w:p w14:paraId="203D3EB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±6kg</w:t>
            </w:r>
          </w:p>
        </w:tc>
        <w:tc>
          <w:tcPr>
            <w:tcW w:w="1424" w:type="dxa"/>
            <w:noWrap w:val="0"/>
            <w:vAlign w:val="center"/>
          </w:tcPr>
          <w:p w14:paraId="0191863B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破粉体团聚装置</w:t>
            </w:r>
          </w:p>
        </w:tc>
      </w:tr>
      <w:tr w14:paraId="4975F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550968F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</w:t>
            </w:r>
          </w:p>
        </w:tc>
        <w:tc>
          <w:tcPr>
            <w:tcW w:w="796" w:type="dxa"/>
            <w:noWrap w:val="0"/>
            <w:vAlign w:val="center"/>
          </w:tcPr>
          <w:p w14:paraId="384D2FD6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I</w:t>
            </w:r>
          </w:p>
        </w:tc>
        <w:tc>
          <w:tcPr>
            <w:tcW w:w="2424" w:type="dxa"/>
            <w:noWrap w:val="0"/>
            <w:vAlign w:val="center"/>
          </w:tcPr>
          <w:p w14:paraId="11C8101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水</w:t>
            </w:r>
          </w:p>
        </w:tc>
        <w:tc>
          <w:tcPr>
            <w:tcW w:w="1176" w:type="dxa"/>
            <w:noWrap w:val="0"/>
            <w:vAlign w:val="center"/>
          </w:tcPr>
          <w:p w14:paraId="3A45BD0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0~3600kg可设定</w:t>
            </w:r>
          </w:p>
        </w:tc>
        <w:tc>
          <w:tcPr>
            <w:tcW w:w="1720" w:type="dxa"/>
            <w:noWrap w:val="0"/>
            <w:vAlign w:val="center"/>
          </w:tcPr>
          <w:p w14:paraId="67A0178E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±30kg</w:t>
            </w:r>
          </w:p>
        </w:tc>
        <w:tc>
          <w:tcPr>
            <w:tcW w:w="1424" w:type="dxa"/>
            <w:noWrap w:val="0"/>
            <w:vAlign w:val="center"/>
          </w:tcPr>
          <w:p w14:paraId="623ECF0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可接现有自来水管道，流量表计量</w:t>
            </w:r>
          </w:p>
        </w:tc>
      </w:tr>
      <w:tr w14:paraId="5F6E9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noWrap w:val="0"/>
            <w:vAlign w:val="center"/>
          </w:tcPr>
          <w:p w14:paraId="532CE90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796" w:type="dxa"/>
            <w:noWrap w:val="0"/>
            <w:vAlign w:val="center"/>
          </w:tcPr>
          <w:p w14:paraId="53209C1D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J</w:t>
            </w:r>
          </w:p>
        </w:tc>
        <w:tc>
          <w:tcPr>
            <w:tcW w:w="2424" w:type="dxa"/>
            <w:noWrap w:val="0"/>
            <w:vAlign w:val="center"/>
          </w:tcPr>
          <w:p w14:paraId="562F5F9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晶粒状，易吸潮水解</w:t>
            </w:r>
          </w:p>
        </w:tc>
        <w:tc>
          <w:tcPr>
            <w:tcW w:w="1176" w:type="dxa"/>
            <w:noWrap w:val="0"/>
            <w:vAlign w:val="center"/>
          </w:tcPr>
          <w:p w14:paraId="32E3B23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0~80kg</w:t>
            </w:r>
          </w:p>
          <w:p w14:paraId="01024C3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可设定</w:t>
            </w:r>
          </w:p>
        </w:tc>
        <w:tc>
          <w:tcPr>
            <w:tcW w:w="1720" w:type="dxa"/>
            <w:noWrap w:val="0"/>
            <w:vAlign w:val="center"/>
          </w:tcPr>
          <w:p w14:paraId="05025A2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±1kg</w:t>
            </w:r>
          </w:p>
        </w:tc>
        <w:tc>
          <w:tcPr>
            <w:tcW w:w="1424" w:type="dxa"/>
            <w:noWrap w:val="0"/>
            <w:vAlign w:val="center"/>
          </w:tcPr>
          <w:p w14:paraId="5874BFC9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PTFE喷涂，通干燥空气</w:t>
            </w:r>
          </w:p>
        </w:tc>
      </w:tr>
    </w:tbl>
    <w:p w14:paraId="542273BF">
      <w:pPr>
        <w:spacing w:line="360" w:lineRule="auto"/>
        <w:rPr>
          <w:rFonts w:hint="eastAsia" w:ascii="宋体" w:hAnsi="宋体" w:cs="宋体"/>
          <w:sz w:val="24"/>
        </w:rPr>
      </w:pPr>
    </w:p>
    <w:p w14:paraId="3B024DE2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2、参数要求</w:t>
      </w:r>
    </w:p>
    <w:p w14:paraId="09483A2A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*（1）所有与料仓、物料输送管道及螺旋输送部分主材要求为304不锈钢；</w:t>
      </w:r>
    </w:p>
    <w:p w14:paraId="1C8F5EEB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#（2）</w:t>
      </w:r>
      <w:r>
        <w:rPr>
          <w:rFonts w:hint="eastAsia" w:ascii="宋体" w:hAnsi="宋体" w:cs="宋体"/>
          <w:sz w:val="24"/>
          <w:lang w:val="en-US" w:eastAsia="zh-CN"/>
        </w:rPr>
        <w:t>B</w:t>
      </w:r>
      <w:r>
        <w:rPr>
          <w:rFonts w:hint="eastAsia" w:ascii="宋体" w:hAnsi="宋体" w:cs="宋体"/>
          <w:sz w:val="24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C</w:t>
      </w:r>
      <w:r>
        <w:rPr>
          <w:rFonts w:hint="eastAsia" w:ascii="宋体" w:hAnsi="宋体" w:cs="宋体"/>
          <w:sz w:val="24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D</w:t>
      </w:r>
      <w:r>
        <w:rPr>
          <w:rFonts w:hint="eastAsia" w:ascii="宋体" w:hAnsi="宋体" w:cs="宋体"/>
          <w:sz w:val="24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E</w:t>
      </w:r>
      <w:r>
        <w:rPr>
          <w:rFonts w:hint="eastAsia" w:ascii="宋体" w:hAnsi="宋体" w:cs="宋体"/>
          <w:sz w:val="24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F</w:t>
      </w:r>
      <w:r>
        <w:rPr>
          <w:rFonts w:hint="eastAsia" w:ascii="宋体" w:hAnsi="宋体" w:cs="宋体"/>
          <w:sz w:val="24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J</w:t>
      </w:r>
      <w:r>
        <w:rPr>
          <w:rFonts w:hint="eastAsia" w:ascii="宋体" w:hAnsi="宋体" w:cs="宋体"/>
          <w:sz w:val="24"/>
        </w:rPr>
        <w:t>料仓壁厚不小于2mm；</w:t>
      </w:r>
      <w:r>
        <w:rPr>
          <w:rFonts w:hint="eastAsia" w:ascii="宋体" w:hAnsi="宋体" w:cs="宋体"/>
          <w:sz w:val="24"/>
          <w:lang w:val="en-US" w:eastAsia="zh-CN"/>
        </w:rPr>
        <w:t>H</w:t>
      </w:r>
      <w:r>
        <w:rPr>
          <w:rFonts w:hint="eastAsia" w:ascii="宋体" w:hAnsi="宋体" w:cs="宋体"/>
          <w:sz w:val="24"/>
        </w:rPr>
        <w:t>料料仓应有破粉体团聚处理且壁厚不小于3mm；</w:t>
      </w:r>
    </w:p>
    <w:p w14:paraId="636D4C58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*（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）立式搅拌磨有效容积不小于1m³，壁厚不小于3mm，筒体内衬PU；</w:t>
      </w:r>
    </w:p>
    <w:p w14:paraId="33A40AB3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#（</w:t>
      </w: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）所有料仓、物料输送管道及螺旋输送机均采用PTFE喷涂；</w:t>
      </w:r>
    </w:p>
    <w:p w14:paraId="0AC720BD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#（</w:t>
      </w: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）对易吸潮水解通干燥空气；</w:t>
      </w:r>
    </w:p>
    <w:p w14:paraId="06199025">
      <w:pPr>
        <w:spacing w:line="360" w:lineRule="auto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sz w:val="24"/>
        </w:rPr>
        <w:t>#（</w:t>
      </w:r>
      <w:r>
        <w:rPr>
          <w:rFonts w:hint="eastAsia" w:ascii="宋体" w:hAnsi="宋体" w:cs="宋体"/>
          <w:sz w:val="24"/>
          <w:lang w:val="en-US" w:eastAsia="zh-CN"/>
        </w:rPr>
        <w:t>6</w:t>
      </w:r>
      <w:r>
        <w:rPr>
          <w:rFonts w:hint="eastAsia" w:ascii="宋体" w:hAnsi="宋体" w:cs="宋体"/>
          <w:sz w:val="24"/>
        </w:rPr>
        <w:t>）物料起重设备应在特种设备范围之外，</w:t>
      </w:r>
      <w:r>
        <w:rPr>
          <w:rFonts w:hint="eastAsia" w:ascii="宋体" w:hAnsi="宋体" w:cs="宋体"/>
          <w:color w:val="auto"/>
          <w:sz w:val="24"/>
        </w:rPr>
        <w:t>单次运输小于2t</w:t>
      </w:r>
      <w:r>
        <w:rPr>
          <w:rFonts w:hint="eastAsia" w:ascii="宋体" w:hAnsi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高度不大于6.5m</w:t>
      </w:r>
      <w:r>
        <w:rPr>
          <w:rFonts w:hint="eastAsia" w:ascii="宋体" w:hAnsi="宋体" w:cs="宋体"/>
          <w:color w:val="auto"/>
          <w:sz w:val="24"/>
        </w:rPr>
        <w:t>；</w:t>
      </w:r>
    </w:p>
    <w:p w14:paraId="0E95D078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#（</w:t>
      </w:r>
      <w:r>
        <w:rPr>
          <w:rFonts w:hint="eastAsia" w:ascii="宋体" w:hAnsi="宋体" w:cs="宋体"/>
          <w:sz w:val="24"/>
          <w:lang w:val="en-US" w:eastAsia="zh-CN"/>
        </w:rPr>
        <w:t>7</w:t>
      </w:r>
      <w:r>
        <w:rPr>
          <w:rFonts w:hint="eastAsia" w:ascii="宋体" w:hAnsi="宋体" w:cs="宋体"/>
          <w:sz w:val="24"/>
        </w:rPr>
        <w:t>）制浆釜有效容积不小于10m³，壁厚不低于8mm；</w:t>
      </w:r>
    </w:p>
    <w:p w14:paraId="121DDF0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#（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）制浆釜采用卧式减速机，电机功率不低于18.5kw；</w:t>
      </w:r>
    </w:p>
    <w:p w14:paraId="3C4C109C">
      <w:pPr>
        <w:spacing w:line="360" w:lineRule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#（</w:t>
      </w:r>
      <w:r>
        <w:rPr>
          <w:rFonts w:hint="eastAsia" w:ascii="宋体" w:hAnsi="宋体" w:cs="宋体"/>
          <w:sz w:val="24"/>
          <w:lang w:val="en-US" w:eastAsia="zh-CN"/>
        </w:rPr>
        <w:t>9</w:t>
      </w:r>
      <w:r>
        <w:rPr>
          <w:rFonts w:hint="eastAsia" w:ascii="宋体" w:hAnsi="宋体" w:cs="宋体"/>
          <w:sz w:val="24"/>
        </w:rPr>
        <w:t>）所有电</w:t>
      </w:r>
      <w:r>
        <w:rPr>
          <w:rFonts w:hint="eastAsia" w:ascii="宋体" w:hAnsi="宋体" w:cs="宋体"/>
          <w:color w:val="auto"/>
          <w:sz w:val="24"/>
        </w:rPr>
        <w:t>机均须采用变频启动</w:t>
      </w:r>
      <w:r>
        <w:rPr>
          <w:rFonts w:hint="eastAsia" w:ascii="宋体" w:hAnsi="宋体" w:cs="宋体"/>
          <w:color w:val="auto"/>
          <w:sz w:val="24"/>
          <w:lang w:eastAsia="zh-CN"/>
        </w:rPr>
        <w:t>；</w:t>
      </w:r>
    </w:p>
    <w:p w14:paraId="3BE06E0C">
      <w:pPr>
        <w:spacing w:line="360" w:lineRule="auto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（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10</w:t>
      </w:r>
      <w:r>
        <w:rPr>
          <w:rFonts w:hint="eastAsia" w:ascii="宋体" w:hAnsi="宋体" w:cs="宋体"/>
          <w:color w:val="auto"/>
          <w:sz w:val="24"/>
        </w:rPr>
        <w:t>）平台占地面积不超过8m*8m，整套系统占地面积不超过8m*10m。</w:t>
      </w:r>
    </w:p>
    <w:p w14:paraId="7E7070D8">
      <w:p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</w:p>
    <w:p w14:paraId="437C5F40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*3、给料精度</w:t>
      </w:r>
    </w:p>
    <w:p w14:paraId="5D4FD3A0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±0.5%。</w:t>
      </w:r>
    </w:p>
    <w:p w14:paraId="4C7128A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#4、粉尘排放指标</w:t>
      </w:r>
    </w:p>
    <w:p w14:paraId="54F34F4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经除尘器处理后，粉尘排放浓度≤12mg/m³。</w:t>
      </w:r>
    </w:p>
    <w:p w14:paraId="22410664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5、公用工程</w:t>
      </w:r>
    </w:p>
    <w:p w14:paraId="572BEC7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（1）环境</w:t>
      </w:r>
    </w:p>
    <w:p w14:paraId="3B72235E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温度：-15℃～40℃；</w:t>
      </w:r>
    </w:p>
    <w:p w14:paraId="20ACACC8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相对湿度：45%～85%。</w:t>
      </w:r>
    </w:p>
    <w:p w14:paraId="18BD137C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（2）电气</w:t>
      </w:r>
    </w:p>
    <w:p w14:paraId="72EB126D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主电源：AC380V±10%，50Hz±1%，TN-S接地系统型式；</w:t>
      </w:r>
    </w:p>
    <w:p w14:paraId="469EC5B5">
      <w:pPr>
        <w:spacing w:line="360" w:lineRule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控制电源：DC24V</w:t>
      </w:r>
      <w:r>
        <w:rPr>
          <w:rFonts w:hint="eastAsia" w:ascii="宋体" w:hAnsi="宋体" w:cs="宋体"/>
          <w:sz w:val="24"/>
          <w:lang w:eastAsia="zh-CN"/>
        </w:rPr>
        <w:t>；</w:t>
      </w:r>
    </w:p>
    <w:p w14:paraId="7B55C1A2">
      <w:pPr>
        <w:spacing w:line="360" w:lineRule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各喂料设备进料速度不低于34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kg</w:t>
      </w:r>
      <w:r>
        <w:rPr>
          <w:rFonts w:hint="eastAsia" w:ascii="宋体" w:hAnsi="宋体" w:eastAsia="宋体" w:cs="宋体"/>
          <w:sz w:val="24"/>
        </w:rPr>
        <w:t>/min，浆液在管道内的速度不低于170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kg</w:t>
      </w:r>
      <w:r>
        <w:rPr>
          <w:rFonts w:hint="eastAsia" w:ascii="宋体" w:hAnsi="宋体" w:eastAsia="宋体" w:cs="宋体"/>
          <w:sz w:val="24"/>
        </w:rPr>
        <w:t>/min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 w14:paraId="5A9C316B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#6、配料过程</w:t>
      </w:r>
    </w:p>
    <w:p w14:paraId="49EAC3E9">
      <w:pPr>
        <w:spacing w:line="360" w:lineRule="auto"/>
        <w:ind w:firstLine="480" w:firstLineChars="200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先往制浆釜</w:t>
      </w:r>
      <w:r>
        <w:rPr>
          <w:rFonts w:hint="eastAsia" w:ascii="宋体" w:hAnsi="宋体" w:cs="宋体"/>
          <w:bCs/>
          <w:color w:val="auto"/>
          <w:sz w:val="24"/>
        </w:rPr>
        <w:t>内添加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G</w:t>
      </w:r>
      <w:r>
        <w:rPr>
          <w:rFonts w:hint="eastAsia" w:ascii="宋体" w:hAnsi="宋体" w:cs="宋体"/>
          <w:bCs/>
          <w:color w:val="auto"/>
          <w:sz w:val="24"/>
        </w:rPr>
        <w:t>、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I</w:t>
      </w:r>
      <w:r>
        <w:rPr>
          <w:rFonts w:hint="eastAsia" w:ascii="宋体" w:hAnsi="宋体" w:cs="宋体"/>
          <w:bCs/>
          <w:color w:val="auto"/>
          <w:sz w:val="24"/>
        </w:rPr>
        <w:t>料，控制时长在10~15min，完成后将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B</w:t>
      </w:r>
      <w:r>
        <w:rPr>
          <w:rFonts w:hint="eastAsia" w:ascii="宋体" w:hAnsi="宋体" w:cs="宋体"/>
          <w:bCs/>
          <w:color w:val="auto"/>
          <w:sz w:val="24"/>
        </w:rPr>
        <w:t>、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C</w:t>
      </w:r>
      <w:r>
        <w:rPr>
          <w:rFonts w:hint="eastAsia" w:ascii="宋体" w:hAnsi="宋体" w:cs="宋体"/>
          <w:bCs/>
          <w:color w:val="auto"/>
          <w:sz w:val="24"/>
        </w:rPr>
        <w:t>、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D</w:t>
      </w:r>
      <w:r>
        <w:rPr>
          <w:rFonts w:hint="eastAsia" w:ascii="宋体" w:hAnsi="宋体" w:cs="宋体"/>
          <w:bCs/>
          <w:color w:val="auto"/>
          <w:sz w:val="24"/>
        </w:rPr>
        <w:t>、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E</w:t>
      </w:r>
      <w:r>
        <w:rPr>
          <w:rFonts w:hint="eastAsia" w:ascii="宋体" w:hAnsi="宋体" w:cs="宋体"/>
          <w:bCs/>
          <w:color w:val="auto"/>
          <w:sz w:val="24"/>
        </w:rPr>
        <w:t>、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F</w:t>
      </w:r>
      <w:r>
        <w:rPr>
          <w:rFonts w:hint="eastAsia" w:ascii="宋体" w:hAnsi="宋体" w:cs="宋体"/>
          <w:bCs/>
          <w:color w:val="auto"/>
          <w:sz w:val="24"/>
        </w:rPr>
        <w:t>、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H</w:t>
      </w:r>
      <w:r>
        <w:rPr>
          <w:rFonts w:hint="eastAsia" w:ascii="宋体" w:hAnsi="宋体" w:cs="宋体"/>
          <w:bCs/>
          <w:color w:val="auto"/>
          <w:sz w:val="24"/>
        </w:rPr>
        <w:t>、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J</w:t>
      </w:r>
      <w:r>
        <w:rPr>
          <w:rFonts w:hint="eastAsia" w:ascii="宋体" w:hAnsi="宋体" w:cs="宋体"/>
          <w:bCs/>
          <w:color w:val="auto"/>
          <w:sz w:val="24"/>
        </w:rPr>
        <w:t>等原料于10min内集中投入制浆釜，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浆液式</w:t>
      </w:r>
      <w:r>
        <w:rPr>
          <w:rFonts w:hint="eastAsia" w:ascii="宋体" w:hAnsi="宋体" w:cs="宋体"/>
          <w:bCs/>
          <w:color w:val="auto"/>
          <w:sz w:val="24"/>
        </w:rPr>
        <w:t>搅拌10~30min（可设定）。</w:t>
      </w:r>
      <w:r>
        <w:rPr>
          <w:rFonts w:hint="eastAsia" w:ascii="宋体" w:hAnsi="宋体" w:cs="宋体"/>
          <w:bCs/>
          <w:sz w:val="24"/>
        </w:rPr>
        <w:t>搅拌完成后，制浆釜与粗磨设备进行循环，期间人工控制泵送</w:t>
      </w:r>
      <w:r>
        <w:rPr>
          <w:rFonts w:hint="eastAsia" w:ascii="宋体" w:hAnsi="宋体" w:cs="宋体"/>
          <w:bCs/>
          <w:sz w:val="24"/>
          <w:lang w:val="en-US" w:eastAsia="zh-CN"/>
        </w:rPr>
        <w:t>A</w:t>
      </w:r>
      <w:r>
        <w:rPr>
          <w:rFonts w:hint="eastAsia" w:ascii="宋体" w:hAnsi="宋体" w:cs="宋体"/>
          <w:bCs/>
          <w:sz w:val="24"/>
        </w:rPr>
        <w:t>原料，循环时长为20~50min。制浆工序完成后，将釜内输送至纳米化处理工序，时长控制在20~30min（可设定）。</w:t>
      </w:r>
    </w:p>
    <w:p w14:paraId="34C9F38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#7、软件功能</w:t>
      </w:r>
    </w:p>
    <w:p w14:paraId="31F24254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控制软件运行于PLC上，管理软件在通用微型计算机上运行。</w:t>
      </w:r>
    </w:p>
    <w:p w14:paraId="5E6DE786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8、安全系统要求：</w:t>
      </w:r>
    </w:p>
    <w:p w14:paraId="31253A2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（1）所有电机及电控元件符合国家及国际通用安全标准；</w:t>
      </w:r>
    </w:p>
    <w:p w14:paraId="0E67DBB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（2）所有平台加护栏防护，符合国家安全设计标准；</w:t>
      </w:r>
    </w:p>
    <w:p w14:paraId="4EFC69D3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（3）紧急停止开关要能够立即停止机器运转；</w:t>
      </w:r>
    </w:p>
    <w:p w14:paraId="74908714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（4）</w:t>
      </w:r>
      <w:r>
        <w:rPr>
          <w:rFonts w:hint="eastAsia" w:ascii="宋体" w:hAnsi="宋体" w:cs="宋体"/>
          <w:sz w:val="24"/>
          <w:lang w:val="en-US" w:eastAsia="zh-CN"/>
        </w:rPr>
        <w:t>所有</w:t>
      </w:r>
      <w:r>
        <w:rPr>
          <w:rFonts w:hint="eastAsia" w:ascii="宋体" w:hAnsi="宋体" w:cs="宋体"/>
          <w:sz w:val="24"/>
        </w:rPr>
        <w:t>角部都要有倒角；</w:t>
      </w:r>
    </w:p>
    <w:p w14:paraId="3D4AD215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（5）</w:t>
      </w:r>
      <w:r>
        <w:rPr>
          <w:rFonts w:hint="eastAsia" w:ascii="宋体" w:hAnsi="宋体" w:cs="宋体"/>
          <w:sz w:val="24"/>
          <w:lang w:val="en-US" w:eastAsia="zh-CN"/>
        </w:rPr>
        <w:t>所有</w:t>
      </w:r>
      <w:r>
        <w:rPr>
          <w:rFonts w:hint="eastAsia" w:ascii="宋体" w:hAnsi="宋体" w:cs="宋体"/>
          <w:sz w:val="24"/>
        </w:rPr>
        <w:t>接触到人身体的部位不能有突起物；</w:t>
      </w:r>
    </w:p>
    <w:p w14:paraId="591FD0B3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（6）</w:t>
      </w:r>
      <w:r>
        <w:rPr>
          <w:rFonts w:hint="eastAsia" w:ascii="宋体" w:hAnsi="宋体" w:cs="宋体"/>
          <w:sz w:val="24"/>
          <w:lang w:val="en-US" w:eastAsia="zh-CN"/>
        </w:rPr>
        <w:t>所有</w:t>
      </w:r>
      <w:r>
        <w:rPr>
          <w:rFonts w:hint="eastAsia" w:ascii="宋体" w:hAnsi="宋体" w:cs="宋体"/>
          <w:sz w:val="24"/>
        </w:rPr>
        <w:t>加热位置要安装隔热罩；</w:t>
      </w:r>
    </w:p>
    <w:p w14:paraId="083A48D5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（7）</w:t>
      </w:r>
      <w:r>
        <w:rPr>
          <w:rFonts w:hint="eastAsia" w:ascii="宋体" w:hAnsi="宋体" w:cs="宋体"/>
          <w:sz w:val="24"/>
          <w:lang w:val="en-US" w:eastAsia="zh-CN"/>
        </w:rPr>
        <w:t>所有</w:t>
      </w:r>
      <w:r>
        <w:rPr>
          <w:rFonts w:hint="eastAsia" w:ascii="宋体" w:hAnsi="宋体" w:cs="宋体"/>
          <w:sz w:val="24"/>
        </w:rPr>
        <w:t>接触到人身体会产生危险的位置要全部安装安全罩；</w:t>
      </w:r>
    </w:p>
    <w:p w14:paraId="1F4A7CE8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（8）必须在危险位置张贴警告标识；</w:t>
      </w:r>
    </w:p>
    <w:p w14:paraId="68DB2A73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（9）除尘及除尘系统排放符合国家要求；</w:t>
      </w:r>
    </w:p>
    <w:p w14:paraId="3F583413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（10）噪音符合国家环保要求。</w:t>
      </w:r>
    </w:p>
    <w:p w14:paraId="07CAFEED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9、</w:t>
      </w:r>
      <w:r>
        <w:rPr>
          <w:rFonts w:hint="eastAsia" w:ascii="宋体" w:hAnsi="宋体" w:eastAsia="宋体" w:cs="宋体"/>
          <w:sz w:val="24"/>
          <w:lang w:val="en-US" w:eastAsia="zh-CN"/>
        </w:rPr>
        <w:t>设备安装调试后，厂家应派人进行详细的售后培训，</w:t>
      </w:r>
      <w:r>
        <w:rPr>
          <w:rFonts w:hint="eastAsia" w:ascii="宋体" w:hAnsi="宋体" w:eastAsia="宋体" w:cs="宋体"/>
          <w:sz w:val="24"/>
        </w:rPr>
        <w:t>整机质保一年。</w:t>
      </w:r>
    </w:p>
    <w:p w14:paraId="43A8A841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  <w:lang w:eastAsia="zh-CN"/>
        </w:rPr>
        <w:t>（</w:t>
      </w:r>
      <w:r>
        <w:rPr>
          <w:rFonts w:hint="eastAsia" w:ascii="宋体" w:hAnsi="宋体" w:cs="宋体"/>
          <w:bCs/>
          <w:sz w:val="24"/>
          <w:lang w:val="en-US" w:eastAsia="zh-CN"/>
        </w:rPr>
        <w:t>1</w:t>
      </w:r>
      <w:r>
        <w:rPr>
          <w:rFonts w:hint="eastAsia" w:ascii="宋体" w:hAnsi="宋体" w:cs="宋体"/>
          <w:bCs/>
          <w:sz w:val="24"/>
          <w:lang w:eastAsia="zh-CN"/>
        </w:rPr>
        <w:t>）</w:t>
      </w:r>
      <w:r>
        <w:rPr>
          <w:rFonts w:hint="eastAsia" w:ascii="宋体" w:hAnsi="宋体" w:cs="宋体"/>
          <w:bCs/>
          <w:sz w:val="24"/>
        </w:rPr>
        <w:t>设备安装调试：设备到达用户现场，协助用户检查安装条件。安装调试后，将设备性能指标作为设备验收标准，供货方应配合用户提供验收需要的相关资料，经用户认可后签署验收报告。</w:t>
      </w:r>
    </w:p>
    <w:p w14:paraId="23F9DB16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  <w:lang w:eastAsia="zh-CN"/>
        </w:rPr>
        <w:t>（</w:t>
      </w:r>
      <w:r>
        <w:rPr>
          <w:rFonts w:hint="eastAsia" w:ascii="宋体" w:hAnsi="宋体" w:cs="宋体"/>
          <w:bCs/>
          <w:sz w:val="24"/>
          <w:lang w:val="en-US" w:eastAsia="zh-CN"/>
        </w:rPr>
        <w:t>2</w:t>
      </w:r>
      <w:r>
        <w:rPr>
          <w:rFonts w:hint="eastAsia" w:ascii="宋体" w:hAnsi="宋体" w:cs="宋体"/>
          <w:bCs/>
          <w:sz w:val="24"/>
          <w:lang w:eastAsia="zh-CN"/>
        </w:rPr>
        <w:t>）</w:t>
      </w:r>
      <w:r>
        <w:rPr>
          <w:rFonts w:hint="eastAsia" w:ascii="宋体" w:hAnsi="宋体" w:cs="宋体"/>
          <w:bCs/>
          <w:sz w:val="24"/>
        </w:rPr>
        <w:t>技术培训：投标人拥有完备的培训队伍，培训方案完善，提供原厂技术人员对采购人的操作技术培训和相关技术资料，投标人提供的培训不另行收费，培训时间</w:t>
      </w:r>
      <w:r>
        <w:rPr>
          <w:rFonts w:hint="eastAsia" w:ascii="宋体" w:hAnsi="宋体" w:cs="宋体"/>
          <w:bCs/>
          <w:sz w:val="24"/>
          <w:lang w:val="en-US" w:eastAsia="zh-CN"/>
        </w:rPr>
        <w:t>2-3</w:t>
      </w:r>
      <w:r>
        <w:rPr>
          <w:rFonts w:hint="eastAsia" w:ascii="宋体" w:hAnsi="宋体" w:cs="宋体"/>
          <w:bCs/>
          <w:sz w:val="24"/>
        </w:rPr>
        <w:t xml:space="preserve"> 天。</w:t>
      </w:r>
    </w:p>
    <w:p w14:paraId="40E8D1A9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  <w:lang w:eastAsia="zh-CN"/>
        </w:rPr>
        <w:t>（</w:t>
      </w:r>
      <w:r>
        <w:rPr>
          <w:rFonts w:hint="eastAsia" w:ascii="宋体" w:hAnsi="宋体" w:cs="宋体"/>
          <w:bCs/>
          <w:sz w:val="24"/>
          <w:lang w:val="en-US" w:eastAsia="zh-CN"/>
        </w:rPr>
        <w:t>3</w:t>
      </w:r>
      <w:r>
        <w:rPr>
          <w:rFonts w:hint="eastAsia" w:ascii="宋体" w:hAnsi="宋体" w:cs="宋体"/>
          <w:bCs/>
          <w:sz w:val="24"/>
          <w:lang w:eastAsia="zh-CN"/>
        </w:rPr>
        <w:t>）</w:t>
      </w:r>
      <w:r>
        <w:rPr>
          <w:rFonts w:hint="eastAsia" w:ascii="宋体" w:hAnsi="宋体" w:cs="宋体"/>
          <w:bCs/>
          <w:sz w:val="24"/>
        </w:rPr>
        <w:t>质保期：安装验收合格后（从最终用户签字之日算起）由原厂提供1年的整机质保，提供原厂质保承诺书，供货方所有服务工程师都经过系统培训和认证，能为用户提供快速、高效的响应和维修服务。</w:t>
      </w:r>
    </w:p>
    <w:p w14:paraId="0AF9CCD3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  <w:lang w:eastAsia="zh-CN"/>
        </w:rPr>
        <w:t>（</w:t>
      </w:r>
      <w:r>
        <w:rPr>
          <w:rFonts w:hint="eastAsia" w:ascii="宋体" w:hAnsi="宋体" w:cs="宋体"/>
          <w:bCs/>
          <w:sz w:val="24"/>
          <w:lang w:val="en-US" w:eastAsia="zh-CN"/>
        </w:rPr>
        <w:t>4</w:t>
      </w:r>
      <w:r>
        <w:rPr>
          <w:rFonts w:hint="eastAsia" w:ascii="宋体" w:hAnsi="宋体" w:cs="宋体"/>
          <w:bCs/>
          <w:sz w:val="24"/>
          <w:lang w:eastAsia="zh-CN"/>
        </w:rPr>
        <w:t>）</w:t>
      </w:r>
      <w:r>
        <w:rPr>
          <w:rFonts w:hint="eastAsia" w:ascii="宋体" w:hAnsi="宋体" w:cs="宋体"/>
          <w:bCs/>
          <w:sz w:val="24"/>
        </w:rPr>
        <w:t>维修响应时间：供货方应为服务配备充足的技术人员、工具和备件并保证提供的联系方式畅通。供货方应在收到用户通知后24小时内做出响应。</w:t>
      </w:r>
    </w:p>
    <w:p w14:paraId="2A183AE4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  <w:lang w:eastAsia="zh-CN"/>
        </w:rPr>
        <w:t>（</w:t>
      </w:r>
      <w:r>
        <w:rPr>
          <w:rFonts w:hint="eastAsia" w:ascii="宋体" w:hAnsi="宋体" w:cs="宋体"/>
          <w:bCs/>
          <w:sz w:val="24"/>
          <w:lang w:val="en-US" w:eastAsia="zh-CN"/>
        </w:rPr>
        <w:t>5</w:t>
      </w:r>
      <w:r>
        <w:rPr>
          <w:rFonts w:hint="eastAsia" w:ascii="宋体" w:hAnsi="宋体" w:cs="宋体"/>
          <w:bCs/>
          <w:sz w:val="24"/>
          <w:lang w:eastAsia="zh-CN"/>
        </w:rPr>
        <w:t>）</w:t>
      </w:r>
      <w:r>
        <w:rPr>
          <w:rFonts w:hint="eastAsia" w:ascii="宋体" w:hAnsi="宋体" w:cs="宋体"/>
          <w:bCs/>
          <w:sz w:val="24"/>
        </w:rPr>
        <w:t>要求卖方提供的其它技术服务内容：供货方在质量保证期内应对设备进行定期巡检。</w:t>
      </w:r>
    </w:p>
    <w:p w14:paraId="7D8D449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081A2B"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19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E97C3B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D1094B"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A868E5">
    <w:pPr>
      <w:pStyle w:val="3"/>
      <w:jc w:val="both"/>
    </w:pPr>
    <w:r>
      <w:rPr>
        <w:rFonts w:hint="eastAsia"/>
        <w:i/>
      </w:rPr>
      <w:t>中国科学院理化技术研究所全自动配料系统采购项目招标文件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9E2CD0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D8F314"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TIzZGUxMzUyYzc4ODFmYzlkNjk5ZTYzODY2NmIifQ=="/>
  </w:docVars>
  <w:rsids>
    <w:rsidRoot w:val="3AFA4B85"/>
    <w:rsid w:val="023D37E6"/>
    <w:rsid w:val="3AFA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1639</Words>
  <Characters>1886</Characters>
  <Lines>0</Lines>
  <Paragraphs>0</Paragraphs>
  <TotalTime>0</TotalTime>
  <ScaleCrop>false</ScaleCrop>
  <LinksUpToDate>false</LinksUpToDate>
  <CharactersWithSpaces>1890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2024-09-26T09:35:00Z</dcterms:created>
  <dc:creator>东方招标 葛丛</dc:creator>
  <cp:lastModifiedBy>清</cp:lastModifiedBy>
  <dcterms:modified xsi:type="dcterms:W3CDTF">2024-09-27T02:02:11Z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F64661FE81BC4B3599DBC5FA16870D77_13</vt:lpwstr>
  </property>
</Properties>
</file>