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17B3AF">
      <w:pPr>
        <w:autoSpaceDE w:val="0"/>
        <w:autoSpaceDN w:val="0"/>
        <w:adjustRightInd w:val="0"/>
        <w:spacing w:line="360" w:lineRule="auto"/>
        <w:jc w:val="center"/>
        <w:outlineLvl w:val="0"/>
        <w:rPr>
          <w:rFonts w:ascii="宋体" w:hAnsi="宋体"/>
          <w:b/>
          <w:sz w:val="24"/>
        </w:rPr>
      </w:pPr>
      <w:bookmarkStart w:id="11" w:name="_GoBack"/>
      <w:bookmarkEnd w:id="11"/>
      <w:r>
        <w:rPr>
          <w:rFonts w:hint="eastAsia" w:ascii="宋体" w:hAnsi="宋体"/>
          <w:b/>
          <w:kern w:val="0"/>
          <w:sz w:val="36"/>
          <w:szCs w:val="36"/>
        </w:rPr>
        <w:t>项目需求</w:t>
      </w:r>
    </w:p>
    <w:p w14:paraId="191E3788">
      <w:pPr>
        <w:pStyle w:val="2"/>
      </w:pPr>
    </w:p>
    <w:p w14:paraId="552217C7">
      <w:pPr>
        <w:rPr>
          <w:rFonts w:hint="eastAsia"/>
        </w:rPr>
      </w:pPr>
    </w:p>
    <w:p w14:paraId="0FD273D0">
      <w:pPr>
        <w:tabs>
          <w:tab w:val="left" w:pos="1560"/>
        </w:tabs>
        <w:adjustRightInd w:val="0"/>
        <w:snapToGrid w:val="0"/>
        <w:jc w:val="center"/>
        <w:rPr>
          <w:rFonts w:hint="eastAsia" w:ascii="宋体" w:hAnsi="宋体"/>
          <w:b/>
          <w:sz w:val="30"/>
          <w:szCs w:val="30"/>
        </w:rPr>
      </w:pPr>
      <w:r>
        <w:rPr>
          <w:rFonts w:hint="eastAsia" w:ascii="宋体" w:hAnsi="宋体"/>
          <w:b/>
          <w:sz w:val="30"/>
          <w:szCs w:val="30"/>
        </w:rPr>
        <w:t>一</w:t>
      </w:r>
      <w:r>
        <w:rPr>
          <w:rFonts w:ascii="宋体" w:hAnsi="宋体"/>
          <w:b/>
          <w:sz w:val="30"/>
          <w:szCs w:val="30"/>
        </w:rPr>
        <w:t>、</w:t>
      </w:r>
      <w:r>
        <w:rPr>
          <w:rFonts w:hint="eastAsia" w:ascii="宋体" w:hAnsi="宋体"/>
          <w:b/>
          <w:sz w:val="30"/>
          <w:szCs w:val="30"/>
        </w:rPr>
        <w:t>货物需求一览表</w:t>
      </w:r>
    </w:p>
    <w:p w14:paraId="65E05F9A">
      <w:pPr>
        <w:pStyle w:val="7"/>
        <w:rPr>
          <w:rFonts w:hint="eastAsia"/>
        </w:rPr>
      </w:pPr>
    </w:p>
    <w:p w14:paraId="705CDFFB">
      <w:pPr>
        <w:pStyle w:val="7"/>
        <w:rPr>
          <w:rFonts w:hint="eastAsia"/>
        </w:rPr>
      </w:pPr>
    </w:p>
    <w:tbl>
      <w:tblPr>
        <w:tblStyle w:val="9"/>
        <w:tblW w:w="89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84"/>
        <w:gridCol w:w="1972"/>
        <w:gridCol w:w="1275"/>
        <w:gridCol w:w="2195"/>
        <w:gridCol w:w="2637"/>
      </w:tblGrid>
      <w:tr w14:paraId="1C866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884" w:type="dxa"/>
            <w:noWrap w:val="0"/>
            <w:vAlign w:val="center"/>
          </w:tcPr>
          <w:p w14:paraId="5717CC55">
            <w:pPr>
              <w:jc w:val="center"/>
              <w:rPr>
                <w:rFonts w:ascii="宋体" w:hAnsi="Bookman Old Style"/>
                <w:sz w:val="24"/>
              </w:rPr>
            </w:pPr>
            <w:r>
              <w:rPr>
                <w:rFonts w:hint="eastAsia" w:ascii="宋体" w:hAnsi="Bookman Old Style"/>
                <w:sz w:val="24"/>
              </w:rPr>
              <w:t>包号</w:t>
            </w:r>
          </w:p>
        </w:tc>
        <w:tc>
          <w:tcPr>
            <w:tcW w:w="1972" w:type="dxa"/>
            <w:noWrap w:val="0"/>
            <w:vAlign w:val="center"/>
          </w:tcPr>
          <w:p w14:paraId="3DA91D76">
            <w:pPr>
              <w:jc w:val="center"/>
              <w:rPr>
                <w:rFonts w:ascii="宋体" w:hAnsi="Bookman Old Style"/>
                <w:sz w:val="24"/>
              </w:rPr>
            </w:pPr>
            <w:r>
              <w:rPr>
                <w:rFonts w:hint="eastAsia" w:ascii="宋体" w:hAnsi="Bookman Old Style"/>
                <w:sz w:val="24"/>
              </w:rPr>
              <w:t>货物名称</w:t>
            </w:r>
          </w:p>
        </w:tc>
        <w:tc>
          <w:tcPr>
            <w:tcW w:w="1275" w:type="dxa"/>
            <w:noWrap w:val="0"/>
            <w:vAlign w:val="center"/>
          </w:tcPr>
          <w:p w14:paraId="6D165DEE">
            <w:pPr>
              <w:jc w:val="center"/>
              <w:rPr>
                <w:rFonts w:ascii="宋体" w:hAnsi="Bookman Old Style"/>
                <w:sz w:val="24"/>
              </w:rPr>
            </w:pPr>
            <w:r>
              <w:rPr>
                <w:rFonts w:hint="eastAsia" w:ascii="宋体" w:hAnsi="Bookman Old Style"/>
                <w:sz w:val="24"/>
              </w:rPr>
              <w:t>数量</w:t>
            </w:r>
          </w:p>
        </w:tc>
        <w:tc>
          <w:tcPr>
            <w:tcW w:w="2195" w:type="dxa"/>
            <w:noWrap w:val="0"/>
            <w:vAlign w:val="center"/>
          </w:tcPr>
          <w:p w14:paraId="68977D06">
            <w:pPr>
              <w:jc w:val="center"/>
              <w:rPr>
                <w:rFonts w:ascii="宋体" w:hAnsi="Bookman Old Style"/>
                <w:sz w:val="24"/>
              </w:rPr>
            </w:pPr>
            <w:r>
              <w:rPr>
                <w:rFonts w:hint="eastAsia" w:ascii="宋体" w:hAnsi="Bookman Old Style"/>
                <w:sz w:val="24"/>
              </w:rPr>
              <w:t>交货期</w:t>
            </w:r>
          </w:p>
        </w:tc>
        <w:tc>
          <w:tcPr>
            <w:tcW w:w="2637" w:type="dxa"/>
            <w:noWrap w:val="0"/>
            <w:vAlign w:val="center"/>
          </w:tcPr>
          <w:p w14:paraId="4103C53D">
            <w:pPr>
              <w:jc w:val="center"/>
              <w:rPr>
                <w:rFonts w:ascii="宋体" w:hAnsi="Bookman Old Style"/>
                <w:sz w:val="24"/>
                <w:shd w:val="pct10" w:color="auto" w:fill="FFFFFF"/>
              </w:rPr>
            </w:pPr>
            <w:r>
              <w:rPr>
                <w:rFonts w:hint="eastAsia" w:ascii="宋体" w:hAnsi="Bookman Old Style"/>
                <w:sz w:val="24"/>
              </w:rPr>
              <w:t>交付地点</w:t>
            </w:r>
          </w:p>
        </w:tc>
      </w:tr>
      <w:tr w14:paraId="6EF61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60" w:hRule="atLeast"/>
          <w:jc w:val="center"/>
        </w:trPr>
        <w:tc>
          <w:tcPr>
            <w:tcW w:w="884" w:type="dxa"/>
            <w:noWrap w:val="0"/>
            <w:vAlign w:val="center"/>
          </w:tcPr>
          <w:p w14:paraId="456B0E7F">
            <w:pPr>
              <w:jc w:val="center"/>
              <w:rPr>
                <w:rFonts w:hint="eastAsia" w:ascii="宋体"/>
                <w:sz w:val="24"/>
              </w:rPr>
            </w:pPr>
            <w:r>
              <w:rPr>
                <w:rFonts w:hint="eastAsia" w:ascii="宋体"/>
                <w:sz w:val="24"/>
              </w:rPr>
              <w:t>1</w:t>
            </w:r>
          </w:p>
        </w:tc>
        <w:tc>
          <w:tcPr>
            <w:tcW w:w="1972" w:type="dxa"/>
            <w:tcBorders>
              <w:top w:val="single" w:color="auto" w:sz="4" w:space="0"/>
              <w:left w:val="single" w:color="auto" w:sz="4" w:space="0"/>
              <w:bottom w:val="single" w:color="auto" w:sz="4" w:space="0"/>
              <w:right w:val="single" w:color="auto" w:sz="4" w:space="0"/>
            </w:tcBorders>
            <w:noWrap w:val="0"/>
            <w:vAlign w:val="center"/>
          </w:tcPr>
          <w:p w14:paraId="394DA7BC">
            <w:pPr>
              <w:jc w:val="center"/>
              <w:rPr>
                <w:rFonts w:hint="eastAsia" w:ascii="宋体" w:hAnsi="宋体"/>
                <w:bCs/>
                <w:sz w:val="24"/>
              </w:rPr>
            </w:pPr>
            <w:r>
              <w:rPr>
                <w:rFonts w:hint="eastAsia" w:ascii="宋体" w:hAnsi="宋体" w:cs="宋体"/>
                <w:kern w:val="0"/>
                <w:sz w:val="24"/>
              </w:rPr>
              <w:t>原子层沉积系统</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8CB2F09">
            <w:pPr>
              <w:jc w:val="center"/>
              <w:rPr>
                <w:rFonts w:ascii="宋体" w:hAnsi="宋体"/>
                <w:sz w:val="24"/>
              </w:rPr>
            </w:pPr>
            <w:r>
              <w:rPr>
                <w:rFonts w:hint="eastAsia" w:ascii="宋体" w:hAnsi="宋体"/>
                <w:sz w:val="24"/>
              </w:rPr>
              <w:t>1套</w:t>
            </w:r>
          </w:p>
        </w:tc>
        <w:tc>
          <w:tcPr>
            <w:tcW w:w="2195" w:type="dxa"/>
            <w:noWrap w:val="0"/>
            <w:vAlign w:val="center"/>
          </w:tcPr>
          <w:p w14:paraId="1D296CC3">
            <w:pPr>
              <w:jc w:val="center"/>
              <w:rPr>
                <w:rFonts w:hint="eastAsia" w:ascii="宋体" w:hAnsi="Bookman Old Style"/>
                <w:sz w:val="24"/>
              </w:rPr>
            </w:pPr>
            <w:r>
              <w:rPr>
                <w:rFonts w:hint="eastAsia"/>
                <w:sz w:val="24"/>
              </w:rPr>
              <w:t>2025年1月31日前交货</w:t>
            </w:r>
          </w:p>
        </w:tc>
        <w:tc>
          <w:tcPr>
            <w:tcW w:w="2637" w:type="dxa"/>
            <w:noWrap w:val="0"/>
            <w:vAlign w:val="center"/>
          </w:tcPr>
          <w:p w14:paraId="6F45FF08">
            <w:pPr>
              <w:jc w:val="center"/>
              <w:rPr>
                <w:rFonts w:hint="eastAsia" w:ascii="宋体" w:hAnsi="Bookman Old Style"/>
                <w:sz w:val="24"/>
              </w:rPr>
            </w:pPr>
            <w:r>
              <w:rPr>
                <w:rFonts w:hint="eastAsia" w:ascii="宋体" w:hAnsi="宋体" w:cs="宋体"/>
                <w:kern w:val="0"/>
                <w:sz w:val="24"/>
              </w:rPr>
              <w:t>中国科学院微电子研究所用户指定地点</w:t>
            </w:r>
          </w:p>
        </w:tc>
      </w:tr>
    </w:tbl>
    <w:p w14:paraId="5A5423AB">
      <w:pPr>
        <w:pStyle w:val="2"/>
        <w:rPr>
          <w:rFonts w:hint="eastAsia"/>
        </w:rPr>
      </w:pPr>
    </w:p>
    <w:p w14:paraId="68F292BD">
      <w:pPr>
        <w:rPr>
          <w:rFonts w:hint="eastAsia" w:ascii="宋体" w:hAnsi="宋体"/>
          <w:szCs w:val="21"/>
        </w:rPr>
      </w:pPr>
      <w:r>
        <w:rPr>
          <w:rFonts w:hint="eastAsia"/>
          <w:sz w:val="24"/>
        </w:rPr>
        <w:t>注：投标人须对上述投标内容中完整的一包进行响应，</w:t>
      </w:r>
      <w:r>
        <w:rPr>
          <w:rFonts w:hint="eastAsia" w:ascii="Bookman Old Style" w:hAnsi="Bookman Old Style"/>
          <w:sz w:val="24"/>
        </w:rPr>
        <w:t>不完整的投标将视为非响应性投标予以拒绝。</w:t>
      </w:r>
    </w:p>
    <w:p w14:paraId="1412FCD8">
      <w:pPr>
        <w:adjustRightInd w:val="0"/>
        <w:snapToGrid w:val="0"/>
        <w:rPr>
          <w:rFonts w:hint="eastAsia" w:ascii="宋体" w:hAnsi="宋体"/>
          <w:szCs w:val="21"/>
        </w:rPr>
      </w:pPr>
    </w:p>
    <w:p w14:paraId="46F9C34F">
      <w:pPr>
        <w:pStyle w:val="7"/>
        <w:rPr>
          <w:rFonts w:hint="eastAsia"/>
        </w:rPr>
      </w:pPr>
      <w:r>
        <w:br w:type="page"/>
      </w:r>
    </w:p>
    <w:p w14:paraId="3C583F5A">
      <w:pPr>
        <w:tabs>
          <w:tab w:val="left" w:pos="720"/>
        </w:tabs>
        <w:adjustRightInd w:val="0"/>
        <w:snapToGrid w:val="0"/>
        <w:jc w:val="center"/>
        <w:rPr>
          <w:rFonts w:ascii="宋体" w:hAnsi="宋体"/>
          <w:b/>
          <w:sz w:val="32"/>
          <w:szCs w:val="32"/>
        </w:rPr>
      </w:pPr>
      <w:bookmarkStart w:id="0" w:name="_Toc178672500"/>
      <w:bookmarkStart w:id="1" w:name="OLE_LINK1"/>
      <w:r>
        <w:rPr>
          <w:rFonts w:hint="eastAsia" w:ascii="宋体" w:hAnsi="宋体"/>
          <w:b/>
          <w:sz w:val="32"/>
          <w:szCs w:val="32"/>
        </w:rPr>
        <w:t>二、总则</w:t>
      </w:r>
    </w:p>
    <w:p w14:paraId="3CF4220D">
      <w:pPr>
        <w:spacing w:before="156" w:beforeLines="50" w:after="156" w:afterLines="50" w:line="360" w:lineRule="auto"/>
        <w:ind w:left="601" w:hanging="601"/>
        <w:rPr>
          <w:b/>
          <w:sz w:val="28"/>
        </w:rPr>
      </w:pPr>
      <w:r>
        <w:rPr>
          <w:b/>
          <w:sz w:val="28"/>
        </w:rPr>
        <w:t>1、投标要求</w:t>
      </w:r>
    </w:p>
    <w:p w14:paraId="35DDEE8D">
      <w:pPr>
        <w:spacing w:line="360" w:lineRule="auto"/>
        <w:ind w:left="554" w:hanging="554" w:hangingChars="231"/>
        <w:rPr>
          <w:sz w:val="24"/>
        </w:rPr>
      </w:pPr>
      <w:r>
        <w:rPr>
          <w:sz w:val="24"/>
        </w:rPr>
        <w:t>1.1  供应商在准备投标文件时，务必在所提供的商品的技术规格文件中，标明型号、商标名称、目录号。</w:t>
      </w:r>
    </w:p>
    <w:p w14:paraId="013AF841">
      <w:pPr>
        <w:spacing w:line="360" w:lineRule="auto"/>
        <w:ind w:left="554" w:hanging="554" w:hangingChars="231"/>
        <w:rPr>
          <w:sz w:val="24"/>
        </w:rPr>
      </w:pPr>
      <w:r>
        <w:rPr>
          <w:sz w:val="24"/>
        </w:rPr>
        <w:t xml:space="preserve">1.2  </w:t>
      </w:r>
      <w:r>
        <w:rPr>
          <w:b/>
          <w:bCs/>
          <w:sz w:val="24"/>
        </w:rPr>
        <w:t>供应商提供的货物须是成熟的全新的产品</w:t>
      </w:r>
      <w:r>
        <w:rPr>
          <w:sz w:val="24"/>
        </w:rPr>
        <w:t>，其技术规格应符合采购文件的要求。如与采购文件的技术规格有偏差，应提供技术规格偏差的量值或说明（偏离表）。如供应商有意隐瞒对规格要求的偏差或在开标后提出新的偏差，采购人有权拒绝其投标。</w:t>
      </w:r>
    </w:p>
    <w:p w14:paraId="5A20E541">
      <w:pPr>
        <w:spacing w:line="360" w:lineRule="auto"/>
        <w:ind w:left="554" w:hanging="554" w:hangingChars="231"/>
        <w:rPr>
          <w:sz w:val="24"/>
        </w:rPr>
      </w:pPr>
      <w:r>
        <w:rPr>
          <w:sz w:val="24"/>
        </w:rPr>
        <w:t>1.3  供应商提供的产品样本，必须是“原件”而非复印件，图表、简图、电路图以及印刷电路板图等都应清晰易读。采购人有权不付任何附加费用复制这些资料以供参考。</w:t>
      </w:r>
    </w:p>
    <w:p w14:paraId="652F2D07">
      <w:pPr>
        <w:spacing w:line="360" w:lineRule="auto"/>
        <w:ind w:left="554" w:hanging="554" w:hangingChars="231"/>
        <w:rPr>
          <w:sz w:val="24"/>
        </w:rPr>
      </w:pPr>
      <w:r>
        <w:rPr>
          <w:sz w:val="24"/>
        </w:rPr>
        <w:t>1.4  供应商的投标产品应符合国家有关部门规定的相应技术、节能、安全和环保标准；如国家有关部门对供应商的投标产品有强制性规定或要求的，则供应商的投标产品必须符合相应规定或要求。</w:t>
      </w:r>
    </w:p>
    <w:p w14:paraId="37E5F64F">
      <w:pPr>
        <w:spacing w:before="156" w:beforeLines="50" w:after="156" w:afterLines="50" w:line="360" w:lineRule="auto"/>
        <w:ind w:left="601" w:hanging="601"/>
        <w:rPr>
          <w:b/>
          <w:sz w:val="28"/>
        </w:rPr>
      </w:pPr>
      <w:r>
        <w:rPr>
          <w:b/>
          <w:sz w:val="28"/>
        </w:rPr>
        <w:t>2、评标标准</w:t>
      </w:r>
    </w:p>
    <w:p w14:paraId="14B79DD7">
      <w:pPr>
        <w:spacing w:line="360" w:lineRule="auto"/>
        <w:ind w:left="554" w:hanging="554" w:hangingChars="231"/>
        <w:rPr>
          <w:sz w:val="24"/>
        </w:rPr>
      </w:pPr>
      <w:r>
        <w:rPr>
          <w:sz w:val="24"/>
        </w:rPr>
        <w:t>2.1  除采购文件中指定的附件和专用工具外，供应商应提供仪器设备的正常运行和常规保养所需的全套标准附件、专用工具和消耗品。供应商在投标书中需列出这些附件和工具的数量和单价的清单，这些附件和工具的报价的总值需计入投标价中。</w:t>
      </w:r>
    </w:p>
    <w:p w14:paraId="3743123C">
      <w:pPr>
        <w:spacing w:line="360" w:lineRule="auto"/>
        <w:ind w:left="554" w:hanging="554" w:hangingChars="231"/>
        <w:rPr>
          <w:sz w:val="24"/>
        </w:rPr>
      </w:pPr>
      <w:r>
        <w:rPr>
          <w:sz w:val="24"/>
        </w:rPr>
        <w:t>2.2  对于标书技术规范中已列出的作为查询选件的附件、零配件、专用工具和消耗品，投标文件中应列明其数量、单价、总价供采购人参考。供应商也可推荐采购人没有要求的附件或专用工具作为选件，并列明其数量、单价、总价供采购人参考。选件价格不计入评标价中。选件一旦为采购人用户接受，其费用将加入合同价中。</w:t>
      </w:r>
    </w:p>
    <w:p w14:paraId="6FCC13C4">
      <w:pPr>
        <w:spacing w:line="360" w:lineRule="auto"/>
        <w:ind w:left="554" w:hanging="554" w:hangingChars="231"/>
        <w:rPr>
          <w:sz w:val="24"/>
        </w:rPr>
      </w:pPr>
      <w:r>
        <w:rPr>
          <w:sz w:val="24"/>
        </w:rPr>
        <w:t>2.3  为便于用户进行接收仪器的准备工作，供应商应在合同生效后</w:t>
      </w:r>
      <w:r>
        <w:rPr>
          <w:b/>
          <w:sz w:val="24"/>
        </w:rPr>
        <w:t>60</w:t>
      </w:r>
      <w:r>
        <w:rPr>
          <w:sz w:val="24"/>
        </w:rPr>
        <w:t>天内向用户提供一套完整的使用说明书、操作手册、维修及安装说明等文件。另一套完整上述资料应在交货时随货包装提供给用户，这些费用应计入投标价中。</w:t>
      </w:r>
    </w:p>
    <w:p w14:paraId="21963771">
      <w:pPr>
        <w:spacing w:line="360" w:lineRule="auto"/>
        <w:ind w:left="554" w:hanging="554" w:hangingChars="231"/>
        <w:rPr>
          <w:sz w:val="24"/>
        </w:rPr>
      </w:pPr>
      <w:r>
        <w:rPr>
          <w:sz w:val="24"/>
        </w:rPr>
        <w:t>2.4  关于设备的安装调试，如果有必要的安装准备条件，供应商应在合同生效后一个月内向采购人提出详细的要求或计划。安装调试的费用应计入投标价中，并应单独列出，供评标使用。</w:t>
      </w:r>
    </w:p>
    <w:p w14:paraId="2BD161C8">
      <w:pPr>
        <w:spacing w:line="360" w:lineRule="auto"/>
        <w:ind w:left="554" w:hanging="554" w:hangingChars="231"/>
        <w:rPr>
          <w:sz w:val="24"/>
        </w:rPr>
      </w:pPr>
      <w:r>
        <w:rPr>
          <w:sz w:val="24"/>
        </w:rPr>
        <w:t>2.5  制造厂家提供的培训指的是涉及货物的基本原理、操作使用和保养维修等有关内容的培训。培训教员的培训费、旅费、食宿费等费用和培训场地费及培训资料费均应由供应商支付。</w:t>
      </w:r>
    </w:p>
    <w:p w14:paraId="66D837CC">
      <w:pPr>
        <w:spacing w:before="156" w:beforeLines="50" w:after="156" w:afterLines="50" w:line="360" w:lineRule="auto"/>
        <w:ind w:left="601" w:hanging="601"/>
        <w:rPr>
          <w:b/>
          <w:sz w:val="28"/>
        </w:rPr>
      </w:pPr>
      <w:r>
        <w:rPr>
          <w:b/>
          <w:sz w:val="28"/>
        </w:rPr>
        <w:t>3、工作条件</w:t>
      </w:r>
    </w:p>
    <w:p w14:paraId="63FC87C1">
      <w:pPr>
        <w:spacing w:after="312" w:afterLines="100" w:line="360" w:lineRule="auto"/>
        <w:rPr>
          <w:sz w:val="24"/>
        </w:rPr>
      </w:pPr>
      <w:r>
        <w:rPr>
          <w:sz w:val="24"/>
        </w:rPr>
        <w:t>除非在技术规格中另有说明，所有仪器、设备和系统都应符合下列要求：</w:t>
      </w:r>
    </w:p>
    <w:p w14:paraId="077B690C">
      <w:pPr>
        <w:spacing w:line="360" w:lineRule="auto"/>
        <w:ind w:left="554" w:hanging="554" w:hangingChars="231"/>
        <w:rPr>
          <w:sz w:val="24"/>
        </w:rPr>
      </w:pPr>
      <w:r>
        <w:rPr>
          <w:sz w:val="24"/>
        </w:rPr>
        <w:t>3.1  适于在气温为摄氏</w:t>
      </w:r>
      <w:r>
        <w:rPr>
          <w:b/>
          <w:sz w:val="24"/>
        </w:rPr>
        <w:t>-40℃～＋50℃</w:t>
      </w:r>
      <w:r>
        <w:rPr>
          <w:sz w:val="24"/>
        </w:rPr>
        <w:t>和相对湿度为</w:t>
      </w:r>
      <w:r>
        <w:rPr>
          <w:b/>
          <w:sz w:val="24"/>
        </w:rPr>
        <w:t>90％</w:t>
      </w:r>
      <w:r>
        <w:rPr>
          <w:sz w:val="24"/>
        </w:rPr>
        <w:t>的环境条件下运输和贮存。</w:t>
      </w:r>
    </w:p>
    <w:p w14:paraId="0F20CC1A">
      <w:pPr>
        <w:spacing w:line="360" w:lineRule="auto"/>
        <w:ind w:left="554" w:hanging="554" w:hangingChars="231"/>
        <w:rPr>
          <w:sz w:val="24"/>
        </w:rPr>
      </w:pPr>
      <w:r>
        <w:rPr>
          <w:sz w:val="24"/>
        </w:rPr>
        <w:t>3.2  适于在电源</w:t>
      </w:r>
      <w:r>
        <w:rPr>
          <w:b/>
          <w:sz w:val="24"/>
        </w:rPr>
        <w:t>220V（</w:t>
      </w:r>
      <w:r>
        <w:rPr>
          <w:b/>
          <w:sz w:val="24"/>
        </w:rPr>
        <w:sym w:font="Symbol" w:char="F0B1"/>
      </w:r>
      <w:r>
        <w:rPr>
          <w:b/>
          <w:sz w:val="24"/>
        </w:rPr>
        <w:t>10％）/50Hz</w:t>
      </w:r>
      <w:r>
        <w:rPr>
          <w:sz w:val="24"/>
        </w:rPr>
        <w:t>、气温摄氏</w:t>
      </w:r>
      <w:r>
        <w:rPr>
          <w:b/>
          <w:sz w:val="24"/>
        </w:rPr>
        <w:t>+15℃～＋30℃</w:t>
      </w:r>
      <w:r>
        <w:rPr>
          <w:sz w:val="24"/>
        </w:rPr>
        <w:t>和相对湿度小于</w:t>
      </w:r>
      <w:r>
        <w:rPr>
          <w:b/>
          <w:sz w:val="24"/>
        </w:rPr>
        <w:t>80％</w:t>
      </w:r>
      <w:r>
        <w:rPr>
          <w:sz w:val="24"/>
        </w:rPr>
        <w:t>的环境条件下运行。</w:t>
      </w:r>
      <w:r>
        <w:rPr>
          <w:b/>
          <w:sz w:val="24"/>
        </w:rPr>
        <w:t>能够连续正常工作。</w:t>
      </w:r>
    </w:p>
    <w:p w14:paraId="4F657DFD">
      <w:pPr>
        <w:spacing w:line="360" w:lineRule="auto"/>
        <w:ind w:left="554" w:hanging="554" w:hangingChars="231"/>
        <w:rPr>
          <w:sz w:val="24"/>
        </w:rPr>
      </w:pPr>
      <w:r>
        <w:rPr>
          <w:sz w:val="24"/>
        </w:rPr>
        <w:t>3.3  配置符合中国有关标准要求的插头，如果没有这样的插头，则需提供适当的转换插座。</w:t>
      </w:r>
    </w:p>
    <w:p w14:paraId="25EAEAD1">
      <w:pPr>
        <w:spacing w:line="360" w:lineRule="auto"/>
        <w:ind w:left="554" w:hanging="554" w:hangingChars="231"/>
        <w:rPr>
          <w:rFonts w:hint="eastAsia"/>
          <w:sz w:val="24"/>
        </w:rPr>
      </w:pPr>
      <w:r>
        <w:rPr>
          <w:sz w:val="24"/>
        </w:rPr>
        <w:t>3.4  如产品达不到上述要求，供应商应注明其偏差。如仪器设备需要特殊工作条件（如水、电源、磁场强度、温度、湿度、动强度等）供应商应在投标书中加以说明。</w:t>
      </w:r>
    </w:p>
    <w:p w14:paraId="31113E6D">
      <w:pPr>
        <w:spacing w:before="156" w:beforeLines="50" w:after="156" w:afterLines="50" w:line="360" w:lineRule="auto"/>
        <w:ind w:left="601" w:hanging="601"/>
        <w:rPr>
          <w:b/>
          <w:sz w:val="28"/>
        </w:rPr>
      </w:pPr>
      <w:r>
        <w:rPr>
          <w:b/>
          <w:sz w:val="28"/>
        </w:rPr>
        <w:t>4、验收标准</w:t>
      </w:r>
    </w:p>
    <w:p w14:paraId="1549C2B7">
      <w:pPr>
        <w:spacing w:after="312" w:afterLines="100" w:line="360" w:lineRule="auto"/>
        <w:rPr>
          <w:sz w:val="24"/>
        </w:rPr>
      </w:pPr>
      <w:r>
        <w:rPr>
          <w:sz w:val="24"/>
        </w:rPr>
        <w:t xml:space="preserve">除非在具体要求中另有说明，所有仪器、设备和系统按下列要求进行验收： </w:t>
      </w:r>
    </w:p>
    <w:p w14:paraId="7279BDCE">
      <w:pPr>
        <w:spacing w:line="360" w:lineRule="auto"/>
        <w:ind w:left="554" w:hanging="554" w:hangingChars="231"/>
        <w:rPr>
          <w:sz w:val="24"/>
        </w:rPr>
      </w:pPr>
      <w:r>
        <w:rPr>
          <w:sz w:val="24"/>
        </w:rPr>
        <w:t>4.1  仪器设备运抵安装现场后，采购人将与供应商共同开箱验收, 如供应商届时不派人来, 则验收结果应以采购人的验收报告为最终验收结果。验收时发现短缺、破损, 采购人有权要求供应商负责更换。</w:t>
      </w:r>
    </w:p>
    <w:p w14:paraId="2D4912C1">
      <w:pPr>
        <w:spacing w:line="360" w:lineRule="auto"/>
        <w:ind w:left="554" w:hanging="554" w:hangingChars="231"/>
        <w:rPr>
          <w:sz w:val="24"/>
        </w:rPr>
      </w:pPr>
      <w:r>
        <w:rPr>
          <w:sz w:val="24"/>
        </w:rPr>
        <w:t>4.2  验收标准以中标人提供的投标文件中所列的指标为准（该指标应不低于采购文件所要求的指标）。任何虚假指标响应一经发现即作废标，供应商必须承担由此给采购人带来的一切经济损失和其它相关责任。</w:t>
      </w:r>
    </w:p>
    <w:p w14:paraId="687B5019">
      <w:pPr>
        <w:spacing w:line="360" w:lineRule="auto"/>
        <w:ind w:left="554" w:hanging="554" w:hangingChars="231"/>
        <w:rPr>
          <w:sz w:val="24"/>
        </w:rPr>
      </w:pPr>
      <w:r>
        <w:rPr>
          <w:sz w:val="24"/>
        </w:rPr>
        <w:t>4.3  验收由采购人、中标人及相关人员依国家有关标准、合同及有关附件要求进行，验收完毕由采购人及中标人在验收报告上签名。</w:t>
      </w:r>
    </w:p>
    <w:p w14:paraId="28B85678">
      <w:pPr>
        <w:pStyle w:val="7"/>
      </w:pPr>
    </w:p>
    <w:p w14:paraId="1629FA1B">
      <w:pPr>
        <w:spacing w:line="360" w:lineRule="auto"/>
        <w:ind w:left="410" w:hanging="410" w:hangingChars="170"/>
        <w:rPr>
          <w:b/>
          <w:sz w:val="24"/>
        </w:rPr>
      </w:pPr>
      <w:r>
        <w:rPr>
          <w:b/>
          <w:sz w:val="24"/>
        </w:rPr>
        <w:t>5、本具体要求中标注“</w:t>
      </w:r>
      <w:r>
        <w:rPr>
          <w:rFonts w:ascii="Segoe UI Symbol" w:hAnsi="Segoe UI Symbol" w:cs="Segoe UI Symbol"/>
          <w:b/>
          <w:sz w:val="24"/>
        </w:rPr>
        <w:t>★</w:t>
      </w:r>
      <w:r>
        <w:rPr>
          <w:b/>
          <w:sz w:val="24"/>
        </w:rPr>
        <w:t>”号的为实质性要求，不满足其投标将被拒绝。</w:t>
      </w:r>
    </w:p>
    <w:p w14:paraId="45A4540C">
      <w:pPr>
        <w:pStyle w:val="7"/>
      </w:pPr>
    </w:p>
    <w:p w14:paraId="6C511B4C">
      <w:pPr>
        <w:spacing w:line="360" w:lineRule="auto"/>
        <w:rPr>
          <w:b/>
          <w:sz w:val="24"/>
        </w:rPr>
      </w:pPr>
      <w:r>
        <w:rPr>
          <w:b/>
          <w:sz w:val="24"/>
        </w:rPr>
        <w:t>6、如在具体要求中有本总则不一致之处，以具体要求中的要求内容为准。</w:t>
      </w:r>
    </w:p>
    <w:p w14:paraId="5B9288ED">
      <w:pPr>
        <w:pStyle w:val="7"/>
        <w:rPr>
          <w:rFonts w:hint="eastAsia"/>
        </w:rPr>
      </w:pPr>
      <w:r>
        <w:rPr>
          <w:rFonts w:hint="eastAsia"/>
        </w:rPr>
        <w:br w:type="page"/>
      </w:r>
    </w:p>
    <w:p w14:paraId="7266258D">
      <w:pPr>
        <w:widowControl/>
        <w:snapToGrid w:val="0"/>
        <w:spacing w:line="360" w:lineRule="auto"/>
        <w:jc w:val="center"/>
        <w:rPr>
          <w:b/>
          <w:sz w:val="32"/>
          <w:szCs w:val="32"/>
        </w:rPr>
      </w:pPr>
      <w:r>
        <w:rPr>
          <w:rFonts w:hint="eastAsia"/>
          <w:b/>
          <w:sz w:val="32"/>
          <w:szCs w:val="32"/>
        </w:rPr>
        <w:t>三、具体要求</w:t>
      </w:r>
    </w:p>
    <w:p w14:paraId="51F0D706">
      <w:pPr>
        <w:pStyle w:val="7"/>
        <w:rPr>
          <w:rFonts w:hint="eastAsia"/>
        </w:rPr>
      </w:pPr>
    </w:p>
    <w:bookmarkEnd w:id="0"/>
    <w:bookmarkEnd w:id="1"/>
    <w:p w14:paraId="661A5E3A">
      <w:pPr>
        <w:tabs>
          <w:tab w:val="left" w:pos="-426"/>
        </w:tabs>
        <w:spacing w:line="480" w:lineRule="auto"/>
        <w:ind w:left="-426" w:leftChars="-203" w:firstLine="301" w:firstLineChars="100"/>
        <w:jc w:val="center"/>
        <w:rPr>
          <w:rFonts w:hint="eastAsia" w:ascii="Arial" w:hAnsi="Arial" w:cs="Arial"/>
          <w:sz w:val="32"/>
          <w:szCs w:val="32"/>
        </w:rPr>
      </w:pPr>
      <w:r>
        <w:rPr>
          <w:rFonts w:hint="eastAsia"/>
          <w:b/>
          <w:sz w:val="30"/>
          <w:szCs w:val="30"/>
        </w:rPr>
        <w:t>设备名称：原子层沉积系统</w:t>
      </w:r>
    </w:p>
    <w:p w14:paraId="3AF8B77B">
      <w:pPr>
        <w:widowControl/>
        <w:numPr>
          <w:ilvl w:val="0"/>
          <w:numId w:val="2"/>
        </w:numPr>
        <w:snapToGrid w:val="0"/>
        <w:spacing w:line="360" w:lineRule="auto"/>
        <w:ind w:left="-200" w:leftChars="-200" w:hanging="220" w:hangingChars="73"/>
        <w:jc w:val="left"/>
        <w:rPr>
          <w:rFonts w:hint="eastAsia"/>
          <w:b/>
          <w:sz w:val="30"/>
          <w:szCs w:val="30"/>
        </w:rPr>
      </w:pPr>
      <w:r>
        <w:rPr>
          <w:rFonts w:hint="eastAsia"/>
          <w:b/>
          <w:sz w:val="30"/>
          <w:szCs w:val="30"/>
        </w:rPr>
        <w:t>技术要求：</w:t>
      </w:r>
    </w:p>
    <w:p w14:paraId="75FE3FCA">
      <w:pPr>
        <w:tabs>
          <w:tab w:val="left" w:pos="-200"/>
        </w:tabs>
        <w:spacing w:line="480" w:lineRule="auto"/>
        <w:ind w:left="-199" w:leftChars="-95" w:firstLine="241" w:firstLineChars="100"/>
        <w:rPr>
          <w:rFonts w:hint="eastAsia" w:ascii="宋体" w:hAnsi="宋体" w:cs="Arial"/>
          <w:b/>
          <w:sz w:val="24"/>
        </w:rPr>
      </w:pPr>
      <w:r>
        <w:rPr>
          <w:rFonts w:hint="eastAsia" w:ascii="宋体" w:hAnsi="宋体" w:cs="Arial"/>
          <w:b/>
          <w:sz w:val="24"/>
        </w:rPr>
        <w:t>1、工作条件：</w:t>
      </w:r>
    </w:p>
    <w:p w14:paraId="5F1A748E">
      <w:pPr>
        <w:widowControl/>
        <w:snapToGrid w:val="0"/>
        <w:spacing w:line="360" w:lineRule="auto"/>
        <w:ind w:firstLine="480" w:firstLineChars="200"/>
        <w:rPr>
          <w:rFonts w:hint="eastAsia" w:ascii="宋体" w:hAnsi="宋体"/>
          <w:sz w:val="24"/>
        </w:rPr>
      </w:pPr>
      <w:r>
        <w:rPr>
          <w:rFonts w:hint="eastAsia" w:ascii="宋体" w:hAnsi="宋体"/>
          <w:sz w:val="24"/>
        </w:rPr>
        <w:t>1.1 使用环境：1000级以上无尘室，湿度45±10%，温度23±2℃；</w:t>
      </w:r>
    </w:p>
    <w:p w14:paraId="00735D6E">
      <w:pPr>
        <w:widowControl/>
        <w:snapToGrid w:val="0"/>
        <w:spacing w:line="360" w:lineRule="auto"/>
        <w:ind w:firstLine="480" w:firstLineChars="200"/>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 xml:space="preserve"> 电源：22</w:t>
      </w:r>
      <w:r>
        <w:rPr>
          <w:rFonts w:ascii="宋体" w:hAnsi="宋体"/>
          <w:sz w:val="24"/>
        </w:rPr>
        <w:t>0V(±5%)</w:t>
      </w:r>
      <w:r>
        <w:rPr>
          <w:rFonts w:hint="eastAsia" w:ascii="宋体" w:hAnsi="宋体"/>
          <w:sz w:val="24"/>
        </w:rPr>
        <w:t xml:space="preserve"> 50Hz；</w:t>
      </w:r>
    </w:p>
    <w:p w14:paraId="0D7C9572">
      <w:pPr>
        <w:widowControl/>
        <w:snapToGrid w:val="0"/>
        <w:spacing w:line="360" w:lineRule="auto"/>
        <w:ind w:firstLine="480" w:firstLineChars="200"/>
        <w:rPr>
          <w:rFonts w:ascii="宋体" w:hAnsi="宋体"/>
          <w:sz w:val="24"/>
        </w:rPr>
      </w:pPr>
      <w:r>
        <w:rPr>
          <w:rFonts w:hint="eastAsia" w:ascii="宋体" w:hAnsi="宋体"/>
          <w:sz w:val="24"/>
        </w:rPr>
        <w:t>1.3 冷却水：进水压力0.3-0.6MPa；压差＞0.1MPa；</w:t>
      </w:r>
    </w:p>
    <w:p w14:paraId="78DC618B">
      <w:pPr>
        <w:widowControl/>
        <w:snapToGrid w:val="0"/>
        <w:spacing w:line="360" w:lineRule="auto"/>
        <w:ind w:firstLine="480" w:firstLineChars="200"/>
        <w:rPr>
          <w:rFonts w:hint="eastAsia" w:ascii="宋体" w:hAnsi="宋体"/>
          <w:sz w:val="24"/>
        </w:rPr>
      </w:pPr>
      <w:r>
        <w:rPr>
          <w:rFonts w:hint="eastAsia" w:ascii="宋体" w:hAnsi="宋体"/>
          <w:sz w:val="24"/>
        </w:rPr>
        <w:t>1.4 压缩空气：流量需求50SLM；压力0.55MPa；</w:t>
      </w:r>
    </w:p>
    <w:p w14:paraId="0C015356">
      <w:pPr>
        <w:widowControl/>
        <w:snapToGrid w:val="0"/>
        <w:spacing w:line="360" w:lineRule="auto"/>
        <w:ind w:firstLine="480" w:firstLineChars="200"/>
        <w:rPr>
          <w:rFonts w:hint="eastAsia" w:ascii="宋体" w:hAnsi="宋体"/>
          <w:sz w:val="24"/>
        </w:rPr>
      </w:pPr>
      <w:r>
        <w:rPr>
          <w:rFonts w:hint="eastAsia" w:ascii="宋体" w:hAnsi="宋体"/>
          <w:sz w:val="24"/>
        </w:rPr>
        <w:t>1.5 氮气：流量2SLM，压力0.2MPa。</w:t>
      </w:r>
    </w:p>
    <w:p w14:paraId="3ADB7418">
      <w:pPr>
        <w:pStyle w:val="7"/>
        <w:rPr>
          <w:rFonts w:hint="eastAsia"/>
        </w:rPr>
      </w:pPr>
    </w:p>
    <w:p w14:paraId="256881D8">
      <w:pPr>
        <w:numPr>
          <w:ilvl w:val="0"/>
          <w:numId w:val="3"/>
        </w:numPr>
        <w:tabs>
          <w:tab w:val="left" w:pos="-200"/>
        </w:tabs>
        <w:spacing w:line="480" w:lineRule="auto"/>
        <w:ind w:left="-199" w:leftChars="-95" w:firstLine="241" w:firstLineChars="100"/>
        <w:rPr>
          <w:rFonts w:hint="eastAsia" w:ascii="宋体" w:hAnsi="宋体" w:cs="Arial"/>
          <w:b/>
          <w:sz w:val="24"/>
        </w:rPr>
      </w:pPr>
      <w:r>
        <w:rPr>
          <w:rFonts w:hint="eastAsia" w:ascii="宋体" w:hAnsi="宋体" w:cs="Arial"/>
          <w:b/>
          <w:sz w:val="24"/>
        </w:rPr>
        <w:t>设备用途说明：</w:t>
      </w:r>
    </w:p>
    <w:p w14:paraId="312E294B">
      <w:pPr>
        <w:spacing w:line="360" w:lineRule="auto"/>
        <w:ind w:firstLine="480" w:firstLineChars="200"/>
        <w:rPr>
          <w:rFonts w:hint="eastAsia" w:ascii="宋体" w:hAnsi="宋体" w:cs="Arial"/>
          <w:sz w:val="24"/>
        </w:rPr>
      </w:pPr>
      <w:r>
        <w:rPr>
          <w:rFonts w:ascii="宋体" w:hAnsi="宋体"/>
          <w:sz w:val="24"/>
        </w:rPr>
        <w:t>主要用来进行</w:t>
      </w:r>
      <w:r>
        <w:rPr>
          <w:rFonts w:hint="eastAsia" w:ascii="宋体" w:hAnsi="宋体"/>
          <w:sz w:val="24"/>
        </w:rPr>
        <w:t>高质量介质层制备，以单原子层分辨率沉积氧化物与氮化物，成键牢固、成膜均匀。</w:t>
      </w:r>
    </w:p>
    <w:p w14:paraId="0CFE10C9">
      <w:pPr>
        <w:pStyle w:val="7"/>
        <w:rPr>
          <w:rFonts w:hint="eastAsia"/>
        </w:rPr>
      </w:pPr>
    </w:p>
    <w:p w14:paraId="158322D7">
      <w:pPr>
        <w:tabs>
          <w:tab w:val="left" w:pos="0"/>
        </w:tabs>
        <w:spacing w:line="360" w:lineRule="auto"/>
        <w:ind w:left="-1"/>
        <w:rPr>
          <w:rFonts w:hint="eastAsia" w:ascii="宋体" w:hAnsi="宋体" w:cs="Arial"/>
          <w:b/>
          <w:sz w:val="24"/>
        </w:rPr>
      </w:pPr>
      <w:r>
        <w:rPr>
          <w:rFonts w:ascii="宋体" w:hAnsi="宋体"/>
          <w:b/>
          <w:sz w:val="24"/>
        </w:rPr>
        <w:t>3</w:t>
      </w:r>
      <w:r>
        <w:rPr>
          <w:rFonts w:hint="eastAsia" w:ascii="宋体" w:hAnsi="宋体"/>
          <w:b/>
          <w:sz w:val="24"/>
        </w:rPr>
        <w:t>、</w:t>
      </w:r>
      <w:r>
        <w:rPr>
          <w:rFonts w:ascii="宋体" w:hAnsi="宋体"/>
          <w:b/>
          <w:sz w:val="24"/>
        </w:rPr>
        <w:t>技术要求及参数：</w:t>
      </w:r>
      <w:r>
        <w:rPr>
          <w:rFonts w:hint="eastAsia" w:ascii="宋体" w:hAnsi="宋体" w:cs="Arial"/>
          <w:b/>
          <w:sz w:val="24"/>
        </w:rPr>
        <w:t xml:space="preserve"> </w:t>
      </w:r>
    </w:p>
    <w:p w14:paraId="23E78020">
      <w:pPr>
        <w:pStyle w:val="3"/>
        <w:spacing w:line="360" w:lineRule="auto"/>
        <w:rPr>
          <w:rFonts w:hint="eastAsia" w:ascii="宋体" w:hAnsi="宋体"/>
          <w:sz w:val="24"/>
        </w:rPr>
      </w:pPr>
      <w:r>
        <w:rPr>
          <w:rFonts w:hint="eastAsia" w:ascii="宋体" w:hAnsi="宋体"/>
          <w:sz w:val="24"/>
        </w:rPr>
        <w:t>3.1 总体要求</w:t>
      </w:r>
    </w:p>
    <w:p w14:paraId="6B96EE79">
      <w:pPr>
        <w:spacing w:line="360" w:lineRule="auto"/>
        <w:ind w:left="810" w:leftChars="100" w:hanging="600" w:hangingChars="250"/>
        <w:rPr>
          <w:rFonts w:hint="eastAsia" w:ascii="宋体" w:hAnsi="宋体"/>
          <w:sz w:val="24"/>
        </w:rPr>
      </w:pPr>
      <w:r>
        <w:rPr>
          <w:rFonts w:hint="eastAsia" w:ascii="宋体" w:hAnsi="宋体"/>
          <w:sz w:val="24"/>
        </w:rPr>
        <w:t xml:space="preserve">3.1.1 </w:t>
      </w:r>
      <w:r>
        <w:rPr>
          <w:rFonts w:ascii="宋体" w:hAnsi="宋体"/>
          <w:sz w:val="24"/>
        </w:rPr>
        <w:t>设备具有良好的操作性，方便的维修性，可靠的安全性。</w:t>
      </w:r>
    </w:p>
    <w:p w14:paraId="215A25E4">
      <w:pPr>
        <w:spacing w:line="360" w:lineRule="auto"/>
        <w:ind w:left="810" w:leftChars="100" w:hanging="600" w:hangingChars="250"/>
        <w:rPr>
          <w:rFonts w:ascii="宋体" w:hAnsi="宋体"/>
          <w:sz w:val="24"/>
        </w:rPr>
      </w:pPr>
      <w:r>
        <w:rPr>
          <w:rFonts w:hint="eastAsia" w:ascii="宋体" w:hAnsi="宋体"/>
          <w:sz w:val="24"/>
        </w:rPr>
        <w:t xml:space="preserve">3.1.2 </w:t>
      </w:r>
      <w:r>
        <w:rPr>
          <w:rFonts w:ascii="宋体" w:hAnsi="宋体"/>
          <w:sz w:val="24"/>
        </w:rPr>
        <w:t>设备的控制系统采用单独的PLC控制柜</w:t>
      </w:r>
      <w:r>
        <w:rPr>
          <w:rFonts w:hint="eastAsia" w:ascii="宋体" w:hAnsi="宋体"/>
          <w:sz w:val="24"/>
        </w:rPr>
        <w:t>，配置PLC控制系统。</w:t>
      </w:r>
      <w:r>
        <w:rPr>
          <w:rFonts w:ascii="宋体" w:hAnsi="宋体"/>
          <w:sz w:val="24"/>
        </w:rPr>
        <w:t>电气控制系统应安全可靠。</w:t>
      </w:r>
    </w:p>
    <w:p w14:paraId="189E3801">
      <w:pPr>
        <w:spacing w:line="360" w:lineRule="auto"/>
        <w:ind w:left="810" w:leftChars="100" w:hanging="600" w:hangingChars="250"/>
        <w:rPr>
          <w:rFonts w:hint="eastAsia" w:ascii="宋体" w:hAnsi="宋体"/>
          <w:sz w:val="24"/>
        </w:rPr>
      </w:pPr>
      <w:r>
        <w:rPr>
          <w:rFonts w:hint="eastAsia" w:ascii="宋体" w:hAnsi="宋体"/>
          <w:sz w:val="24"/>
        </w:rPr>
        <w:t xml:space="preserve">3.1.3 </w:t>
      </w:r>
      <w:r>
        <w:rPr>
          <w:rFonts w:ascii="宋体" w:hAnsi="宋体"/>
          <w:sz w:val="24"/>
        </w:rPr>
        <w:t>设备的操作</w:t>
      </w:r>
      <w:r>
        <w:rPr>
          <w:rFonts w:hint="eastAsia" w:ascii="宋体" w:hAnsi="宋体"/>
          <w:sz w:val="24"/>
        </w:rPr>
        <w:t>和工艺菜单</w:t>
      </w:r>
      <w:r>
        <w:rPr>
          <w:rFonts w:ascii="宋体" w:hAnsi="宋体"/>
          <w:sz w:val="24"/>
        </w:rPr>
        <w:t>由一台</w:t>
      </w:r>
      <w:r>
        <w:rPr>
          <w:rFonts w:hint="eastAsia" w:ascii="宋体" w:hAnsi="宋体"/>
          <w:sz w:val="24"/>
        </w:rPr>
        <w:t>PC处理</w:t>
      </w:r>
      <w:r>
        <w:rPr>
          <w:rFonts w:ascii="宋体" w:hAnsi="宋体"/>
          <w:sz w:val="24"/>
        </w:rPr>
        <w:t>，</w:t>
      </w:r>
      <w:r>
        <w:rPr>
          <w:rFonts w:hint="eastAsia" w:ascii="宋体" w:hAnsi="宋体"/>
          <w:sz w:val="24"/>
        </w:rPr>
        <w:t>设备包含</w:t>
      </w:r>
      <w:r>
        <w:rPr>
          <w:rFonts w:ascii="宋体" w:hAnsi="宋体"/>
          <w:sz w:val="24"/>
        </w:rPr>
        <w:t>操作用PC并安装所需的操作软件。</w:t>
      </w:r>
      <w:r>
        <w:rPr>
          <w:rFonts w:hint="eastAsia" w:ascii="宋体" w:hAnsi="宋体"/>
          <w:sz w:val="24"/>
        </w:rPr>
        <w:t>能够在沉积过程中监测显示每个源管路的脉冲压强，显示脉冲压强与时间关系图，用于监测脉冲稳定性。界面友好，具备程序储存，读取功能，能够导出实验数据。控制系统包含安全互锁功能。</w:t>
      </w:r>
    </w:p>
    <w:p w14:paraId="654DCE00">
      <w:pPr>
        <w:spacing w:line="360" w:lineRule="auto"/>
        <w:rPr>
          <w:rFonts w:hint="eastAsia" w:ascii="宋体" w:hAnsi="宋体"/>
          <w:sz w:val="24"/>
        </w:rPr>
      </w:pPr>
      <w:r>
        <w:rPr>
          <w:rFonts w:hint="eastAsia" w:ascii="宋体" w:hAnsi="宋体"/>
          <w:sz w:val="24"/>
        </w:rPr>
        <w:t>3.2 设备技术规格</w:t>
      </w:r>
    </w:p>
    <w:p w14:paraId="352313D7">
      <w:pPr>
        <w:spacing w:line="360" w:lineRule="auto"/>
        <w:ind w:left="810" w:leftChars="100" w:hanging="600" w:hangingChars="25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2.1 设备</w:t>
      </w:r>
      <w:r>
        <w:rPr>
          <w:rFonts w:ascii="宋体" w:hAnsi="宋体"/>
          <w:sz w:val="24"/>
        </w:rPr>
        <w:t>腔体</w:t>
      </w:r>
    </w:p>
    <w:p w14:paraId="283CEC61">
      <w:pPr>
        <w:spacing w:line="360" w:lineRule="auto"/>
        <w:ind w:left="449" w:leftChars="214"/>
        <w:rPr>
          <w:rFonts w:ascii="宋体" w:hAnsi="宋体"/>
          <w:sz w:val="24"/>
        </w:rPr>
      </w:pPr>
      <w:r>
        <w:rPr>
          <w:rFonts w:hint="eastAsia" w:ascii="宋体" w:hAnsi="宋体"/>
          <w:b/>
          <w:sz w:val="24"/>
        </w:rPr>
        <w:t>★</w:t>
      </w:r>
      <w:r>
        <w:rPr>
          <w:rFonts w:hint="eastAsia" w:ascii="宋体" w:hAnsi="宋体"/>
          <w:sz w:val="24"/>
        </w:rPr>
        <w:t>3.2.1.1</w:t>
      </w:r>
      <w:r>
        <w:rPr>
          <w:rFonts w:ascii="宋体" w:hAnsi="宋体"/>
          <w:sz w:val="24"/>
        </w:rPr>
        <w:t xml:space="preserve"> </w:t>
      </w:r>
      <w:r>
        <w:rPr>
          <w:rFonts w:hint="eastAsia" w:ascii="宋体" w:hAnsi="宋体"/>
          <w:sz w:val="24"/>
        </w:rPr>
        <w:t>反应腔满足直径200</w:t>
      </w:r>
      <w:r>
        <w:rPr>
          <w:rFonts w:ascii="宋体" w:hAnsi="宋体"/>
          <w:sz w:val="24"/>
        </w:rPr>
        <w:t>mm</w:t>
      </w:r>
      <w:r>
        <w:rPr>
          <w:rFonts w:hint="eastAsia" w:ascii="宋体" w:hAnsi="宋体"/>
          <w:sz w:val="24"/>
        </w:rPr>
        <w:t>及以下尺寸衬底的使用要求。</w:t>
      </w:r>
    </w:p>
    <w:p w14:paraId="5B1055B8">
      <w:pPr>
        <w:spacing w:line="360" w:lineRule="auto"/>
        <w:ind w:left="1051" w:leftChars="214" w:hanging="602" w:hangingChars="250"/>
        <w:rPr>
          <w:rFonts w:ascii="宋体" w:hAnsi="宋体"/>
          <w:sz w:val="24"/>
        </w:rPr>
      </w:pPr>
      <w:r>
        <w:rPr>
          <w:rFonts w:hint="eastAsia" w:ascii="宋体" w:hAnsi="宋体"/>
          <w:b/>
          <w:sz w:val="24"/>
        </w:rPr>
        <w:t>★</w:t>
      </w:r>
      <w:r>
        <w:rPr>
          <w:rFonts w:hint="eastAsia" w:ascii="宋体" w:hAnsi="宋体"/>
          <w:sz w:val="24"/>
        </w:rPr>
        <w:t>3.2.1.2</w:t>
      </w:r>
      <w:r>
        <w:rPr>
          <w:rFonts w:ascii="宋体" w:hAnsi="宋体"/>
          <w:sz w:val="24"/>
        </w:rPr>
        <w:t xml:space="preserve"> </w:t>
      </w:r>
      <w:r>
        <w:rPr>
          <w:rFonts w:hint="eastAsia" w:ascii="宋体" w:hAnsi="宋体"/>
          <w:sz w:val="24"/>
        </w:rPr>
        <w:t>腔体结构采用双腔体结构，即真空腔+反应腔结构。反应腔安装于真空腔内部。所有加热元件均安装于反应腔外部。</w:t>
      </w:r>
    </w:p>
    <w:p w14:paraId="414F4B81">
      <w:pPr>
        <w:spacing w:line="360" w:lineRule="auto"/>
        <w:ind w:left="1049" w:leftChars="328" w:hanging="360" w:hangingChars="150"/>
        <w:rPr>
          <w:rFonts w:hint="eastAsia" w:ascii="宋体" w:hAnsi="宋体"/>
          <w:sz w:val="24"/>
        </w:rPr>
      </w:pPr>
      <w:r>
        <w:rPr>
          <w:rFonts w:hint="eastAsia" w:ascii="宋体" w:hAnsi="宋体"/>
          <w:sz w:val="24"/>
        </w:rPr>
        <w:t>3.2.1.3 反应腔为全热壁，加热方式采用外部环绕对称式辐射加热模式，确保反应腔内部在任何位置上温度的一致性。</w:t>
      </w:r>
    </w:p>
    <w:p w14:paraId="5250A31A">
      <w:pPr>
        <w:spacing w:line="360" w:lineRule="auto"/>
        <w:ind w:left="1049" w:leftChars="214" w:hanging="600" w:hangingChars="250"/>
        <w:rPr>
          <w:rFonts w:hint="eastAsia" w:ascii="宋体" w:hAnsi="宋体"/>
          <w:sz w:val="24"/>
        </w:rPr>
      </w:pPr>
      <w:r>
        <w:rPr>
          <w:rFonts w:hint="eastAsia" w:ascii="宋体" w:hAnsi="宋体"/>
          <w:sz w:val="24"/>
        </w:rPr>
        <w:t>▲3.2.1.4 真空腔外壁为全冷壁，腔体漏率≤</w:t>
      </w:r>
      <w:r>
        <w:rPr>
          <w:rFonts w:ascii="宋体" w:hAnsi="宋体"/>
          <w:sz w:val="24"/>
        </w:rPr>
        <w:t>10E-7Pa.m</w:t>
      </w:r>
      <w:r>
        <w:rPr>
          <w:rFonts w:ascii="宋体" w:hAnsi="宋体"/>
          <w:sz w:val="24"/>
          <w:vertAlign w:val="superscript"/>
        </w:rPr>
        <w:t>3</w:t>
      </w:r>
      <w:r>
        <w:rPr>
          <w:rFonts w:ascii="宋体" w:hAnsi="宋体"/>
          <w:sz w:val="24"/>
        </w:rPr>
        <w:t>/S</w:t>
      </w:r>
      <w:r>
        <w:rPr>
          <w:rFonts w:hint="eastAsia" w:ascii="宋体" w:hAnsi="宋体"/>
          <w:sz w:val="24"/>
        </w:rPr>
        <w:t>。无隔热材料，保证操作的安全性，并避免因隔热材料中的纤维或粉尘的扩散对实验室净化间造成影响。</w:t>
      </w:r>
    </w:p>
    <w:p w14:paraId="335A52C7">
      <w:pPr>
        <w:spacing w:line="360" w:lineRule="auto"/>
        <w:ind w:left="1049" w:leftChars="328" w:hanging="360" w:hangingChars="150"/>
        <w:rPr>
          <w:rFonts w:ascii="宋体" w:hAnsi="宋体"/>
          <w:sz w:val="24"/>
        </w:rPr>
      </w:pPr>
      <w:r>
        <w:rPr>
          <w:rFonts w:hint="eastAsia" w:ascii="宋体" w:hAnsi="宋体"/>
          <w:sz w:val="24"/>
        </w:rPr>
        <w:t>3.2.1.5</w:t>
      </w:r>
      <w:r>
        <w:rPr>
          <w:rFonts w:ascii="宋体" w:hAnsi="宋体"/>
          <w:sz w:val="24"/>
        </w:rPr>
        <w:t xml:space="preserve"> </w:t>
      </w:r>
      <w:r>
        <w:rPr>
          <w:rFonts w:hint="eastAsia" w:ascii="宋体" w:hAnsi="宋体"/>
          <w:sz w:val="24"/>
        </w:rPr>
        <w:t>在正常工艺操作过程中，真空腔压力始终大于反应腔压力，防止前驱体向外泄漏，腔体本底真空≤20mTorr。</w:t>
      </w:r>
    </w:p>
    <w:p w14:paraId="6B10D0DF">
      <w:pPr>
        <w:spacing w:line="360" w:lineRule="auto"/>
        <w:ind w:left="1049" w:leftChars="214" w:hanging="600" w:hangingChars="250"/>
        <w:rPr>
          <w:rFonts w:hint="eastAsia" w:ascii="宋体" w:hAnsi="宋体"/>
          <w:sz w:val="24"/>
        </w:rPr>
      </w:pPr>
      <w:r>
        <w:rPr>
          <w:rFonts w:hint="eastAsia" w:ascii="宋体" w:hAnsi="宋体"/>
          <w:sz w:val="24"/>
        </w:rPr>
        <w:t xml:space="preserve">▲3.2.1.6 工艺腔体采用钛合金腔体，可实现温度范围：100~450℃，精度≤±1℃。 </w:t>
      </w:r>
    </w:p>
    <w:p w14:paraId="0934BD49">
      <w:pPr>
        <w:spacing w:line="360" w:lineRule="auto"/>
        <w:ind w:left="1049" w:leftChars="214" w:hanging="600" w:hangingChars="250"/>
        <w:rPr>
          <w:rFonts w:hint="eastAsia" w:ascii="宋体" w:hAnsi="宋体"/>
          <w:sz w:val="24"/>
        </w:rPr>
      </w:pPr>
      <w:r>
        <w:rPr>
          <w:rFonts w:hint="eastAsia" w:ascii="宋体" w:hAnsi="宋体"/>
          <w:sz w:val="24"/>
        </w:rPr>
        <w:t>▲3.2.1.7 设备采用自动传输方案，可以支持多菜单同时运行。</w:t>
      </w:r>
    </w:p>
    <w:p w14:paraId="1C2D3EE8">
      <w:pPr>
        <w:spacing w:line="360" w:lineRule="auto"/>
        <w:ind w:left="810" w:leftChars="100" w:hanging="600" w:hangingChars="250"/>
        <w:rPr>
          <w:rFonts w:hint="eastAsia" w:ascii="宋体" w:hAnsi="宋体"/>
          <w:sz w:val="24"/>
        </w:rPr>
      </w:pPr>
      <w:r>
        <w:rPr>
          <w:rFonts w:hint="eastAsia" w:ascii="宋体" w:hAnsi="宋体"/>
          <w:sz w:val="24"/>
        </w:rPr>
        <w:t>3.2.2 气体管路</w:t>
      </w:r>
    </w:p>
    <w:p w14:paraId="17615CFA">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2.2.1 前驱源气体管路满足有毒性气体或易燃性工艺气体的适用要求。管路包括但不限于</w:t>
      </w:r>
      <w:r>
        <w:rPr>
          <w:rFonts w:ascii="宋体" w:hAnsi="宋体"/>
          <w:sz w:val="24"/>
        </w:rPr>
        <w:t>ALD</w:t>
      </w:r>
      <w:r>
        <w:rPr>
          <w:rFonts w:hint="eastAsia" w:ascii="宋体" w:hAnsi="宋体"/>
          <w:sz w:val="24"/>
        </w:rPr>
        <w:t>阀、压力传感器、不锈钢管路和VCR连接器等配置。</w:t>
      </w:r>
    </w:p>
    <w:p w14:paraId="25EA6058">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 xml:space="preserve">2.2.2 </w:t>
      </w:r>
      <w:r>
        <w:rPr>
          <w:rFonts w:ascii="宋体" w:hAnsi="宋体"/>
          <w:sz w:val="24"/>
        </w:rPr>
        <w:t>所有工艺气体管路均采用电抛光不</w:t>
      </w:r>
      <w:r>
        <w:rPr>
          <w:rFonts w:hint="eastAsia" w:ascii="宋体" w:hAnsi="宋体"/>
          <w:sz w:val="24"/>
        </w:rPr>
        <w:t>锈钢</w:t>
      </w:r>
      <w:r>
        <w:rPr>
          <w:rFonts w:ascii="宋体" w:hAnsi="宋体"/>
          <w:sz w:val="24"/>
        </w:rPr>
        <w:t>材料。所有联接接头均采用金属密封。</w:t>
      </w:r>
      <w:r>
        <w:rPr>
          <w:rFonts w:hint="eastAsia" w:ascii="宋体" w:hAnsi="宋体"/>
          <w:sz w:val="24"/>
        </w:rPr>
        <w:t>工艺气体管路满足易燃以及有毒性前驱气体的使用要求。软硬件须配置相应的安全互锁功能，满足非兼容性气体的使用要求。</w:t>
      </w:r>
    </w:p>
    <w:p w14:paraId="67CB465D">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 xml:space="preserve">2.2.3 </w:t>
      </w:r>
      <w:r>
        <w:rPr>
          <w:rFonts w:ascii="宋体" w:hAnsi="宋体"/>
          <w:sz w:val="24"/>
        </w:rPr>
        <w:t>为确保在ALD阀切断后</w:t>
      </w:r>
      <w:r>
        <w:rPr>
          <w:rFonts w:hint="eastAsia" w:ascii="宋体" w:hAnsi="宋体"/>
          <w:sz w:val="24"/>
        </w:rPr>
        <w:t>，</w:t>
      </w:r>
      <w:r>
        <w:rPr>
          <w:rFonts w:ascii="宋体" w:hAnsi="宋体"/>
          <w:sz w:val="24"/>
        </w:rPr>
        <w:t>ALD阀和反应腔之间的管路内没有前躯体残留，设备的</w:t>
      </w:r>
      <w:r>
        <w:rPr>
          <w:rFonts w:hint="eastAsia" w:ascii="宋体" w:hAnsi="宋体"/>
          <w:sz w:val="24"/>
        </w:rPr>
        <w:t>前驱体</w:t>
      </w:r>
      <w:r>
        <w:rPr>
          <w:rFonts w:ascii="宋体" w:hAnsi="宋体"/>
          <w:sz w:val="24"/>
        </w:rPr>
        <w:t>管路系统中</w:t>
      </w:r>
      <w:r>
        <w:rPr>
          <w:rFonts w:hint="eastAsia" w:ascii="宋体" w:hAnsi="宋体"/>
          <w:sz w:val="24"/>
        </w:rPr>
        <w:t>须</w:t>
      </w:r>
      <w:bookmarkStart w:id="2" w:name="_Hlk43299965"/>
      <w:r>
        <w:rPr>
          <w:rFonts w:hint="eastAsia" w:ascii="宋体" w:hAnsi="宋体"/>
          <w:sz w:val="24"/>
        </w:rPr>
        <w:t>具有在线自动惰性气体净化</w:t>
      </w:r>
      <w:bookmarkEnd w:id="2"/>
      <w:r>
        <w:rPr>
          <w:rFonts w:hint="eastAsia" w:ascii="宋体" w:hAnsi="宋体"/>
          <w:sz w:val="24"/>
        </w:rPr>
        <w:t>功能</w:t>
      </w:r>
      <w:r>
        <w:rPr>
          <w:rFonts w:ascii="宋体" w:hAnsi="宋体"/>
          <w:sz w:val="24"/>
        </w:rPr>
        <w:t>。</w:t>
      </w:r>
      <w:r>
        <w:rPr>
          <w:rFonts w:hint="eastAsia" w:ascii="宋体" w:hAnsi="宋体"/>
          <w:sz w:val="24"/>
        </w:rPr>
        <w:t>投标人须提供在线自动惰性气体净化功能的工作原理图并说明其工作原理。</w:t>
      </w:r>
    </w:p>
    <w:p w14:paraId="09064E60">
      <w:pPr>
        <w:spacing w:line="360" w:lineRule="auto"/>
        <w:ind w:left="1049" w:leftChars="214" w:hanging="600" w:hangingChars="250"/>
        <w:rPr>
          <w:rFonts w:hint="eastAsia" w:ascii="宋体" w:hAnsi="宋体"/>
          <w:sz w:val="24"/>
        </w:rPr>
      </w:pPr>
      <w:r>
        <w:rPr>
          <w:rFonts w:hint="eastAsia" w:ascii="宋体" w:hAnsi="宋体"/>
          <w:sz w:val="24"/>
        </w:rPr>
        <w:t>▲3.2.2.4 ALD常温脉冲阀，响应时间≤10 ms。</w:t>
      </w:r>
    </w:p>
    <w:p w14:paraId="18A2C4D0">
      <w:pPr>
        <w:spacing w:line="360" w:lineRule="auto"/>
        <w:ind w:left="810" w:leftChars="100" w:hanging="600" w:hangingChars="250"/>
        <w:rPr>
          <w:rFonts w:hint="eastAsia" w:ascii="宋体" w:hAnsi="宋体"/>
          <w:sz w:val="24"/>
        </w:rPr>
      </w:pPr>
      <w:r>
        <w:rPr>
          <w:rFonts w:hint="eastAsia" w:ascii="宋体" w:hAnsi="宋体"/>
          <w:sz w:val="24"/>
        </w:rPr>
        <w:t>3.2.3 加热前驱源及管路</w:t>
      </w:r>
    </w:p>
    <w:p w14:paraId="505381F0">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2</w:t>
      </w:r>
      <w:r>
        <w:rPr>
          <w:rFonts w:ascii="宋体" w:hAnsi="宋体"/>
          <w:sz w:val="24"/>
        </w:rPr>
        <w:t>.</w:t>
      </w:r>
      <w:r>
        <w:rPr>
          <w:rFonts w:hint="eastAsia" w:ascii="宋体" w:hAnsi="宋体"/>
          <w:sz w:val="24"/>
        </w:rPr>
        <w:t>3.1 加热源位≥1个，加热前驱体料源系统均配置加热、保温和温度控制系统，保证前驱源不在管路中冷凝。</w:t>
      </w:r>
    </w:p>
    <w:p w14:paraId="149CD559">
      <w:pPr>
        <w:spacing w:line="360" w:lineRule="auto"/>
        <w:ind w:left="1049" w:leftChars="214" w:hanging="600" w:hangingChars="25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2</w:t>
      </w:r>
      <w:r>
        <w:rPr>
          <w:rFonts w:ascii="宋体" w:hAnsi="宋体"/>
          <w:sz w:val="24"/>
        </w:rPr>
        <w:t>.</w:t>
      </w:r>
      <w:r>
        <w:rPr>
          <w:rFonts w:hint="eastAsia" w:ascii="宋体" w:hAnsi="宋体"/>
          <w:sz w:val="24"/>
        </w:rPr>
        <w:t xml:space="preserve">3.2 </w:t>
      </w:r>
      <w:r>
        <w:rPr>
          <w:rFonts w:ascii="宋体" w:hAnsi="宋体"/>
          <w:sz w:val="24"/>
        </w:rPr>
        <w:t>加热料源装置及与之相联接管路的最高加热温度</w:t>
      </w:r>
      <w:r>
        <w:rPr>
          <w:rFonts w:hint="eastAsia" w:ascii="宋体" w:hAnsi="宋体"/>
          <w:sz w:val="24"/>
        </w:rPr>
        <w:t>≥2</w:t>
      </w:r>
      <w:r>
        <w:rPr>
          <w:rFonts w:ascii="宋体" w:hAnsi="宋体"/>
          <w:sz w:val="24"/>
        </w:rPr>
        <w:t>00</w:t>
      </w:r>
      <w:r>
        <w:rPr>
          <w:rFonts w:hint="eastAsia" w:ascii="宋体" w:hAnsi="宋体"/>
          <w:sz w:val="24"/>
        </w:rPr>
        <w:t>℃，配备（包括但不限于）温控管路、高温ALD阀门等必要部件，加热温度可设定和控制，温度控制精度：</w:t>
      </w:r>
      <w:bookmarkStart w:id="3" w:name="_Hlk103321927"/>
      <w:r>
        <w:rPr>
          <w:rFonts w:ascii="宋体" w:hAnsi="宋体"/>
          <w:sz w:val="24"/>
        </w:rPr>
        <w:t>≤</w:t>
      </w:r>
      <w:bookmarkEnd w:id="3"/>
      <w:r>
        <w:rPr>
          <w:rFonts w:hint="eastAsia" w:ascii="宋体" w:hAnsi="宋体"/>
          <w:sz w:val="24"/>
        </w:rPr>
        <w:t>±2℃</w:t>
      </w:r>
      <w:r>
        <w:rPr>
          <w:rFonts w:ascii="宋体" w:hAnsi="宋体"/>
          <w:sz w:val="24"/>
        </w:rPr>
        <w:t>。</w:t>
      </w:r>
    </w:p>
    <w:p w14:paraId="05E3CE79">
      <w:pPr>
        <w:spacing w:line="360" w:lineRule="auto"/>
        <w:ind w:left="1049" w:leftChars="328" w:hanging="360" w:hangingChars="150"/>
        <w:rPr>
          <w:rFonts w:hint="eastAsia" w:ascii="宋体" w:hAnsi="宋体"/>
          <w:sz w:val="24"/>
        </w:rPr>
      </w:pPr>
      <w:r>
        <w:rPr>
          <w:rFonts w:hint="eastAsia" w:ascii="宋体" w:hAnsi="宋体"/>
          <w:sz w:val="24"/>
        </w:rPr>
        <w:t>3.2.3.3 加热源料瓶采用AISI316不锈钢材料。</w:t>
      </w:r>
    </w:p>
    <w:p w14:paraId="566B1556">
      <w:pPr>
        <w:spacing w:line="360" w:lineRule="auto"/>
        <w:ind w:left="1049" w:leftChars="328" w:hanging="360" w:hangingChars="150"/>
        <w:rPr>
          <w:rFonts w:hint="eastAsia" w:ascii="宋体" w:hAnsi="宋体"/>
          <w:sz w:val="24"/>
        </w:rPr>
      </w:pPr>
      <w:r>
        <w:rPr>
          <w:rFonts w:hint="eastAsia" w:ascii="宋体" w:hAnsi="宋体"/>
          <w:sz w:val="24"/>
        </w:rPr>
        <w:t>3.2.3.4 在更换料瓶前后，管路及与之相联接管路、阀门系统具有在线净化功能，</w:t>
      </w:r>
      <w:r>
        <w:rPr>
          <w:rFonts w:ascii="宋体" w:hAnsi="宋体"/>
          <w:sz w:val="24"/>
        </w:rPr>
        <w:t>方便料瓶更换。</w:t>
      </w:r>
    </w:p>
    <w:p w14:paraId="459EFF20">
      <w:pPr>
        <w:spacing w:line="360" w:lineRule="auto"/>
        <w:ind w:left="810" w:leftChars="100" w:hanging="600" w:hangingChars="250"/>
        <w:rPr>
          <w:rFonts w:ascii="宋体" w:hAnsi="宋体"/>
          <w:sz w:val="24"/>
        </w:rPr>
      </w:pPr>
      <w:r>
        <w:rPr>
          <w:rFonts w:hint="eastAsia" w:ascii="宋体" w:hAnsi="宋体"/>
          <w:bCs/>
          <w:sz w:val="24"/>
        </w:rPr>
        <w:t>3</w:t>
      </w:r>
      <w:r>
        <w:rPr>
          <w:rFonts w:ascii="宋体" w:hAnsi="宋体"/>
          <w:bCs/>
          <w:sz w:val="24"/>
        </w:rPr>
        <w:t>.</w:t>
      </w:r>
      <w:r>
        <w:rPr>
          <w:rFonts w:hint="eastAsia" w:ascii="宋体" w:hAnsi="宋体"/>
          <w:bCs/>
          <w:sz w:val="24"/>
        </w:rPr>
        <w:t xml:space="preserve">2.4 </w:t>
      </w:r>
      <w:r>
        <w:rPr>
          <w:rFonts w:ascii="宋体" w:hAnsi="宋体"/>
          <w:sz w:val="24"/>
        </w:rPr>
        <w:t>常温液态前驱源</w:t>
      </w:r>
      <w:r>
        <w:rPr>
          <w:rFonts w:hint="eastAsia" w:ascii="宋体" w:hAnsi="宋体"/>
          <w:sz w:val="24"/>
        </w:rPr>
        <w:t>及</w:t>
      </w:r>
      <w:r>
        <w:rPr>
          <w:rFonts w:ascii="宋体" w:hAnsi="宋体"/>
          <w:sz w:val="24"/>
        </w:rPr>
        <w:t>管路</w:t>
      </w:r>
    </w:p>
    <w:p w14:paraId="766B0BA2">
      <w:pPr>
        <w:spacing w:line="360" w:lineRule="auto"/>
        <w:ind w:left="1049" w:leftChars="214" w:hanging="600" w:hangingChars="25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2.4</w:t>
      </w:r>
      <w:r>
        <w:rPr>
          <w:rFonts w:ascii="宋体" w:hAnsi="宋体"/>
          <w:sz w:val="24"/>
        </w:rPr>
        <w:t>.</w:t>
      </w:r>
      <w:r>
        <w:rPr>
          <w:rFonts w:hint="eastAsia" w:ascii="宋体" w:hAnsi="宋体"/>
          <w:sz w:val="24"/>
        </w:rPr>
        <w:t>1 常温液态源位不低于2个，且</w:t>
      </w:r>
      <w:r>
        <w:rPr>
          <w:rFonts w:ascii="宋体" w:hAnsi="宋体"/>
          <w:sz w:val="24"/>
        </w:rPr>
        <w:t>常温液态源料瓶采用AISI316不锈钢材料。</w:t>
      </w:r>
    </w:p>
    <w:p w14:paraId="5C81CEC0">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2.4</w:t>
      </w:r>
      <w:r>
        <w:rPr>
          <w:rFonts w:ascii="宋体" w:hAnsi="宋体"/>
          <w:sz w:val="24"/>
        </w:rPr>
        <w:t>.</w:t>
      </w:r>
      <w:r>
        <w:rPr>
          <w:rFonts w:hint="eastAsia" w:ascii="宋体" w:hAnsi="宋体"/>
          <w:sz w:val="24"/>
        </w:rPr>
        <w:t xml:space="preserve">2 </w:t>
      </w:r>
      <w:r>
        <w:rPr>
          <w:rFonts w:ascii="宋体" w:hAnsi="宋体"/>
          <w:sz w:val="24"/>
        </w:rPr>
        <w:t>在更换料瓶前后，管路及与之相联接管路</w:t>
      </w:r>
      <w:r>
        <w:rPr>
          <w:rFonts w:hint="eastAsia" w:ascii="宋体" w:hAnsi="宋体"/>
          <w:sz w:val="24"/>
        </w:rPr>
        <w:t>、</w:t>
      </w:r>
      <w:r>
        <w:rPr>
          <w:rFonts w:ascii="宋体" w:hAnsi="宋体"/>
          <w:sz w:val="24"/>
        </w:rPr>
        <w:t>阀门系统须具有在线净化功能，方便料瓶更换。</w:t>
      </w:r>
    </w:p>
    <w:p w14:paraId="723D1FBC">
      <w:pPr>
        <w:spacing w:line="360" w:lineRule="auto"/>
        <w:ind w:left="1049" w:leftChars="328" w:hanging="360" w:hangingChars="150"/>
        <w:rPr>
          <w:rFonts w:hint="eastAsia" w:ascii="宋体" w:hAnsi="宋体"/>
          <w:sz w:val="24"/>
        </w:rPr>
      </w:pPr>
      <w:r>
        <w:rPr>
          <w:rFonts w:hint="eastAsia" w:ascii="宋体" w:hAnsi="宋体"/>
          <w:sz w:val="24"/>
        </w:rPr>
        <w:t>3.2.4.3 每路源管道安装压力计用于管路状况监控。</w:t>
      </w:r>
    </w:p>
    <w:p w14:paraId="305A536B">
      <w:pPr>
        <w:spacing w:line="360" w:lineRule="auto"/>
        <w:ind w:left="1049" w:leftChars="328" w:hanging="360" w:hangingChars="150"/>
        <w:rPr>
          <w:rFonts w:hint="eastAsia" w:ascii="宋体" w:hAnsi="宋体"/>
          <w:sz w:val="24"/>
        </w:rPr>
      </w:pPr>
      <w:r>
        <w:rPr>
          <w:rFonts w:hint="eastAsia" w:ascii="宋体" w:hAnsi="宋体"/>
          <w:sz w:val="24"/>
        </w:rPr>
        <w:t>3.2.4.4 源瓶安装液位传感器，电脑端可适时监控源液位情况。</w:t>
      </w:r>
    </w:p>
    <w:p w14:paraId="3EC133A8">
      <w:pPr>
        <w:spacing w:line="360" w:lineRule="auto"/>
        <w:ind w:left="810" w:leftChars="100" w:hanging="600" w:hangingChars="250"/>
        <w:rPr>
          <w:rFonts w:hint="eastAsia"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2.5真空泵系统</w:t>
      </w:r>
    </w:p>
    <w:p w14:paraId="7E023255">
      <w:pPr>
        <w:spacing w:line="360" w:lineRule="auto"/>
        <w:ind w:left="1049" w:leftChars="214" w:hanging="600" w:hangingChars="250"/>
        <w:rPr>
          <w:rFonts w:hint="eastAsia" w:ascii="宋体" w:hAnsi="宋体"/>
          <w:sz w:val="24"/>
        </w:rPr>
      </w:pPr>
      <w:r>
        <w:rPr>
          <w:rFonts w:hint="eastAsia" w:ascii="宋体" w:hAnsi="宋体"/>
          <w:sz w:val="24"/>
        </w:rPr>
        <w:t>▲3.2.5.1 腔体配置干式真空泵，最大抽速：</w:t>
      </w:r>
      <w:bookmarkStart w:id="4" w:name="_Hlk103318952"/>
      <w:r>
        <w:rPr>
          <w:rFonts w:hint="eastAsia" w:ascii="宋体" w:hAnsi="宋体"/>
          <w:sz w:val="24"/>
        </w:rPr>
        <w:t>≥</w:t>
      </w:r>
      <w:bookmarkEnd w:id="4"/>
      <w:r>
        <w:rPr>
          <w:rFonts w:hint="eastAsia" w:ascii="宋体" w:hAnsi="宋体"/>
          <w:sz w:val="24"/>
        </w:rPr>
        <w:t>600m</w:t>
      </w:r>
      <w:r>
        <w:rPr>
          <w:rFonts w:hint="eastAsia" w:ascii="宋体" w:hAnsi="宋体"/>
          <w:sz w:val="24"/>
          <w:vertAlign w:val="superscript"/>
        </w:rPr>
        <w:t>3</w:t>
      </w:r>
      <w:r>
        <w:rPr>
          <w:rFonts w:hint="eastAsia" w:ascii="宋体" w:hAnsi="宋体"/>
          <w:sz w:val="24"/>
        </w:rPr>
        <w:t>/h，配置消音器。</w:t>
      </w:r>
    </w:p>
    <w:p w14:paraId="32A63FC9">
      <w:pPr>
        <w:spacing w:line="360" w:lineRule="auto"/>
        <w:ind w:left="1049" w:leftChars="214" w:hanging="600" w:hangingChars="250"/>
        <w:rPr>
          <w:rFonts w:hint="eastAsia" w:ascii="宋体" w:hAnsi="宋体"/>
          <w:sz w:val="24"/>
        </w:rPr>
      </w:pPr>
      <w:r>
        <w:rPr>
          <w:rFonts w:hint="eastAsia" w:ascii="宋体" w:hAnsi="宋体"/>
          <w:sz w:val="24"/>
        </w:rPr>
        <w:t>▲3.2.5.2 极限压力：</w:t>
      </w:r>
      <w:bookmarkStart w:id="5" w:name="_Hlk103318551"/>
      <w:r>
        <w:rPr>
          <w:rFonts w:hint="eastAsia" w:ascii="宋体" w:hAnsi="宋体"/>
          <w:sz w:val="24"/>
        </w:rPr>
        <w:t>≤</w:t>
      </w:r>
      <w:bookmarkEnd w:id="5"/>
      <w:r>
        <w:rPr>
          <w:rFonts w:hint="eastAsia" w:ascii="宋体" w:hAnsi="宋体"/>
          <w:sz w:val="24"/>
        </w:rPr>
        <w:t>1.5x10</w:t>
      </w:r>
      <w:r>
        <w:rPr>
          <w:rFonts w:hint="eastAsia" w:ascii="宋体" w:hAnsi="宋体"/>
          <w:sz w:val="24"/>
          <w:vertAlign w:val="superscript"/>
        </w:rPr>
        <w:t>-2</w:t>
      </w:r>
      <w:r>
        <w:rPr>
          <w:rFonts w:hint="eastAsia" w:ascii="宋体" w:hAnsi="宋体"/>
          <w:sz w:val="24"/>
        </w:rPr>
        <w:t xml:space="preserve"> torr。</w:t>
      </w:r>
    </w:p>
    <w:p w14:paraId="7CE410F1">
      <w:pPr>
        <w:spacing w:line="360" w:lineRule="auto"/>
        <w:ind w:left="1049" w:leftChars="328" w:hanging="360" w:hangingChars="150"/>
        <w:rPr>
          <w:rFonts w:hint="eastAsia"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2.5.3 真空泵与主机控制系统集成。</w:t>
      </w:r>
    </w:p>
    <w:p w14:paraId="58490225">
      <w:pPr>
        <w:spacing w:line="360" w:lineRule="auto"/>
        <w:ind w:left="810" w:leftChars="100" w:hanging="600" w:hangingChars="250"/>
        <w:rPr>
          <w:rFonts w:hint="eastAsia"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 xml:space="preserve">2.6 </w:t>
      </w:r>
      <w:bookmarkStart w:id="6" w:name="_Hlk103319707"/>
      <w:r>
        <w:rPr>
          <w:rFonts w:hint="eastAsia" w:ascii="宋体" w:hAnsi="宋体"/>
          <w:bCs/>
          <w:sz w:val="24"/>
        </w:rPr>
        <w:t>真空泵前端尾气过滤系统</w:t>
      </w:r>
      <w:bookmarkEnd w:id="6"/>
    </w:p>
    <w:p w14:paraId="21FC2B9D">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2.6.1配置真空泵前端</w:t>
      </w:r>
      <w:bookmarkStart w:id="7" w:name="_Hlk103321680"/>
      <w:r>
        <w:rPr>
          <w:rFonts w:hint="eastAsia" w:ascii="宋体" w:hAnsi="宋体"/>
          <w:sz w:val="24"/>
        </w:rPr>
        <w:t>尾气过滤系统</w:t>
      </w:r>
      <w:bookmarkEnd w:id="7"/>
      <w:r>
        <w:rPr>
          <w:rFonts w:hint="eastAsia" w:ascii="宋体" w:hAnsi="宋体"/>
          <w:sz w:val="24"/>
        </w:rPr>
        <w:t>，安装在真空泵和原子层沉积设备之间，保持真空泵免受尾气和尾气颗粒物污染。</w:t>
      </w:r>
    </w:p>
    <w:p w14:paraId="38347961">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2.6.2 包含（但不限于）固体废物收集容器，过滤器元件、气动阀和液位指示等装置。</w:t>
      </w:r>
    </w:p>
    <w:p w14:paraId="0B3F11EF">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2.6.3 尾气过滤系统可通过持续供给水蒸汽以降解和灭活所有尾气中与水反应的残余前驱体物质。</w:t>
      </w:r>
    </w:p>
    <w:p w14:paraId="685F639A">
      <w:pPr>
        <w:spacing w:line="360" w:lineRule="auto"/>
        <w:rPr>
          <w:rFonts w:hint="eastAsia" w:ascii="宋体" w:hAnsi="宋体"/>
          <w:sz w:val="24"/>
        </w:rPr>
      </w:pPr>
      <w:r>
        <w:rPr>
          <w:rFonts w:hint="eastAsia" w:ascii="宋体" w:hAnsi="宋体"/>
          <w:sz w:val="24"/>
        </w:rPr>
        <w:t>3.3 工艺指标</w:t>
      </w:r>
    </w:p>
    <w:p w14:paraId="0C302724">
      <w:pPr>
        <w:spacing w:line="360" w:lineRule="auto"/>
        <w:ind w:left="810" w:leftChars="100" w:hanging="600" w:hangingChars="250"/>
        <w:rPr>
          <w:rFonts w:hint="eastAsia" w:ascii="宋体" w:hAnsi="宋体"/>
          <w:bCs/>
          <w:sz w:val="24"/>
        </w:rPr>
      </w:pPr>
      <w:r>
        <w:rPr>
          <w:rFonts w:hint="eastAsia" w:ascii="宋体" w:hAnsi="宋体"/>
          <w:bCs/>
          <w:sz w:val="24"/>
        </w:rPr>
        <w:t>3.3.1设备验收</w:t>
      </w:r>
    </w:p>
    <w:p w14:paraId="352325BE">
      <w:pPr>
        <w:spacing w:line="360" w:lineRule="auto"/>
        <w:ind w:left="1049" w:leftChars="214" w:hanging="600" w:hangingChars="2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3.1.1 腔体可实现温度范围：100~450℃，精度≤±1℃。</w:t>
      </w:r>
    </w:p>
    <w:p w14:paraId="1508C7BA">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3.1.2 腔体本底真空：≤2.6Pa。</w:t>
      </w:r>
    </w:p>
    <w:p w14:paraId="13E4725D">
      <w:pPr>
        <w:spacing w:line="360" w:lineRule="auto"/>
        <w:ind w:left="1049" w:leftChars="214" w:hanging="600" w:hangingChars="2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3.1.3 腔体漏率：≤1E -8Pa.m</w:t>
      </w:r>
      <w:r>
        <w:rPr>
          <w:rFonts w:hint="eastAsia" w:ascii="宋体" w:hAnsi="宋体"/>
          <w:sz w:val="24"/>
          <w:vertAlign w:val="superscript"/>
        </w:rPr>
        <w:t>3</w:t>
      </w:r>
      <w:r>
        <w:rPr>
          <w:rFonts w:hint="eastAsia" w:ascii="宋体" w:hAnsi="宋体"/>
          <w:sz w:val="24"/>
        </w:rPr>
        <w:t>/s。</w:t>
      </w:r>
    </w:p>
    <w:p w14:paraId="32E51601">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3.1.4传片1000片无故障。（测试方法：设备连续传片，晶圆从</w:t>
      </w:r>
      <w:bookmarkStart w:id="8" w:name="OLE_LINK2"/>
      <w:r>
        <w:rPr>
          <w:rFonts w:hint="eastAsia" w:ascii="宋体" w:hAnsi="宋体"/>
          <w:sz w:val="24"/>
        </w:rPr>
        <w:t>cassette</w:t>
      </w:r>
      <w:bookmarkEnd w:id="8"/>
      <w:r>
        <w:rPr>
          <w:rFonts w:hint="eastAsia" w:ascii="宋体" w:hAnsi="宋体"/>
          <w:sz w:val="24"/>
        </w:rPr>
        <w:t>传输进入腔体，通氮气10s后再传回cassette计算为1片。若不满足1000片无故障，则从恢复设备的那一刻起，重新计算）。</w:t>
      </w:r>
    </w:p>
    <w:p w14:paraId="04985A60">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3.1.5 机械颗粒≥0.2um：≤30个（8英寸)。</w:t>
      </w:r>
    </w:p>
    <w:p w14:paraId="055AC5D1">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3.1.6 膜内颗粒≥0.2um：≤30个（HfO</w:t>
      </w:r>
      <w:r>
        <w:rPr>
          <w:rFonts w:hint="eastAsia" w:ascii="宋体" w:hAnsi="宋体"/>
          <w:sz w:val="24"/>
          <w:vertAlign w:val="subscript"/>
        </w:rPr>
        <w:t>2</w:t>
      </w:r>
      <w:r>
        <w:rPr>
          <w:rFonts w:hint="eastAsia" w:ascii="宋体" w:hAnsi="宋体"/>
          <w:sz w:val="24"/>
        </w:rPr>
        <w:t>）（8英寸)。</w:t>
      </w:r>
    </w:p>
    <w:p w14:paraId="4A3E5B53">
      <w:pPr>
        <w:spacing w:line="360" w:lineRule="auto"/>
        <w:ind w:left="1049" w:leftChars="328" w:hanging="360" w:hangingChars="15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3.1.7 设备故障间隔时间（MTBF）：大于150小时；测试方法：设备连续工作150个小时以上，去除外部因素影响，设备本身无故障时间大于150小时，若不满足，则从恢复设备的那一刻起，重新计算。</w:t>
      </w:r>
    </w:p>
    <w:p w14:paraId="32B9A87C">
      <w:pPr>
        <w:spacing w:line="360" w:lineRule="auto"/>
        <w:ind w:left="810" w:leftChars="100" w:hanging="600" w:hangingChars="250"/>
        <w:rPr>
          <w:rFonts w:hint="eastAsia" w:ascii="宋体" w:hAnsi="宋体"/>
          <w:sz w:val="24"/>
        </w:rPr>
      </w:pPr>
      <w:r>
        <w:rPr>
          <w:rFonts w:hint="eastAsia" w:ascii="宋体" w:hAnsi="宋体"/>
          <w:sz w:val="24"/>
        </w:rPr>
        <w:t>3.3.2 设备可拓展性</w:t>
      </w:r>
    </w:p>
    <w:p w14:paraId="732302EE">
      <w:pPr>
        <w:spacing w:line="360" w:lineRule="auto"/>
        <w:ind w:left="1049" w:leftChars="214" w:hanging="600" w:hangingChars="250"/>
        <w:rPr>
          <w:rFonts w:hint="eastAsia" w:ascii="宋体" w:hAnsi="宋体"/>
          <w:sz w:val="24"/>
        </w:rPr>
      </w:pPr>
      <w:r>
        <w:rPr>
          <w:rFonts w:hint="eastAsia" w:ascii="宋体" w:hAnsi="宋体"/>
          <w:sz w:val="24"/>
        </w:rPr>
        <w:t>▲3.3.2.1 不进行硬件改造的情况下设备可以便捷升级支持AlN、TiN、Cu等工艺的制作。（提供本机型其他膜层制样报告）</w:t>
      </w:r>
    </w:p>
    <w:p w14:paraId="522BACEB">
      <w:pPr>
        <w:spacing w:line="360" w:lineRule="auto"/>
        <w:rPr>
          <w:rFonts w:hint="eastAsia" w:ascii="宋体" w:hAnsi="宋体"/>
          <w:sz w:val="24"/>
        </w:rPr>
      </w:pPr>
      <w:bookmarkStart w:id="9" w:name="_Hlk518545940"/>
      <w:r>
        <w:rPr>
          <w:rFonts w:hint="eastAsia" w:ascii="宋体" w:hAnsi="宋体"/>
          <w:sz w:val="24"/>
        </w:rPr>
        <w:t xml:space="preserve">▲3.3.3 热沉积工艺 </w:t>
      </w:r>
    </w:p>
    <w:bookmarkEnd w:id="9"/>
    <w:tbl>
      <w:tblPr>
        <w:tblStyle w:val="9"/>
        <w:tblW w:w="7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4"/>
        <w:gridCol w:w="4562"/>
      </w:tblGrid>
      <w:tr w14:paraId="7DB5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64" w:type="dxa"/>
            <w:noWrap w:val="0"/>
            <w:vAlign w:val="top"/>
          </w:tcPr>
          <w:p w14:paraId="178915EE">
            <w:pPr>
              <w:rPr>
                <w:rFonts w:ascii="宋体" w:hAnsi="宋体"/>
                <w:sz w:val="24"/>
              </w:rPr>
            </w:pPr>
            <w:bookmarkStart w:id="10" w:name="_Hlk518545911"/>
            <w:r>
              <w:rPr>
                <w:rFonts w:hint="eastAsia" w:ascii="宋体" w:hAnsi="宋体"/>
                <w:sz w:val="24"/>
              </w:rPr>
              <w:t>薄膜材料</w:t>
            </w:r>
          </w:p>
        </w:tc>
        <w:tc>
          <w:tcPr>
            <w:tcW w:w="4562" w:type="dxa"/>
            <w:noWrap w:val="0"/>
            <w:vAlign w:val="top"/>
          </w:tcPr>
          <w:p w14:paraId="6364BC7B">
            <w:pPr>
              <w:rPr>
                <w:rFonts w:ascii="宋体" w:hAnsi="宋体"/>
                <w:sz w:val="24"/>
              </w:rPr>
            </w:pPr>
            <w:r>
              <w:rPr>
                <w:rFonts w:hint="eastAsia" w:ascii="宋体" w:hAnsi="宋体"/>
                <w:sz w:val="24"/>
              </w:rPr>
              <w:t>HfO</w:t>
            </w:r>
            <w:r>
              <w:rPr>
                <w:rFonts w:hint="eastAsia" w:ascii="宋体" w:hAnsi="宋体"/>
                <w:sz w:val="24"/>
                <w:vertAlign w:val="subscript"/>
              </w:rPr>
              <w:t>2</w:t>
            </w:r>
          </w:p>
        </w:tc>
      </w:tr>
      <w:tr w14:paraId="6AEE2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64" w:type="dxa"/>
            <w:noWrap w:val="0"/>
            <w:vAlign w:val="top"/>
          </w:tcPr>
          <w:p w14:paraId="4026AF86">
            <w:pPr>
              <w:rPr>
                <w:rFonts w:ascii="宋体" w:hAnsi="宋体"/>
                <w:sz w:val="24"/>
              </w:rPr>
            </w:pPr>
            <w:r>
              <w:rPr>
                <w:rFonts w:hint="eastAsia" w:ascii="宋体" w:hAnsi="宋体"/>
                <w:sz w:val="24"/>
              </w:rPr>
              <w:t>验收使用的衬底及尺寸</w:t>
            </w:r>
          </w:p>
        </w:tc>
        <w:tc>
          <w:tcPr>
            <w:tcW w:w="4562" w:type="dxa"/>
            <w:noWrap w:val="0"/>
            <w:vAlign w:val="top"/>
          </w:tcPr>
          <w:p w14:paraId="12A48F80">
            <w:pPr>
              <w:rPr>
                <w:rFonts w:ascii="宋体" w:hAnsi="宋体"/>
                <w:sz w:val="24"/>
              </w:rPr>
            </w:pPr>
            <w:r>
              <w:rPr>
                <w:rFonts w:hint="eastAsia" w:ascii="宋体" w:hAnsi="宋体"/>
                <w:sz w:val="24"/>
              </w:rPr>
              <w:t>8寸单面抛光无掺杂硅片（供应商提供）</w:t>
            </w:r>
          </w:p>
        </w:tc>
      </w:tr>
      <w:tr w14:paraId="74DA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64" w:type="dxa"/>
            <w:noWrap w:val="0"/>
            <w:vAlign w:val="top"/>
          </w:tcPr>
          <w:p w14:paraId="1451DC5D">
            <w:pPr>
              <w:rPr>
                <w:rFonts w:ascii="宋体" w:hAnsi="宋体"/>
                <w:sz w:val="24"/>
              </w:rPr>
            </w:pPr>
            <w:r>
              <w:rPr>
                <w:rFonts w:hint="eastAsia" w:ascii="宋体" w:hAnsi="宋体"/>
                <w:sz w:val="24"/>
              </w:rPr>
              <w:t>验收使用的薄膜厚度</w:t>
            </w:r>
          </w:p>
        </w:tc>
        <w:tc>
          <w:tcPr>
            <w:tcW w:w="4562" w:type="dxa"/>
            <w:noWrap w:val="0"/>
            <w:vAlign w:val="top"/>
          </w:tcPr>
          <w:p w14:paraId="306A0F98">
            <w:pPr>
              <w:rPr>
                <w:rFonts w:ascii="宋体" w:hAnsi="宋体"/>
                <w:sz w:val="24"/>
              </w:rPr>
            </w:pPr>
            <w:r>
              <w:rPr>
                <w:rFonts w:hint="eastAsia" w:ascii="宋体" w:hAnsi="宋体"/>
                <w:sz w:val="24"/>
              </w:rPr>
              <w:t>12</w:t>
            </w:r>
            <w:r>
              <w:rPr>
                <w:rFonts w:ascii="宋体" w:hAnsi="宋体"/>
                <w:sz w:val="24"/>
              </w:rPr>
              <w:t>nm</w:t>
            </w:r>
          </w:p>
        </w:tc>
      </w:tr>
      <w:tr w14:paraId="09A1C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64" w:type="dxa"/>
            <w:noWrap w:val="0"/>
            <w:vAlign w:val="top"/>
          </w:tcPr>
          <w:p w14:paraId="02D98119">
            <w:pPr>
              <w:rPr>
                <w:rFonts w:hint="eastAsia" w:ascii="宋体" w:hAnsi="宋体"/>
                <w:sz w:val="24"/>
              </w:rPr>
            </w:pPr>
            <w:r>
              <w:rPr>
                <w:rFonts w:hint="eastAsia" w:ascii="宋体" w:hAnsi="宋体"/>
                <w:sz w:val="24"/>
              </w:rPr>
              <w:t>薄膜厚度不均匀性要求</w:t>
            </w:r>
          </w:p>
        </w:tc>
        <w:tc>
          <w:tcPr>
            <w:tcW w:w="4562" w:type="dxa"/>
            <w:noWrap w:val="0"/>
            <w:vAlign w:val="top"/>
          </w:tcPr>
          <w:p w14:paraId="0A822B65">
            <w:pPr>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（49点</w:t>
            </w:r>
            <w:r>
              <w:rPr>
                <w:rFonts w:ascii="宋体" w:hAnsi="宋体"/>
                <w:sz w:val="24"/>
              </w:rPr>
              <w:t>, 1sigma</w:t>
            </w:r>
            <w:r>
              <w:rPr>
                <w:rFonts w:hint="eastAsia" w:ascii="宋体" w:hAnsi="宋体"/>
                <w:sz w:val="24"/>
              </w:rPr>
              <w:t>）</w:t>
            </w:r>
            <w:r>
              <w:rPr>
                <w:rFonts w:ascii="宋体" w:hAnsi="宋体"/>
                <w:sz w:val="24"/>
              </w:rPr>
              <w:t xml:space="preserve"> </w:t>
            </w:r>
            <w:r>
              <w:rPr>
                <w:rFonts w:hint="eastAsia" w:ascii="宋体" w:hAnsi="宋体"/>
                <w:sz w:val="24"/>
              </w:rPr>
              <w:t>边缘5</w:t>
            </w:r>
            <w:r>
              <w:rPr>
                <w:rFonts w:ascii="宋体" w:hAnsi="宋体"/>
                <w:sz w:val="24"/>
              </w:rPr>
              <w:t>mm</w:t>
            </w:r>
            <w:r>
              <w:rPr>
                <w:rFonts w:hint="eastAsia" w:ascii="宋体" w:hAnsi="宋体"/>
                <w:sz w:val="24"/>
              </w:rPr>
              <w:t>去边。</w:t>
            </w:r>
          </w:p>
        </w:tc>
      </w:tr>
      <w:bookmarkEnd w:id="10"/>
    </w:tbl>
    <w:p w14:paraId="264F51EF">
      <w:pPr>
        <w:spacing w:line="360" w:lineRule="auto"/>
        <w:rPr>
          <w:rFonts w:hint="eastAsia" w:ascii="宋体" w:hAnsi="宋体"/>
          <w:b/>
          <w:sz w:val="24"/>
        </w:rPr>
      </w:pPr>
    </w:p>
    <w:p w14:paraId="7105BE33">
      <w:pPr>
        <w:spacing w:line="360" w:lineRule="auto"/>
        <w:rPr>
          <w:rFonts w:ascii="宋体" w:hAnsi="宋体"/>
          <w:b/>
          <w:sz w:val="24"/>
        </w:rPr>
      </w:pPr>
      <w:r>
        <w:rPr>
          <w:rFonts w:hint="eastAsia" w:ascii="宋体" w:hAnsi="宋体"/>
          <w:b/>
          <w:sz w:val="24"/>
        </w:rPr>
        <w:t>4、软件控制系统</w:t>
      </w:r>
    </w:p>
    <w:p w14:paraId="599F02CA">
      <w:pPr>
        <w:spacing w:line="360" w:lineRule="auto"/>
        <w:ind w:left="420" w:hanging="420" w:hangingChars="175"/>
        <w:rPr>
          <w:rFonts w:hint="eastAsia" w:ascii="宋体" w:hAnsi="宋体"/>
          <w:sz w:val="24"/>
        </w:rPr>
      </w:pPr>
      <w:r>
        <w:rPr>
          <w:rFonts w:hint="eastAsia" w:ascii="宋体" w:hAnsi="宋体"/>
          <w:sz w:val="24"/>
        </w:rPr>
        <w:t>4.1界面友好，软件能实时监控设备状态。并有日志记录（日志记录最小间隔≤1s）报警等功能，日志记录可保留≥1年。</w:t>
      </w:r>
    </w:p>
    <w:p w14:paraId="769E5D2E">
      <w:pPr>
        <w:spacing w:line="360" w:lineRule="auto"/>
        <w:ind w:left="420" w:hanging="420" w:hangingChars="175"/>
        <w:rPr>
          <w:rFonts w:hint="eastAsia" w:ascii="宋体" w:hAnsi="宋体"/>
          <w:sz w:val="24"/>
        </w:rPr>
      </w:pPr>
      <w:r>
        <w:rPr>
          <w:rFonts w:hint="eastAsia" w:ascii="宋体" w:hAnsi="宋体"/>
          <w:sz w:val="24"/>
        </w:rPr>
        <w:t>4.2软件界面可实现快速、方便的工艺开发和recipe生成。系统可以处于Auto和Manual模式，Manual模式下所有部件可直接操作和设置，在Auto模式下，通过Recipe自动执行预先设置的顺序步骤。</w:t>
      </w:r>
    </w:p>
    <w:p w14:paraId="4E04BB05">
      <w:pPr>
        <w:spacing w:line="360" w:lineRule="auto"/>
        <w:ind w:left="420" w:hanging="420" w:hangingChars="175"/>
        <w:rPr>
          <w:rFonts w:hint="eastAsia" w:ascii="宋体" w:hAnsi="宋体"/>
          <w:sz w:val="24"/>
        </w:rPr>
      </w:pPr>
      <w:r>
        <w:rPr>
          <w:rFonts w:hint="eastAsia" w:ascii="宋体" w:hAnsi="宋体"/>
          <w:sz w:val="24"/>
        </w:rPr>
        <w:t>4.3使用电脑自带操作系统平台对温度、流量、阀门、压力等进行自动控制，并管理全部工艺时序。</w:t>
      </w:r>
    </w:p>
    <w:p w14:paraId="0BC5AA35">
      <w:pPr>
        <w:spacing w:line="360" w:lineRule="auto"/>
        <w:rPr>
          <w:rFonts w:hint="eastAsia" w:ascii="宋体" w:hAnsi="宋体"/>
          <w:sz w:val="24"/>
        </w:rPr>
      </w:pPr>
      <w:r>
        <w:rPr>
          <w:rFonts w:hint="eastAsia" w:ascii="宋体" w:hAnsi="宋体"/>
          <w:sz w:val="24"/>
        </w:rPr>
        <w:t>4.4可保存工艺菜单≥1000条。</w:t>
      </w:r>
    </w:p>
    <w:p w14:paraId="24CC9960">
      <w:pPr>
        <w:pStyle w:val="2"/>
        <w:rPr>
          <w:rFonts w:hint="eastAsia"/>
        </w:rPr>
      </w:pPr>
    </w:p>
    <w:p w14:paraId="4212EFAB">
      <w:pPr>
        <w:widowControl/>
        <w:snapToGrid w:val="0"/>
        <w:spacing w:before="156" w:beforeLines="50" w:after="156" w:afterLines="50" w:line="360" w:lineRule="auto"/>
        <w:rPr>
          <w:rFonts w:ascii="宋体" w:hAnsi="宋体"/>
          <w:b/>
          <w:sz w:val="24"/>
        </w:rPr>
      </w:pPr>
      <w:r>
        <w:rPr>
          <w:rFonts w:hint="eastAsia" w:ascii="宋体" w:hAnsi="宋体"/>
          <w:b/>
          <w:sz w:val="24"/>
        </w:rPr>
        <w:t>5</w:t>
      </w:r>
      <w:r>
        <w:rPr>
          <w:rFonts w:ascii="宋体" w:hAnsi="宋体"/>
          <w:b/>
          <w:sz w:val="24"/>
        </w:rPr>
        <w:t>、配置清单及零配件（包括专用工具）：</w:t>
      </w:r>
    </w:p>
    <w:tbl>
      <w:tblPr>
        <w:tblStyle w:val="9"/>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6606"/>
        <w:gridCol w:w="1004"/>
        <w:gridCol w:w="861"/>
      </w:tblGrid>
      <w:tr w14:paraId="6C6A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1066349C">
            <w:pPr>
              <w:widowControl/>
              <w:snapToGrid w:val="0"/>
              <w:spacing w:before="156" w:beforeLines="50" w:line="360" w:lineRule="auto"/>
              <w:jc w:val="center"/>
              <w:rPr>
                <w:rFonts w:ascii="宋体" w:hAnsi="宋体"/>
                <w:b/>
                <w:bCs/>
                <w:sz w:val="24"/>
              </w:rPr>
            </w:pPr>
            <w:r>
              <w:rPr>
                <w:rFonts w:ascii="宋体" w:hAnsi="宋体"/>
                <w:b/>
                <w:bCs/>
                <w:sz w:val="24"/>
              </w:rPr>
              <w:t>序号</w:t>
            </w:r>
          </w:p>
        </w:tc>
        <w:tc>
          <w:tcPr>
            <w:tcW w:w="6606" w:type="dxa"/>
            <w:noWrap/>
            <w:vAlign w:val="center"/>
          </w:tcPr>
          <w:p w14:paraId="2D99F6CA">
            <w:pPr>
              <w:widowControl/>
              <w:snapToGrid w:val="0"/>
              <w:spacing w:before="156" w:beforeLines="50" w:line="360" w:lineRule="auto"/>
              <w:jc w:val="center"/>
              <w:rPr>
                <w:rFonts w:ascii="宋体" w:hAnsi="宋体"/>
                <w:b/>
                <w:bCs/>
                <w:sz w:val="24"/>
              </w:rPr>
            </w:pPr>
            <w:r>
              <w:rPr>
                <w:rFonts w:ascii="宋体" w:hAnsi="宋体"/>
                <w:b/>
                <w:bCs/>
                <w:sz w:val="24"/>
              </w:rPr>
              <w:t>名称</w:t>
            </w:r>
          </w:p>
        </w:tc>
        <w:tc>
          <w:tcPr>
            <w:tcW w:w="1004" w:type="dxa"/>
            <w:noWrap/>
            <w:vAlign w:val="center"/>
          </w:tcPr>
          <w:p w14:paraId="79C7761A">
            <w:pPr>
              <w:widowControl/>
              <w:snapToGrid w:val="0"/>
              <w:spacing w:before="156" w:beforeLines="50" w:line="360" w:lineRule="auto"/>
              <w:jc w:val="center"/>
              <w:rPr>
                <w:rFonts w:ascii="宋体" w:hAnsi="宋体"/>
                <w:b/>
                <w:bCs/>
                <w:sz w:val="24"/>
              </w:rPr>
            </w:pPr>
            <w:r>
              <w:rPr>
                <w:rFonts w:ascii="宋体" w:hAnsi="宋体"/>
                <w:b/>
                <w:bCs/>
                <w:sz w:val="24"/>
              </w:rPr>
              <w:t>单位</w:t>
            </w:r>
          </w:p>
        </w:tc>
        <w:tc>
          <w:tcPr>
            <w:tcW w:w="861" w:type="dxa"/>
            <w:noWrap/>
            <w:vAlign w:val="center"/>
          </w:tcPr>
          <w:p w14:paraId="225C613C">
            <w:pPr>
              <w:widowControl/>
              <w:snapToGrid w:val="0"/>
              <w:spacing w:before="156" w:beforeLines="50" w:line="360" w:lineRule="auto"/>
              <w:jc w:val="center"/>
              <w:rPr>
                <w:rFonts w:ascii="宋体" w:hAnsi="宋体"/>
                <w:b/>
                <w:bCs/>
                <w:sz w:val="24"/>
              </w:rPr>
            </w:pPr>
            <w:r>
              <w:rPr>
                <w:rFonts w:ascii="宋体" w:hAnsi="宋体"/>
                <w:b/>
                <w:bCs/>
                <w:sz w:val="24"/>
              </w:rPr>
              <w:t>数量</w:t>
            </w:r>
          </w:p>
        </w:tc>
      </w:tr>
      <w:tr w14:paraId="4E7C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4EEA2B81">
            <w:pPr>
              <w:widowControl/>
              <w:snapToGrid w:val="0"/>
              <w:spacing w:before="156" w:beforeLines="50" w:line="360" w:lineRule="auto"/>
              <w:jc w:val="center"/>
              <w:rPr>
                <w:rFonts w:ascii="宋体" w:hAnsi="宋体"/>
                <w:sz w:val="24"/>
              </w:rPr>
            </w:pPr>
            <w:r>
              <w:rPr>
                <w:rFonts w:ascii="宋体" w:hAnsi="宋体"/>
                <w:sz w:val="24"/>
              </w:rPr>
              <w:t>1</w:t>
            </w:r>
          </w:p>
        </w:tc>
        <w:tc>
          <w:tcPr>
            <w:tcW w:w="6606" w:type="dxa"/>
            <w:noWrap/>
            <w:vAlign w:val="center"/>
          </w:tcPr>
          <w:p w14:paraId="52E5A83E">
            <w:pPr>
              <w:widowControl/>
              <w:snapToGrid w:val="0"/>
              <w:spacing w:before="156" w:beforeLines="50" w:line="360" w:lineRule="auto"/>
              <w:jc w:val="center"/>
              <w:rPr>
                <w:rFonts w:hint="eastAsia" w:ascii="宋体" w:hAnsi="宋体"/>
                <w:sz w:val="24"/>
              </w:rPr>
            </w:pPr>
            <w:r>
              <w:rPr>
                <w:rFonts w:hint="eastAsia" w:ascii="宋体" w:hAnsi="宋体"/>
                <w:sz w:val="24"/>
              </w:rPr>
              <w:t>ALD</w:t>
            </w:r>
            <w:r>
              <w:rPr>
                <w:rFonts w:ascii="宋体" w:hAnsi="宋体"/>
                <w:sz w:val="24"/>
              </w:rPr>
              <w:t>设备主机</w:t>
            </w:r>
          </w:p>
        </w:tc>
        <w:tc>
          <w:tcPr>
            <w:tcW w:w="1004" w:type="dxa"/>
            <w:noWrap/>
            <w:vAlign w:val="center"/>
          </w:tcPr>
          <w:p w14:paraId="250A1CB7">
            <w:pPr>
              <w:widowControl/>
              <w:snapToGrid w:val="0"/>
              <w:spacing w:before="156" w:beforeLines="50" w:line="360" w:lineRule="auto"/>
              <w:jc w:val="center"/>
              <w:rPr>
                <w:rFonts w:ascii="宋体" w:hAnsi="宋体"/>
                <w:sz w:val="24"/>
              </w:rPr>
            </w:pPr>
            <w:r>
              <w:rPr>
                <w:rFonts w:ascii="宋体" w:hAnsi="宋体"/>
                <w:sz w:val="24"/>
              </w:rPr>
              <w:t>个</w:t>
            </w:r>
          </w:p>
        </w:tc>
        <w:tc>
          <w:tcPr>
            <w:tcW w:w="861" w:type="dxa"/>
            <w:noWrap/>
            <w:vAlign w:val="center"/>
          </w:tcPr>
          <w:p w14:paraId="3074816E">
            <w:pPr>
              <w:widowControl/>
              <w:snapToGrid w:val="0"/>
              <w:spacing w:before="156" w:beforeLines="50" w:line="360" w:lineRule="auto"/>
              <w:jc w:val="center"/>
              <w:rPr>
                <w:rFonts w:hint="eastAsia" w:ascii="宋体" w:hAnsi="宋体"/>
                <w:sz w:val="24"/>
              </w:rPr>
            </w:pPr>
            <w:r>
              <w:rPr>
                <w:rFonts w:hint="eastAsia" w:ascii="宋体" w:hAnsi="宋体"/>
                <w:sz w:val="24"/>
              </w:rPr>
              <w:t>1</w:t>
            </w:r>
          </w:p>
        </w:tc>
      </w:tr>
      <w:tr w14:paraId="3CFA6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0C95B96B">
            <w:pPr>
              <w:widowControl/>
              <w:snapToGrid w:val="0"/>
              <w:spacing w:before="156" w:beforeLines="50" w:line="360" w:lineRule="auto"/>
              <w:jc w:val="center"/>
              <w:rPr>
                <w:rFonts w:ascii="宋体" w:hAnsi="宋体"/>
                <w:sz w:val="24"/>
              </w:rPr>
            </w:pPr>
            <w:r>
              <w:rPr>
                <w:rFonts w:ascii="宋体" w:hAnsi="宋体"/>
                <w:sz w:val="24"/>
              </w:rPr>
              <w:t>2</w:t>
            </w:r>
          </w:p>
        </w:tc>
        <w:tc>
          <w:tcPr>
            <w:tcW w:w="6606" w:type="dxa"/>
            <w:noWrap/>
            <w:vAlign w:val="center"/>
          </w:tcPr>
          <w:p w14:paraId="369F0C2A">
            <w:pPr>
              <w:widowControl/>
              <w:snapToGrid w:val="0"/>
              <w:spacing w:before="156" w:beforeLines="50" w:line="360" w:lineRule="auto"/>
              <w:jc w:val="center"/>
              <w:rPr>
                <w:rFonts w:hint="eastAsia" w:ascii="宋体" w:hAnsi="宋体"/>
                <w:sz w:val="24"/>
              </w:rPr>
            </w:pPr>
            <w:r>
              <w:rPr>
                <w:rFonts w:hint="eastAsia" w:ascii="宋体" w:hAnsi="宋体"/>
                <w:sz w:val="24"/>
              </w:rPr>
              <w:t>真空</w:t>
            </w:r>
            <w:r>
              <w:rPr>
                <w:rFonts w:ascii="宋体" w:hAnsi="宋体"/>
                <w:sz w:val="24"/>
              </w:rPr>
              <w:t>反应腔</w:t>
            </w:r>
          </w:p>
        </w:tc>
        <w:tc>
          <w:tcPr>
            <w:tcW w:w="1004" w:type="dxa"/>
            <w:noWrap/>
            <w:vAlign w:val="center"/>
          </w:tcPr>
          <w:p w14:paraId="71312530">
            <w:pPr>
              <w:widowControl/>
              <w:snapToGrid w:val="0"/>
              <w:spacing w:before="156" w:beforeLines="50" w:line="360" w:lineRule="auto"/>
              <w:jc w:val="center"/>
              <w:rPr>
                <w:rFonts w:ascii="宋体" w:hAnsi="宋体"/>
                <w:sz w:val="24"/>
              </w:rPr>
            </w:pPr>
            <w:r>
              <w:rPr>
                <w:rFonts w:ascii="宋体" w:hAnsi="宋体"/>
                <w:sz w:val="24"/>
              </w:rPr>
              <w:t>个</w:t>
            </w:r>
          </w:p>
        </w:tc>
        <w:tc>
          <w:tcPr>
            <w:tcW w:w="861" w:type="dxa"/>
            <w:noWrap/>
            <w:vAlign w:val="center"/>
          </w:tcPr>
          <w:p w14:paraId="22B71B1D">
            <w:pPr>
              <w:widowControl/>
              <w:snapToGrid w:val="0"/>
              <w:spacing w:before="156" w:beforeLines="50" w:line="360" w:lineRule="auto"/>
              <w:jc w:val="center"/>
              <w:rPr>
                <w:rFonts w:hint="eastAsia" w:ascii="宋体" w:hAnsi="宋体"/>
                <w:sz w:val="24"/>
              </w:rPr>
            </w:pPr>
            <w:r>
              <w:rPr>
                <w:rFonts w:hint="eastAsia" w:ascii="宋体" w:hAnsi="宋体"/>
                <w:sz w:val="24"/>
              </w:rPr>
              <w:t>1</w:t>
            </w:r>
          </w:p>
        </w:tc>
      </w:tr>
      <w:tr w14:paraId="589A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noWrap/>
            <w:vAlign w:val="center"/>
          </w:tcPr>
          <w:p w14:paraId="2F60B6A8">
            <w:pPr>
              <w:widowControl/>
              <w:snapToGrid w:val="0"/>
              <w:spacing w:before="156" w:beforeLines="50" w:line="360" w:lineRule="auto"/>
              <w:jc w:val="center"/>
              <w:rPr>
                <w:rFonts w:ascii="宋体" w:hAnsi="宋体"/>
                <w:sz w:val="24"/>
              </w:rPr>
            </w:pPr>
            <w:r>
              <w:rPr>
                <w:rFonts w:hint="eastAsia" w:ascii="宋体" w:hAnsi="宋体"/>
                <w:sz w:val="24"/>
              </w:rPr>
              <w:t>3</w:t>
            </w:r>
          </w:p>
        </w:tc>
        <w:tc>
          <w:tcPr>
            <w:tcW w:w="6606" w:type="dxa"/>
            <w:noWrap/>
            <w:vAlign w:val="center"/>
          </w:tcPr>
          <w:p w14:paraId="360E06D1">
            <w:pPr>
              <w:widowControl/>
              <w:snapToGrid w:val="0"/>
              <w:spacing w:before="156" w:beforeLines="50" w:line="360" w:lineRule="auto"/>
              <w:jc w:val="center"/>
              <w:rPr>
                <w:rFonts w:ascii="宋体" w:hAnsi="宋体"/>
                <w:sz w:val="24"/>
              </w:rPr>
            </w:pPr>
            <w:r>
              <w:rPr>
                <w:rFonts w:hint="eastAsia" w:ascii="宋体" w:hAnsi="宋体"/>
                <w:sz w:val="24"/>
              </w:rPr>
              <w:t>Ti工艺腔</w:t>
            </w:r>
          </w:p>
        </w:tc>
        <w:tc>
          <w:tcPr>
            <w:tcW w:w="1004" w:type="dxa"/>
            <w:noWrap/>
            <w:vAlign w:val="center"/>
          </w:tcPr>
          <w:p w14:paraId="79A5F691">
            <w:pPr>
              <w:widowControl/>
              <w:snapToGrid w:val="0"/>
              <w:spacing w:before="156" w:beforeLines="50" w:line="360" w:lineRule="auto"/>
              <w:jc w:val="center"/>
              <w:rPr>
                <w:rFonts w:ascii="宋体" w:hAnsi="宋体"/>
                <w:sz w:val="24"/>
              </w:rPr>
            </w:pPr>
            <w:r>
              <w:rPr>
                <w:rFonts w:ascii="宋体" w:hAnsi="宋体"/>
                <w:sz w:val="24"/>
              </w:rPr>
              <w:t>个</w:t>
            </w:r>
          </w:p>
        </w:tc>
        <w:tc>
          <w:tcPr>
            <w:tcW w:w="861" w:type="dxa"/>
            <w:noWrap/>
            <w:vAlign w:val="center"/>
          </w:tcPr>
          <w:p w14:paraId="21E25C67">
            <w:pPr>
              <w:widowControl/>
              <w:snapToGrid w:val="0"/>
              <w:spacing w:before="156" w:beforeLines="50" w:line="360" w:lineRule="auto"/>
              <w:jc w:val="center"/>
              <w:rPr>
                <w:rFonts w:hint="eastAsia" w:ascii="宋体" w:hAnsi="宋体"/>
                <w:sz w:val="24"/>
              </w:rPr>
            </w:pPr>
            <w:r>
              <w:rPr>
                <w:rFonts w:hint="eastAsia" w:ascii="宋体" w:hAnsi="宋体"/>
                <w:sz w:val="24"/>
              </w:rPr>
              <w:t>1</w:t>
            </w:r>
          </w:p>
        </w:tc>
      </w:tr>
      <w:tr w14:paraId="1C4E6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noWrap/>
            <w:vAlign w:val="center"/>
          </w:tcPr>
          <w:p w14:paraId="5D0533EF">
            <w:pPr>
              <w:widowControl/>
              <w:snapToGrid w:val="0"/>
              <w:spacing w:before="156" w:beforeLines="50" w:line="360" w:lineRule="auto"/>
              <w:jc w:val="center"/>
              <w:rPr>
                <w:rFonts w:ascii="宋体" w:hAnsi="宋体"/>
                <w:sz w:val="24"/>
              </w:rPr>
            </w:pPr>
            <w:r>
              <w:rPr>
                <w:rFonts w:hint="eastAsia" w:ascii="宋体" w:hAnsi="宋体"/>
                <w:sz w:val="24"/>
              </w:rPr>
              <w:t>4</w:t>
            </w:r>
          </w:p>
        </w:tc>
        <w:tc>
          <w:tcPr>
            <w:tcW w:w="6606" w:type="dxa"/>
            <w:noWrap/>
            <w:vAlign w:val="center"/>
          </w:tcPr>
          <w:p w14:paraId="78A78716">
            <w:pPr>
              <w:widowControl/>
              <w:snapToGrid w:val="0"/>
              <w:spacing w:before="156" w:beforeLines="50" w:line="360" w:lineRule="auto"/>
              <w:jc w:val="center"/>
              <w:rPr>
                <w:rFonts w:hint="eastAsia" w:ascii="宋体" w:hAnsi="宋体"/>
                <w:sz w:val="24"/>
              </w:rPr>
            </w:pPr>
            <w:r>
              <w:rPr>
                <w:rFonts w:ascii="宋体" w:hAnsi="宋体"/>
                <w:sz w:val="24"/>
              </w:rPr>
              <w:t>常温液态前驱源管路</w:t>
            </w:r>
          </w:p>
        </w:tc>
        <w:tc>
          <w:tcPr>
            <w:tcW w:w="1004" w:type="dxa"/>
            <w:noWrap/>
            <w:vAlign w:val="center"/>
          </w:tcPr>
          <w:p w14:paraId="1D9839BF">
            <w:pPr>
              <w:widowControl/>
              <w:snapToGrid w:val="0"/>
              <w:spacing w:before="156" w:beforeLines="50" w:line="360" w:lineRule="auto"/>
              <w:jc w:val="center"/>
              <w:rPr>
                <w:rFonts w:ascii="宋体" w:hAnsi="宋体"/>
                <w:sz w:val="24"/>
              </w:rPr>
            </w:pPr>
            <w:r>
              <w:rPr>
                <w:rFonts w:hint="eastAsia" w:ascii="宋体" w:hAnsi="宋体"/>
                <w:sz w:val="24"/>
              </w:rPr>
              <w:t>套</w:t>
            </w:r>
          </w:p>
        </w:tc>
        <w:tc>
          <w:tcPr>
            <w:tcW w:w="861" w:type="dxa"/>
            <w:noWrap/>
            <w:vAlign w:val="center"/>
          </w:tcPr>
          <w:p w14:paraId="4CC312C9">
            <w:pPr>
              <w:widowControl/>
              <w:snapToGrid w:val="0"/>
              <w:spacing w:before="156" w:beforeLines="50" w:line="360" w:lineRule="auto"/>
              <w:jc w:val="center"/>
              <w:rPr>
                <w:rFonts w:hint="eastAsia" w:ascii="宋体" w:hAnsi="宋体"/>
                <w:sz w:val="24"/>
              </w:rPr>
            </w:pPr>
            <w:r>
              <w:rPr>
                <w:rFonts w:hint="eastAsia" w:ascii="宋体" w:hAnsi="宋体"/>
                <w:sz w:val="24"/>
              </w:rPr>
              <w:t>2</w:t>
            </w:r>
          </w:p>
        </w:tc>
      </w:tr>
      <w:tr w14:paraId="1861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122B632D">
            <w:pPr>
              <w:widowControl/>
              <w:snapToGrid w:val="0"/>
              <w:spacing w:before="156" w:beforeLines="50" w:line="360" w:lineRule="auto"/>
              <w:jc w:val="center"/>
              <w:rPr>
                <w:rFonts w:hint="eastAsia" w:ascii="宋体" w:hAnsi="宋体"/>
                <w:sz w:val="24"/>
              </w:rPr>
            </w:pPr>
            <w:r>
              <w:rPr>
                <w:rFonts w:hint="eastAsia" w:ascii="宋体" w:hAnsi="宋体"/>
                <w:sz w:val="24"/>
              </w:rPr>
              <w:t>5</w:t>
            </w:r>
          </w:p>
        </w:tc>
        <w:tc>
          <w:tcPr>
            <w:tcW w:w="6606" w:type="dxa"/>
            <w:noWrap/>
            <w:vAlign w:val="center"/>
          </w:tcPr>
          <w:p w14:paraId="5963E4B8">
            <w:pPr>
              <w:widowControl/>
              <w:snapToGrid w:val="0"/>
              <w:spacing w:before="156" w:beforeLines="50" w:line="360" w:lineRule="auto"/>
              <w:jc w:val="center"/>
              <w:rPr>
                <w:rFonts w:ascii="宋体" w:hAnsi="宋体"/>
                <w:sz w:val="24"/>
              </w:rPr>
            </w:pPr>
            <w:r>
              <w:rPr>
                <w:rFonts w:ascii="宋体" w:hAnsi="宋体"/>
                <w:sz w:val="24"/>
              </w:rPr>
              <w:t>加热前驱源管路</w:t>
            </w:r>
          </w:p>
        </w:tc>
        <w:tc>
          <w:tcPr>
            <w:tcW w:w="1004" w:type="dxa"/>
            <w:noWrap/>
            <w:vAlign w:val="center"/>
          </w:tcPr>
          <w:p w14:paraId="128816B9">
            <w:pPr>
              <w:widowControl/>
              <w:snapToGrid w:val="0"/>
              <w:spacing w:before="156" w:beforeLines="50" w:line="360" w:lineRule="auto"/>
              <w:jc w:val="center"/>
              <w:rPr>
                <w:rFonts w:hint="eastAsia" w:ascii="宋体" w:hAnsi="宋体"/>
                <w:sz w:val="24"/>
              </w:rPr>
            </w:pPr>
            <w:r>
              <w:rPr>
                <w:rFonts w:hint="eastAsia" w:ascii="宋体" w:hAnsi="宋体"/>
                <w:sz w:val="24"/>
              </w:rPr>
              <w:t>套</w:t>
            </w:r>
          </w:p>
        </w:tc>
        <w:tc>
          <w:tcPr>
            <w:tcW w:w="861" w:type="dxa"/>
            <w:noWrap/>
            <w:vAlign w:val="center"/>
          </w:tcPr>
          <w:p w14:paraId="0883CBE9">
            <w:pPr>
              <w:widowControl/>
              <w:snapToGrid w:val="0"/>
              <w:spacing w:before="156" w:beforeLines="50" w:line="360" w:lineRule="auto"/>
              <w:jc w:val="center"/>
              <w:rPr>
                <w:rFonts w:hint="eastAsia" w:ascii="宋体" w:hAnsi="宋体"/>
                <w:sz w:val="24"/>
              </w:rPr>
            </w:pPr>
            <w:r>
              <w:rPr>
                <w:rFonts w:hint="eastAsia" w:ascii="宋体" w:hAnsi="宋体"/>
                <w:sz w:val="24"/>
              </w:rPr>
              <w:t>1</w:t>
            </w:r>
          </w:p>
        </w:tc>
      </w:tr>
      <w:tr w14:paraId="60B8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347BB19B">
            <w:pPr>
              <w:widowControl/>
              <w:snapToGrid w:val="0"/>
              <w:spacing w:before="156" w:beforeLines="50" w:line="360" w:lineRule="auto"/>
              <w:jc w:val="center"/>
              <w:rPr>
                <w:rFonts w:hint="eastAsia" w:ascii="宋体" w:hAnsi="宋体"/>
                <w:sz w:val="24"/>
              </w:rPr>
            </w:pPr>
            <w:r>
              <w:rPr>
                <w:rFonts w:hint="eastAsia" w:ascii="宋体" w:hAnsi="宋体"/>
                <w:sz w:val="24"/>
              </w:rPr>
              <w:t>6</w:t>
            </w:r>
          </w:p>
        </w:tc>
        <w:tc>
          <w:tcPr>
            <w:tcW w:w="6606" w:type="dxa"/>
            <w:noWrap/>
            <w:vAlign w:val="center"/>
          </w:tcPr>
          <w:p w14:paraId="2978FF28">
            <w:pPr>
              <w:widowControl/>
              <w:snapToGrid w:val="0"/>
              <w:spacing w:before="156" w:beforeLines="50" w:line="360" w:lineRule="auto"/>
              <w:jc w:val="center"/>
              <w:rPr>
                <w:rFonts w:ascii="宋体" w:hAnsi="宋体"/>
                <w:sz w:val="24"/>
              </w:rPr>
            </w:pPr>
            <w:r>
              <w:rPr>
                <w:rFonts w:hint="eastAsia" w:ascii="宋体" w:hAnsi="宋体"/>
                <w:sz w:val="24"/>
              </w:rPr>
              <w:t>干式</w:t>
            </w:r>
            <w:r>
              <w:rPr>
                <w:rFonts w:ascii="宋体" w:hAnsi="宋体"/>
                <w:sz w:val="24"/>
              </w:rPr>
              <w:t>真空泵</w:t>
            </w:r>
          </w:p>
        </w:tc>
        <w:tc>
          <w:tcPr>
            <w:tcW w:w="1004" w:type="dxa"/>
            <w:noWrap/>
            <w:vAlign w:val="center"/>
          </w:tcPr>
          <w:p w14:paraId="40974ACB">
            <w:pPr>
              <w:widowControl/>
              <w:snapToGrid w:val="0"/>
              <w:spacing w:before="156" w:beforeLines="50" w:line="360" w:lineRule="auto"/>
              <w:jc w:val="center"/>
              <w:rPr>
                <w:rFonts w:ascii="宋体" w:hAnsi="宋体"/>
                <w:sz w:val="24"/>
              </w:rPr>
            </w:pPr>
            <w:r>
              <w:rPr>
                <w:rFonts w:ascii="宋体" w:hAnsi="宋体"/>
                <w:sz w:val="24"/>
              </w:rPr>
              <w:t>个</w:t>
            </w:r>
          </w:p>
        </w:tc>
        <w:tc>
          <w:tcPr>
            <w:tcW w:w="861" w:type="dxa"/>
            <w:noWrap/>
            <w:vAlign w:val="center"/>
          </w:tcPr>
          <w:p w14:paraId="39CFB731">
            <w:pPr>
              <w:widowControl/>
              <w:snapToGrid w:val="0"/>
              <w:spacing w:before="156" w:beforeLines="50" w:line="360" w:lineRule="auto"/>
              <w:jc w:val="center"/>
              <w:rPr>
                <w:rFonts w:hint="eastAsia" w:ascii="宋体" w:hAnsi="宋体"/>
                <w:sz w:val="24"/>
              </w:rPr>
            </w:pPr>
            <w:r>
              <w:rPr>
                <w:rFonts w:hint="eastAsia" w:ascii="宋体" w:hAnsi="宋体"/>
                <w:sz w:val="24"/>
              </w:rPr>
              <w:t>1</w:t>
            </w:r>
          </w:p>
        </w:tc>
      </w:tr>
      <w:tr w14:paraId="2308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74DBF1A0">
            <w:pPr>
              <w:widowControl/>
              <w:snapToGrid w:val="0"/>
              <w:spacing w:before="156" w:beforeLines="50" w:line="360" w:lineRule="auto"/>
              <w:jc w:val="center"/>
              <w:rPr>
                <w:rFonts w:hint="eastAsia" w:ascii="宋体" w:hAnsi="宋体"/>
                <w:sz w:val="24"/>
              </w:rPr>
            </w:pPr>
            <w:r>
              <w:rPr>
                <w:rFonts w:hint="eastAsia" w:ascii="宋体" w:hAnsi="宋体"/>
                <w:sz w:val="24"/>
              </w:rPr>
              <w:t>7</w:t>
            </w:r>
          </w:p>
        </w:tc>
        <w:tc>
          <w:tcPr>
            <w:tcW w:w="6606" w:type="dxa"/>
            <w:noWrap/>
            <w:vAlign w:val="center"/>
          </w:tcPr>
          <w:p w14:paraId="405AC6CD">
            <w:pPr>
              <w:widowControl/>
              <w:snapToGrid w:val="0"/>
              <w:spacing w:before="156" w:beforeLines="50" w:line="360" w:lineRule="auto"/>
              <w:jc w:val="center"/>
              <w:rPr>
                <w:rFonts w:ascii="宋体" w:hAnsi="宋体"/>
                <w:sz w:val="24"/>
              </w:rPr>
            </w:pPr>
            <w:r>
              <w:rPr>
                <w:rFonts w:hint="eastAsia" w:ascii="宋体" w:hAnsi="宋体"/>
                <w:sz w:val="24"/>
              </w:rPr>
              <w:t>真空泵前端尾气过滤系统</w:t>
            </w:r>
          </w:p>
        </w:tc>
        <w:tc>
          <w:tcPr>
            <w:tcW w:w="1004" w:type="dxa"/>
            <w:noWrap/>
            <w:vAlign w:val="center"/>
          </w:tcPr>
          <w:p w14:paraId="7B0C0009">
            <w:pPr>
              <w:widowControl/>
              <w:snapToGrid w:val="0"/>
              <w:spacing w:before="156" w:beforeLines="50" w:line="360" w:lineRule="auto"/>
              <w:jc w:val="center"/>
              <w:rPr>
                <w:rFonts w:ascii="宋体" w:hAnsi="宋体"/>
                <w:sz w:val="24"/>
              </w:rPr>
            </w:pPr>
            <w:r>
              <w:rPr>
                <w:rFonts w:hint="eastAsia" w:ascii="宋体" w:hAnsi="宋体"/>
                <w:sz w:val="24"/>
              </w:rPr>
              <w:t>套</w:t>
            </w:r>
          </w:p>
        </w:tc>
        <w:tc>
          <w:tcPr>
            <w:tcW w:w="861" w:type="dxa"/>
            <w:noWrap/>
            <w:vAlign w:val="center"/>
          </w:tcPr>
          <w:p w14:paraId="588845CE">
            <w:pPr>
              <w:widowControl/>
              <w:snapToGrid w:val="0"/>
              <w:spacing w:before="156" w:beforeLines="50" w:line="360" w:lineRule="auto"/>
              <w:jc w:val="center"/>
              <w:rPr>
                <w:rFonts w:ascii="宋体" w:hAnsi="宋体"/>
                <w:sz w:val="24"/>
              </w:rPr>
            </w:pPr>
            <w:r>
              <w:rPr>
                <w:rFonts w:hint="eastAsia" w:ascii="宋体" w:hAnsi="宋体"/>
                <w:sz w:val="24"/>
              </w:rPr>
              <w:t>1</w:t>
            </w:r>
          </w:p>
        </w:tc>
      </w:tr>
      <w:tr w14:paraId="791C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0F857849">
            <w:pPr>
              <w:widowControl/>
              <w:snapToGrid w:val="0"/>
              <w:spacing w:before="156" w:beforeLines="50" w:line="360" w:lineRule="auto"/>
              <w:jc w:val="center"/>
              <w:rPr>
                <w:rFonts w:hint="eastAsia" w:ascii="宋体" w:hAnsi="宋体"/>
                <w:sz w:val="24"/>
              </w:rPr>
            </w:pPr>
            <w:r>
              <w:rPr>
                <w:rFonts w:hint="eastAsia" w:ascii="宋体" w:hAnsi="宋体"/>
                <w:sz w:val="24"/>
              </w:rPr>
              <w:t>8</w:t>
            </w:r>
          </w:p>
        </w:tc>
        <w:tc>
          <w:tcPr>
            <w:tcW w:w="6606" w:type="dxa"/>
            <w:noWrap/>
            <w:vAlign w:val="center"/>
          </w:tcPr>
          <w:p w14:paraId="64801949">
            <w:pPr>
              <w:widowControl/>
              <w:snapToGrid w:val="0"/>
              <w:spacing w:before="156" w:beforeLines="50" w:line="360" w:lineRule="auto"/>
              <w:jc w:val="center"/>
              <w:rPr>
                <w:rFonts w:hint="eastAsia" w:ascii="宋体" w:hAnsi="宋体"/>
                <w:sz w:val="24"/>
              </w:rPr>
            </w:pPr>
            <w:r>
              <w:rPr>
                <w:rFonts w:hint="eastAsia" w:ascii="宋体" w:hAnsi="宋体"/>
                <w:sz w:val="24"/>
              </w:rPr>
              <w:t>热源瓶</w:t>
            </w:r>
          </w:p>
        </w:tc>
        <w:tc>
          <w:tcPr>
            <w:tcW w:w="1004" w:type="dxa"/>
            <w:noWrap/>
            <w:vAlign w:val="center"/>
          </w:tcPr>
          <w:p w14:paraId="738B51A1">
            <w:pPr>
              <w:widowControl/>
              <w:snapToGrid w:val="0"/>
              <w:spacing w:before="156" w:beforeLines="50" w:line="360" w:lineRule="auto"/>
              <w:jc w:val="center"/>
              <w:rPr>
                <w:rFonts w:hint="eastAsia" w:ascii="宋体" w:hAnsi="宋体"/>
                <w:sz w:val="24"/>
              </w:rPr>
            </w:pPr>
            <w:r>
              <w:rPr>
                <w:rFonts w:hint="eastAsia" w:ascii="宋体" w:hAnsi="宋体"/>
                <w:sz w:val="24"/>
              </w:rPr>
              <w:t>个</w:t>
            </w:r>
          </w:p>
        </w:tc>
        <w:tc>
          <w:tcPr>
            <w:tcW w:w="861" w:type="dxa"/>
            <w:noWrap/>
            <w:vAlign w:val="center"/>
          </w:tcPr>
          <w:p w14:paraId="2119131D">
            <w:pPr>
              <w:widowControl/>
              <w:snapToGrid w:val="0"/>
              <w:spacing w:before="156" w:beforeLines="50" w:line="360" w:lineRule="auto"/>
              <w:jc w:val="center"/>
              <w:rPr>
                <w:rFonts w:hint="eastAsia" w:ascii="宋体" w:hAnsi="宋体"/>
                <w:sz w:val="24"/>
              </w:rPr>
            </w:pPr>
            <w:r>
              <w:rPr>
                <w:rFonts w:hint="eastAsia" w:ascii="宋体" w:hAnsi="宋体"/>
                <w:sz w:val="24"/>
              </w:rPr>
              <w:t>1</w:t>
            </w:r>
          </w:p>
        </w:tc>
      </w:tr>
      <w:tr w14:paraId="772D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2325C182">
            <w:pPr>
              <w:widowControl/>
              <w:snapToGrid w:val="0"/>
              <w:spacing w:before="156" w:beforeLines="50" w:line="360" w:lineRule="auto"/>
              <w:jc w:val="center"/>
              <w:rPr>
                <w:rFonts w:hint="eastAsia" w:ascii="宋体" w:hAnsi="宋体"/>
                <w:sz w:val="24"/>
              </w:rPr>
            </w:pPr>
            <w:r>
              <w:rPr>
                <w:rFonts w:hint="eastAsia" w:ascii="宋体" w:hAnsi="宋体"/>
                <w:sz w:val="24"/>
              </w:rPr>
              <w:t>9</w:t>
            </w:r>
          </w:p>
        </w:tc>
        <w:tc>
          <w:tcPr>
            <w:tcW w:w="6606" w:type="dxa"/>
            <w:noWrap/>
            <w:vAlign w:val="center"/>
          </w:tcPr>
          <w:p w14:paraId="3AE954DE">
            <w:pPr>
              <w:widowControl/>
              <w:spacing w:line="360" w:lineRule="auto"/>
              <w:jc w:val="center"/>
              <w:rPr>
                <w:rFonts w:ascii="宋体" w:hAnsi="宋体"/>
                <w:sz w:val="24"/>
              </w:rPr>
            </w:pPr>
            <w:r>
              <w:rPr>
                <w:rFonts w:hint="eastAsia" w:ascii="宋体" w:hAnsi="宋体"/>
                <w:sz w:val="24"/>
              </w:rPr>
              <w:t>液源瓶（能实现液位指示）</w:t>
            </w:r>
          </w:p>
        </w:tc>
        <w:tc>
          <w:tcPr>
            <w:tcW w:w="1004" w:type="dxa"/>
            <w:noWrap/>
            <w:vAlign w:val="center"/>
          </w:tcPr>
          <w:p w14:paraId="65FC2E85">
            <w:pPr>
              <w:widowControl/>
              <w:snapToGrid w:val="0"/>
              <w:spacing w:before="156" w:beforeLines="50" w:line="360" w:lineRule="auto"/>
              <w:jc w:val="center"/>
              <w:rPr>
                <w:rFonts w:hint="eastAsia" w:ascii="宋体" w:hAnsi="宋体"/>
                <w:sz w:val="24"/>
              </w:rPr>
            </w:pPr>
            <w:r>
              <w:rPr>
                <w:rFonts w:hint="eastAsia" w:ascii="宋体" w:hAnsi="宋体"/>
                <w:sz w:val="24"/>
              </w:rPr>
              <w:t>个</w:t>
            </w:r>
          </w:p>
        </w:tc>
        <w:tc>
          <w:tcPr>
            <w:tcW w:w="861" w:type="dxa"/>
            <w:noWrap/>
            <w:vAlign w:val="center"/>
          </w:tcPr>
          <w:p w14:paraId="783636F4">
            <w:pPr>
              <w:widowControl/>
              <w:snapToGrid w:val="0"/>
              <w:spacing w:before="156" w:beforeLines="50" w:line="360" w:lineRule="auto"/>
              <w:jc w:val="center"/>
              <w:rPr>
                <w:rFonts w:hint="eastAsia" w:ascii="宋体" w:hAnsi="宋体"/>
                <w:sz w:val="24"/>
              </w:rPr>
            </w:pPr>
            <w:r>
              <w:rPr>
                <w:rFonts w:hint="eastAsia" w:ascii="宋体" w:hAnsi="宋体"/>
                <w:sz w:val="24"/>
              </w:rPr>
              <w:t>2</w:t>
            </w:r>
          </w:p>
        </w:tc>
      </w:tr>
      <w:tr w14:paraId="4C25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09" w:type="dxa"/>
            <w:noWrap/>
            <w:vAlign w:val="center"/>
          </w:tcPr>
          <w:p w14:paraId="703CBC26">
            <w:pPr>
              <w:widowControl/>
              <w:snapToGrid w:val="0"/>
              <w:spacing w:before="156" w:beforeLines="50" w:line="360" w:lineRule="auto"/>
              <w:jc w:val="center"/>
              <w:rPr>
                <w:rFonts w:ascii="宋体" w:hAnsi="宋体"/>
                <w:sz w:val="24"/>
              </w:rPr>
            </w:pPr>
            <w:r>
              <w:rPr>
                <w:rFonts w:hint="eastAsia" w:ascii="宋体" w:hAnsi="宋体"/>
                <w:sz w:val="24"/>
              </w:rPr>
              <w:t>10</w:t>
            </w:r>
          </w:p>
        </w:tc>
        <w:tc>
          <w:tcPr>
            <w:tcW w:w="6606" w:type="dxa"/>
            <w:noWrap/>
            <w:vAlign w:val="center"/>
          </w:tcPr>
          <w:p w14:paraId="7C184FF0">
            <w:pPr>
              <w:widowControl/>
              <w:spacing w:line="360" w:lineRule="auto"/>
              <w:jc w:val="center"/>
              <w:rPr>
                <w:rFonts w:ascii="宋体" w:hAnsi="宋体"/>
                <w:sz w:val="24"/>
              </w:rPr>
            </w:pPr>
            <w:r>
              <w:rPr>
                <w:rFonts w:ascii="宋体" w:hAnsi="宋体"/>
                <w:sz w:val="24"/>
              </w:rPr>
              <w:t>备品备件</w:t>
            </w:r>
            <w:r>
              <w:rPr>
                <w:rFonts w:hint="eastAsia" w:ascii="宋体" w:hAnsi="宋体"/>
                <w:sz w:val="24"/>
              </w:rPr>
              <w:t>（投标人须提供备品备件清单）</w:t>
            </w:r>
          </w:p>
        </w:tc>
        <w:tc>
          <w:tcPr>
            <w:tcW w:w="1004" w:type="dxa"/>
            <w:noWrap/>
            <w:vAlign w:val="center"/>
          </w:tcPr>
          <w:p w14:paraId="70491D2E">
            <w:pPr>
              <w:widowControl/>
              <w:snapToGrid w:val="0"/>
              <w:spacing w:before="156" w:beforeLines="50" w:line="360" w:lineRule="auto"/>
              <w:jc w:val="center"/>
              <w:rPr>
                <w:rFonts w:ascii="宋体" w:hAnsi="宋体"/>
                <w:sz w:val="24"/>
              </w:rPr>
            </w:pPr>
            <w:r>
              <w:rPr>
                <w:rFonts w:hint="eastAsia" w:ascii="宋体" w:hAnsi="宋体"/>
                <w:sz w:val="24"/>
              </w:rPr>
              <w:t>套</w:t>
            </w:r>
          </w:p>
        </w:tc>
        <w:tc>
          <w:tcPr>
            <w:tcW w:w="861" w:type="dxa"/>
            <w:noWrap/>
            <w:vAlign w:val="center"/>
          </w:tcPr>
          <w:p w14:paraId="42BC1C78">
            <w:pPr>
              <w:widowControl/>
              <w:snapToGrid w:val="0"/>
              <w:spacing w:before="156" w:beforeLines="50" w:line="360" w:lineRule="auto"/>
              <w:jc w:val="center"/>
              <w:rPr>
                <w:rFonts w:ascii="宋体" w:hAnsi="宋体"/>
                <w:sz w:val="24"/>
              </w:rPr>
            </w:pPr>
            <w:r>
              <w:rPr>
                <w:rFonts w:hint="eastAsia" w:ascii="宋体" w:hAnsi="宋体"/>
                <w:sz w:val="24"/>
              </w:rPr>
              <w:t>1</w:t>
            </w:r>
          </w:p>
        </w:tc>
      </w:tr>
    </w:tbl>
    <w:p w14:paraId="6058D17D">
      <w:pPr>
        <w:pStyle w:val="8"/>
        <w:ind w:firstLine="0" w:firstLineChars="0"/>
        <w:rPr>
          <w:rFonts w:ascii="宋体"/>
          <w:sz w:val="24"/>
        </w:rPr>
      </w:pPr>
    </w:p>
    <w:p w14:paraId="2199E94E">
      <w:pPr>
        <w:pStyle w:val="8"/>
        <w:ind w:firstLine="0" w:firstLineChars="0"/>
        <w:rPr>
          <w:rFonts w:hint="eastAsia" w:ascii="宋体"/>
          <w:sz w:val="24"/>
        </w:rPr>
      </w:pPr>
    </w:p>
    <w:p w14:paraId="15CF4470">
      <w:pPr>
        <w:widowControl/>
        <w:snapToGrid w:val="0"/>
        <w:spacing w:before="156" w:beforeLines="50" w:line="360" w:lineRule="auto"/>
        <w:rPr>
          <w:rFonts w:ascii="宋体" w:hAnsi="宋体"/>
          <w:b/>
          <w:sz w:val="30"/>
          <w:szCs w:val="30"/>
        </w:rPr>
      </w:pPr>
      <w:r>
        <w:rPr>
          <w:rFonts w:hint="eastAsia" w:ascii="宋体" w:hAnsi="宋体"/>
          <w:b/>
          <w:sz w:val="30"/>
          <w:szCs w:val="30"/>
        </w:rPr>
        <w:t>（二）商务要求：</w:t>
      </w:r>
    </w:p>
    <w:p w14:paraId="279B98A7">
      <w:pPr>
        <w:widowControl/>
        <w:tabs>
          <w:tab w:val="left" w:pos="8010"/>
        </w:tabs>
        <w:snapToGrid w:val="0"/>
        <w:spacing w:line="360" w:lineRule="auto"/>
        <w:rPr>
          <w:rFonts w:ascii="宋体" w:hAnsi="宋体"/>
          <w:b/>
          <w:sz w:val="24"/>
        </w:rPr>
      </w:pPr>
      <w:r>
        <w:rPr>
          <w:rFonts w:hint="eastAsia" w:ascii="宋体" w:hAnsi="宋体"/>
          <w:b/>
          <w:sz w:val="24"/>
        </w:rPr>
        <w:t>1</w:t>
      </w:r>
      <w:r>
        <w:rPr>
          <w:rFonts w:ascii="宋体" w:hAnsi="宋体"/>
          <w:b/>
          <w:sz w:val="24"/>
        </w:rPr>
        <w:t xml:space="preserve">. </w:t>
      </w:r>
      <w:r>
        <w:rPr>
          <w:rFonts w:hint="eastAsia" w:ascii="宋体" w:hAnsi="宋体"/>
          <w:b/>
          <w:sz w:val="24"/>
        </w:rPr>
        <w:t>技术资料要求：</w:t>
      </w:r>
    </w:p>
    <w:p w14:paraId="59304876">
      <w:pPr>
        <w:tabs>
          <w:tab w:val="left" w:pos="420"/>
          <w:tab w:val="bar" w:pos="11340"/>
        </w:tabs>
        <w:spacing w:line="360" w:lineRule="auto"/>
        <w:ind w:firstLine="480" w:firstLineChars="200"/>
        <w:rPr>
          <w:rFonts w:hint="eastAsia" w:ascii="宋体" w:hAnsi="宋体"/>
          <w:sz w:val="24"/>
        </w:rPr>
      </w:pPr>
      <w:r>
        <w:rPr>
          <w:rFonts w:hint="eastAsia" w:ascii="宋体" w:hAnsi="宋体" w:cs="Arial"/>
          <w:sz w:val="24"/>
        </w:rPr>
        <w:t>供应商应提供1套完整的技术资料，包括所有方案中提到的设备和控制软件的相关技术资料，主要有操作手册、使用手册、维护手册、安装手册等，全套手册必须可在设备操作界面上实时方便查阅</w:t>
      </w:r>
      <w:r>
        <w:rPr>
          <w:rFonts w:hint="eastAsia" w:ascii="宋体" w:hAnsi="宋体"/>
          <w:sz w:val="24"/>
        </w:rPr>
        <w:t>，并可以使用关键字检索。</w:t>
      </w:r>
    </w:p>
    <w:p w14:paraId="45BC0A82">
      <w:pPr>
        <w:widowControl/>
        <w:tabs>
          <w:tab w:val="left" w:pos="8010"/>
        </w:tabs>
        <w:snapToGrid w:val="0"/>
        <w:spacing w:before="156" w:beforeLines="50" w:line="360" w:lineRule="auto"/>
        <w:rPr>
          <w:rFonts w:ascii="宋体" w:hAnsi="宋体"/>
          <w:b/>
          <w:sz w:val="24"/>
        </w:rPr>
      </w:pPr>
      <w:r>
        <w:rPr>
          <w:rFonts w:ascii="宋体" w:hAnsi="宋体"/>
          <w:b/>
          <w:sz w:val="24"/>
        </w:rPr>
        <w:t>2.</w:t>
      </w:r>
      <w:r>
        <w:rPr>
          <w:rFonts w:hint="eastAsia" w:ascii="宋体" w:hAnsi="宋体"/>
          <w:b/>
          <w:sz w:val="24"/>
        </w:rPr>
        <w:t>安装、调试及验收要求：</w:t>
      </w:r>
    </w:p>
    <w:p w14:paraId="0FE9C895">
      <w:pPr>
        <w:tabs>
          <w:tab w:val="left" w:pos="420"/>
          <w:tab w:val="bar" w:pos="11340"/>
        </w:tabs>
        <w:spacing w:line="360" w:lineRule="auto"/>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1出厂检验报告：供应商在设备发货前提供到用户，或随设备发货提供到用户。</w:t>
      </w:r>
    </w:p>
    <w:p w14:paraId="6500EE92">
      <w:pPr>
        <w:tabs>
          <w:tab w:val="left" w:pos="420"/>
          <w:tab w:val="bar" w:pos="11340"/>
        </w:tabs>
        <w:spacing w:line="360" w:lineRule="auto"/>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设备检查和清点：</w:t>
      </w:r>
    </w:p>
    <w:p w14:paraId="16508737">
      <w:pPr>
        <w:tabs>
          <w:tab w:val="left" w:pos="420"/>
          <w:tab w:val="bar" w:pos="11340"/>
        </w:tabs>
        <w:spacing w:line="360" w:lineRule="auto"/>
        <w:ind w:firstLine="480" w:firstLineChars="200"/>
        <w:rPr>
          <w:rFonts w:hint="eastAsia" w:ascii="宋体" w:hAnsi="宋体"/>
          <w:sz w:val="24"/>
        </w:rPr>
      </w:pPr>
      <w:r>
        <w:rPr>
          <w:rFonts w:hint="eastAsia" w:ascii="宋体" w:hAnsi="宋体"/>
          <w:sz w:val="24"/>
        </w:rPr>
        <w:t>设备到达现场后，双方一起根据合同清单对设备进行开箱检查和清点，并形成经双方认可的记录。如供应商届时不派人来, 则验收结果应以用户的清点记录为最终结果。发现短缺、破损,用户有权要求供应商立即补发和负责更换。</w:t>
      </w:r>
    </w:p>
    <w:p w14:paraId="19C43043">
      <w:pPr>
        <w:tabs>
          <w:tab w:val="left" w:pos="420"/>
          <w:tab w:val="bar" w:pos="11340"/>
        </w:tabs>
        <w:spacing w:line="360" w:lineRule="auto"/>
        <w:rPr>
          <w:rFonts w:ascii="宋体" w:hAnsi="宋体"/>
          <w:sz w:val="24"/>
        </w:rPr>
      </w:pPr>
      <w:r>
        <w:rPr>
          <w:rFonts w:hint="eastAsia" w:ascii="宋体" w:hAnsi="宋体"/>
          <w:sz w:val="24"/>
        </w:rPr>
        <w:t>2</w:t>
      </w:r>
      <w:r>
        <w:rPr>
          <w:rFonts w:ascii="宋体" w:hAnsi="宋体"/>
          <w:sz w:val="24"/>
        </w:rPr>
        <w:t>.3</w:t>
      </w:r>
      <w:r>
        <w:rPr>
          <w:rFonts w:hint="eastAsia" w:ascii="宋体" w:hAnsi="宋体"/>
          <w:sz w:val="24"/>
        </w:rPr>
        <w:t>设备现场安装：</w:t>
      </w:r>
    </w:p>
    <w:p w14:paraId="5DBC198D">
      <w:pPr>
        <w:tabs>
          <w:tab w:val="left" w:pos="420"/>
          <w:tab w:val="bar" w:pos="11340"/>
        </w:tabs>
        <w:spacing w:line="360" w:lineRule="auto"/>
        <w:ind w:firstLine="480" w:firstLineChars="200"/>
        <w:rPr>
          <w:rFonts w:hint="eastAsia" w:ascii="宋体" w:hAnsi="宋体"/>
          <w:sz w:val="24"/>
        </w:rPr>
      </w:pPr>
      <w:r>
        <w:rPr>
          <w:rFonts w:hint="eastAsia" w:ascii="宋体" w:hAnsi="宋体"/>
          <w:sz w:val="24"/>
        </w:rPr>
        <w:t>现场安装应在设备检查、清点合格后开始。设备安装前，设备供应商应根据用户现场条件设计安装方案，并经用户认可。</w:t>
      </w:r>
      <w:r>
        <w:rPr>
          <w:rFonts w:hint="eastAsia" w:ascii="宋体" w:hAnsi="宋体"/>
          <w:bCs/>
          <w:sz w:val="24"/>
        </w:rPr>
        <w:t>供应商免费提供设备的安装、调试、试运行。</w:t>
      </w:r>
      <w:r>
        <w:rPr>
          <w:rFonts w:hint="eastAsia" w:ascii="宋体" w:hAnsi="宋体"/>
          <w:sz w:val="24"/>
        </w:rPr>
        <w:t>用户方派相关人员给与配合，并负责提供设备安装过程所需的配套条件；设备安装、调试时间由设备供应商和用户方协商确定。</w:t>
      </w:r>
    </w:p>
    <w:p w14:paraId="1F111F90">
      <w:pPr>
        <w:tabs>
          <w:tab w:val="left" w:pos="420"/>
          <w:tab w:val="bar" w:pos="11340"/>
        </w:tabs>
        <w:spacing w:line="360" w:lineRule="auto"/>
        <w:ind w:firstLine="480" w:firstLineChars="200"/>
        <w:rPr>
          <w:rFonts w:ascii="宋体" w:hAnsi="宋体"/>
          <w:sz w:val="24"/>
        </w:rPr>
      </w:pPr>
      <w:r>
        <w:rPr>
          <w:rFonts w:hint="eastAsia" w:ascii="宋体" w:hAnsi="宋体"/>
          <w:sz w:val="24"/>
        </w:rPr>
        <w:t>设备安装、调试开始后，应在4周内完成；如遇不可抗力原因需延长设备安装、调试时间，应由设备供应商和用户协商确定。</w:t>
      </w:r>
    </w:p>
    <w:p w14:paraId="198782C6">
      <w:pPr>
        <w:tabs>
          <w:tab w:val="left" w:pos="420"/>
          <w:tab w:val="bar" w:pos="11340"/>
        </w:tabs>
        <w:spacing w:line="360" w:lineRule="auto"/>
        <w:rPr>
          <w:rFonts w:hint="eastAsia" w:ascii="宋体" w:hAnsi="宋体"/>
          <w:sz w:val="24"/>
        </w:rPr>
      </w:pPr>
      <w:r>
        <w:rPr>
          <w:rFonts w:hint="eastAsia" w:ascii="宋体" w:hAnsi="宋体"/>
          <w:sz w:val="24"/>
        </w:rPr>
        <w:t>2</w:t>
      </w:r>
      <w:r>
        <w:rPr>
          <w:rFonts w:ascii="宋体" w:hAnsi="宋体"/>
          <w:sz w:val="24"/>
        </w:rPr>
        <w:t>.4</w:t>
      </w:r>
      <w:r>
        <w:rPr>
          <w:rFonts w:hint="eastAsia" w:ascii="宋体" w:hAnsi="宋体"/>
          <w:sz w:val="24"/>
        </w:rPr>
        <w:t>双方在设备安装调试后进行验收,时间由设备供应商和用户协商确定；验收标准以供应商提供的投标文件中所列的指标为准（该指标应不低于采购文件所要求的指标）。任何虚假指标响应一经发现即作废标，供应商必须承担由此给采购人带来的一切经济损失和其它相关责任。</w:t>
      </w:r>
    </w:p>
    <w:p w14:paraId="49300935">
      <w:pPr>
        <w:tabs>
          <w:tab w:val="left" w:pos="420"/>
          <w:tab w:val="bar" w:pos="11340"/>
        </w:tabs>
        <w:spacing w:line="360" w:lineRule="auto"/>
        <w:ind w:firstLine="480" w:firstLineChars="200"/>
        <w:rPr>
          <w:rFonts w:hint="eastAsia" w:ascii="宋体"/>
          <w:sz w:val="24"/>
        </w:rPr>
      </w:pPr>
      <w:r>
        <w:rPr>
          <w:rFonts w:hint="eastAsia" w:ascii="宋体"/>
          <w:sz w:val="24"/>
        </w:rPr>
        <w:t>供应商应提出验收测试方案给用户确认,供应商有责任对用户的技术人员提出的问题做出解答。仪器设备验收测试应进行详细记录,测试结束后,由供应商技术人员签字后交给用户验收。</w:t>
      </w:r>
    </w:p>
    <w:p w14:paraId="706047E8">
      <w:pPr>
        <w:pStyle w:val="6"/>
        <w:spacing w:line="360" w:lineRule="auto"/>
        <w:ind w:left="0" w:leftChars="0" w:firstLine="0" w:firstLineChars="0"/>
        <w:rPr>
          <w:rFonts w:hint="eastAsia"/>
        </w:rPr>
      </w:pPr>
      <w:r>
        <w:rPr>
          <w:rFonts w:hint="eastAsia" w:ascii="宋体" w:hAnsi="宋体"/>
        </w:rPr>
        <w:t>2</w:t>
      </w:r>
      <w:r>
        <w:rPr>
          <w:rFonts w:ascii="宋体" w:hAnsi="宋体"/>
        </w:rPr>
        <w:t>.5</w:t>
      </w:r>
      <w:r>
        <w:rPr>
          <w:rFonts w:hint="eastAsia" w:ascii="宋体" w:hAnsi="宋体"/>
        </w:rPr>
        <w:t>在用户现场完成验收后，由用户、供应商及相关人员依国家有关标准、合同及有关附件要求签署最终验收合格报告。</w:t>
      </w:r>
    </w:p>
    <w:p w14:paraId="6FA8ED18">
      <w:pPr>
        <w:tabs>
          <w:tab w:val="left" w:pos="420"/>
          <w:tab w:val="bar" w:pos="11340"/>
        </w:tabs>
        <w:spacing w:line="360" w:lineRule="auto"/>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由于用户的原因，供应商不能在规定的时间内完成安装和调试，则系统安装及培训顺延，时间由用户通知和确定。</w:t>
      </w:r>
    </w:p>
    <w:p w14:paraId="739F0F28">
      <w:pPr>
        <w:tabs>
          <w:tab w:val="left" w:pos="420"/>
          <w:tab w:val="bar" w:pos="11340"/>
        </w:tabs>
        <w:spacing w:line="360" w:lineRule="auto"/>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7 在整个验收过程中，如遇到产品本身质量问题或供应商安装操作不当引起的设备损坏，供应商应免费及时解决并承担损坏赔偿。</w:t>
      </w:r>
    </w:p>
    <w:p w14:paraId="682B9C30">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3.培训要求：</w:t>
      </w:r>
    </w:p>
    <w:p w14:paraId="0248A47B">
      <w:pPr>
        <w:tabs>
          <w:tab w:val="left" w:pos="420"/>
          <w:tab w:val="bar" w:pos="11340"/>
        </w:tabs>
        <w:spacing w:line="360" w:lineRule="auto"/>
        <w:ind w:firstLine="480" w:firstLineChars="200"/>
        <w:rPr>
          <w:rFonts w:hint="eastAsia" w:ascii="宋体" w:hAnsi="宋体"/>
          <w:sz w:val="24"/>
        </w:rPr>
      </w:pPr>
      <w:r>
        <w:rPr>
          <w:rFonts w:hint="eastAsia" w:ascii="宋体" w:hAnsi="宋体"/>
          <w:sz w:val="24"/>
        </w:rPr>
        <w:t>供应商在到货安装调试完成后，应派出专业工程师免费在采购方现场提供一次系统的使用培训服务，直至采购方相关人员熟练掌握为止。质保期结束前，由供应商的专业工程师免费提供一次上门设备检查服务以及设备操作与维护培训。具体时间由用户决定。</w:t>
      </w:r>
    </w:p>
    <w:p w14:paraId="22335D43">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 xml:space="preserve">4.售后及技术服务要求： </w:t>
      </w:r>
    </w:p>
    <w:p w14:paraId="75F342ED">
      <w:pPr>
        <w:tabs>
          <w:tab w:val="left" w:pos="420"/>
          <w:tab w:val="bar" w:pos="11340"/>
        </w:tabs>
        <w:spacing w:line="360" w:lineRule="auto"/>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1保修期：质量保证期从签署最终验收报告之日起计算，保修期不少于1年。</w:t>
      </w:r>
    </w:p>
    <w:p w14:paraId="306D996D">
      <w:pPr>
        <w:tabs>
          <w:tab w:val="left" w:pos="420"/>
          <w:tab w:val="bar" w:pos="11340"/>
        </w:tabs>
        <w:spacing w:line="360" w:lineRule="auto"/>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1.1保修期内，一切服务费用（包括零配件的费用及运费）由供应商承担；</w:t>
      </w:r>
    </w:p>
    <w:p w14:paraId="75DD3E1A">
      <w:pPr>
        <w:tabs>
          <w:tab w:val="left" w:pos="420"/>
          <w:tab w:val="bar" w:pos="11340"/>
        </w:tabs>
        <w:spacing w:line="360" w:lineRule="auto"/>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1.2保修期内，供应商负责设备的所有相关软件在最新版本发布后免费升级；</w:t>
      </w:r>
    </w:p>
    <w:p w14:paraId="111B42A7">
      <w:pPr>
        <w:tabs>
          <w:tab w:val="left" w:pos="420"/>
          <w:tab w:val="bar" w:pos="11340"/>
        </w:tabs>
        <w:spacing w:line="360" w:lineRule="auto"/>
        <w:rPr>
          <w:rFonts w:hint="eastAsia" w:ascii="宋体" w:hAnsi="宋体"/>
          <w:sz w:val="24"/>
        </w:rPr>
      </w:pPr>
      <w:r>
        <w:rPr>
          <w:rFonts w:hint="eastAsia" w:ascii="宋体" w:hAnsi="宋体"/>
          <w:sz w:val="24"/>
        </w:rPr>
        <w:t>4</w:t>
      </w:r>
      <w:r>
        <w:rPr>
          <w:rFonts w:ascii="宋体" w:hAnsi="宋体"/>
          <w:sz w:val="24"/>
        </w:rPr>
        <w:t>.</w:t>
      </w:r>
      <w:r>
        <w:rPr>
          <w:rFonts w:hint="eastAsia" w:ascii="宋体" w:hAnsi="宋体"/>
          <w:sz w:val="24"/>
        </w:rPr>
        <w:t>1.3供应商应承诺，在保修期过后，供应商继续向用户以最优惠费率提供及时有效的售后服务和零备件供应，供应商应承诺保证零备件供应期不少于1</w:t>
      </w:r>
      <w:r>
        <w:rPr>
          <w:rFonts w:ascii="宋体" w:hAnsi="宋体"/>
          <w:sz w:val="24"/>
        </w:rPr>
        <w:t>0</w:t>
      </w:r>
      <w:r>
        <w:rPr>
          <w:rFonts w:hint="eastAsia" w:ascii="宋体" w:hAnsi="宋体"/>
          <w:sz w:val="24"/>
        </w:rPr>
        <w:t>年；所更换的部件可享受顺延保修期优惠。</w:t>
      </w:r>
    </w:p>
    <w:p w14:paraId="720AC732">
      <w:pPr>
        <w:pStyle w:val="8"/>
        <w:spacing w:line="360" w:lineRule="auto"/>
        <w:ind w:firstLine="0" w:firstLineChars="0"/>
        <w:rPr>
          <w:rFonts w:hint="eastAsia" w:ascii="宋体"/>
          <w:sz w:val="24"/>
        </w:rPr>
      </w:pPr>
      <w:r>
        <w:rPr>
          <w:rFonts w:hint="eastAsia" w:ascii="宋体"/>
          <w:sz w:val="24"/>
        </w:rPr>
        <w:t>4</w:t>
      </w:r>
      <w:r>
        <w:rPr>
          <w:rFonts w:ascii="宋体"/>
          <w:sz w:val="24"/>
        </w:rPr>
        <w:t>.</w:t>
      </w:r>
      <w:r>
        <w:rPr>
          <w:rFonts w:hint="eastAsia" w:ascii="宋体"/>
          <w:sz w:val="24"/>
        </w:rPr>
        <w:t>1.4保修期内,如果仪器设备发生故障，供应商要调查故障原因并修复直至满足最终验收指标和性能的要求。</w:t>
      </w:r>
    </w:p>
    <w:p w14:paraId="53431467">
      <w:pPr>
        <w:pStyle w:val="8"/>
        <w:spacing w:line="360" w:lineRule="auto"/>
        <w:ind w:firstLine="0" w:firstLineChars="0"/>
        <w:rPr>
          <w:rFonts w:ascii="宋体"/>
          <w:sz w:val="24"/>
        </w:rPr>
      </w:pPr>
      <w:r>
        <w:rPr>
          <w:rFonts w:hint="eastAsia" w:ascii="宋体"/>
          <w:sz w:val="24"/>
        </w:rPr>
        <w:t>4.2售后服务要求：</w:t>
      </w:r>
    </w:p>
    <w:p w14:paraId="6C1DAD9E">
      <w:pPr>
        <w:tabs>
          <w:tab w:val="left" w:pos="420"/>
          <w:tab w:val="bar" w:pos="11340"/>
        </w:tabs>
        <w:spacing w:line="360" w:lineRule="auto"/>
        <w:rPr>
          <w:rFonts w:hint="eastAsia" w:ascii="宋体" w:hAnsi="宋体"/>
          <w:sz w:val="24"/>
        </w:rPr>
      </w:pPr>
      <w:r>
        <w:rPr>
          <w:rFonts w:hint="eastAsia" w:ascii="宋体" w:hAnsi="宋体"/>
          <w:sz w:val="24"/>
        </w:rPr>
        <w:t>4</w:t>
      </w:r>
      <w:r>
        <w:rPr>
          <w:rFonts w:ascii="宋体" w:hAnsi="宋体"/>
          <w:sz w:val="24"/>
        </w:rPr>
        <w:t>.</w:t>
      </w:r>
      <w:r>
        <w:rPr>
          <w:rFonts w:hint="eastAsia" w:ascii="宋体" w:hAnsi="宋体"/>
          <w:sz w:val="24"/>
        </w:rPr>
        <w:t>2.1维修响应时间：</w:t>
      </w:r>
    </w:p>
    <w:p w14:paraId="08627677">
      <w:pPr>
        <w:tabs>
          <w:tab w:val="left" w:pos="420"/>
          <w:tab w:val="bar" w:pos="11340"/>
        </w:tabs>
        <w:spacing w:line="360" w:lineRule="auto"/>
        <w:ind w:firstLine="480" w:firstLineChars="200"/>
        <w:rPr>
          <w:rFonts w:hint="eastAsia" w:ascii="宋体" w:hAnsi="宋体"/>
          <w:sz w:val="24"/>
        </w:rPr>
      </w:pPr>
      <w:r>
        <w:rPr>
          <w:rFonts w:hint="eastAsia" w:ascii="宋体" w:hAnsi="宋体"/>
          <w:sz w:val="24"/>
        </w:rPr>
        <w:t>供应商接到故障报告后 4小时予以电话响应并给出方案，如无法通过电话解决故障，将在24小时内派专业工程师到现场解决问题，如有需要将在7日内派原厂工程师到现场解决问题；</w:t>
      </w:r>
    </w:p>
    <w:p w14:paraId="40A80EC8">
      <w:pPr>
        <w:tabs>
          <w:tab w:val="left" w:pos="420"/>
          <w:tab w:val="bar" w:pos="11340"/>
        </w:tabs>
        <w:spacing w:line="360" w:lineRule="auto"/>
        <w:rPr>
          <w:rFonts w:hint="eastAsia"/>
        </w:rPr>
      </w:pPr>
      <w:r>
        <w:rPr>
          <w:rFonts w:hint="eastAsia" w:ascii="宋体" w:hAnsi="宋体"/>
          <w:sz w:val="24"/>
        </w:rPr>
        <w:t>4</w:t>
      </w:r>
      <w:r>
        <w:rPr>
          <w:rFonts w:ascii="宋体" w:hAnsi="宋体"/>
          <w:sz w:val="24"/>
        </w:rPr>
        <w:t>.</w:t>
      </w:r>
      <w:r>
        <w:rPr>
          <w:rFonts w:hint="eastAsia" w:ascii="宋体" w:hAnsi="宋体"/>
          <w:sz w:val="24"/>
        </w:rPr>
        <w:t>2.2供应商免费提供7*24小时的技术支持热线电话；</w:t>
      </w:r>
    </w:p>
    <w:p w14:paraId="499DC88A">
      <w:pPr>
        <w:tabs>
          <w:tab w:val="left" w:pos="420"/>
          <w:tab w:val="bar" w:pos="11340"/>
        </w:tabs>
        <w:spacing w:line="360" w:lineRule="auto"/>
        <w:rPr>
          <w:rFonts w:hint="eastAsia" w:ascii="宋体" w:hAnsi="宋体"/>
          <w:sz w:val="24"/>
        </w:rPr>
      </w:pPr>
      <w:r>
        <w:rPr>
          <w:rFonts w:hint="eastAsia" w:ascii="宋体" w:hAnsi="宋体"/>
          <w:sz w:val="24"/>
        </w:rPr>
        <w:t>4</w:t>
      </w:r>
      <w:r>
        <w:rPr>
          <w:rFonts w:ascii="宋体" w:hAnsi="宋体"/>
          <w:sz w:val="24"/>
        </w:rPr>
        <w:t>.</w:t>
      </w:r>
      <w:r>
        <w:rPr>
          <w:rFonts w:hint="eastAsia" w:ascii="宋体" w:hAnsi="宋体"/>
          <w:sz w:val="24"/>
        </w:rPr>
        <w:t>2.3要求供应商提供的其它技术服务内容：</w:t>
      </w:r>
    </w:p>
    <w:p w14:paraId="66AA66AA">
      <w:pPr>
        <w:tabs>
          <w:tab w:val="left" w:pos="420"/>
          <w:tab w:val="bar" w:pos="11340"/>
        </w:tabs>
        <w:spacing w:line="360" w:lineRule="auto"/>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2.3.1供应商须保证本合同系统硬件均系原装新品；</w:t>
      </w:r>
    </w:p>
    <w:p w14:paraId="58E61237">
      <w:pPr>
        <w:tabs>
          <w:tab w:val="left" w:pos="420"/>
          <w:tab w:val="bar" w:pos="11340"/>
        </w:tabs>
        <w:spacing w:line="360" w:lineRule="auto"/>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2.3.2供应商须保证所提供的控制软件为正版软件，并能免费得到原产厂家技术支持及升级服务。</w:t>
      </w:r>
    </w:p>
    <w:p w14:paraId="686E02CF">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5.包装及运输要求：</w:t>
      </w:r>
    </w:p>
    <w:p w14:paraId="2E3CBBDA">
      <w:pPr>
        <w:tabs>
          <w:tab w:val="left" w:pos="420"/>
          <w:tab w:val="bar" w:pos="11340"/>
        </w:tabs>
        <w:spacing w:line="360" w:lineRule="auto"/>
        <w:rPr>
          <w:rFonts w:hint="eastAsia" w:ascii="宋体" w:hAnsi="宋体"/>
          <w:sz w:val="24"/>
        </w:rPr>
      </w:pPr>
      <w:r>
        <w:rPr>
          <w:rFonts w:hint="eastAsia" w:ascii="宋体" w:hAnsi="宋体"/>
          <w:sz w:val="24"/>
        </w:rPr>
        <w:t>5.1供应商负责设备运输到交货地点。</w:t>
      </w:r>
    </w:p>
    <w:p w14:paraId="01DACD58">
      <w:pPr>
        <w:widowControl/>
        <w:snapToGrid w:val="0"/>
        <w:spacing w:before="156" w:beforeLines="50" w:line="360" w:lineRule="auto"/>
        <w:rPr>
          <w:rFonts w:hint="eastAsia" w:ascii="宋体" w:hAnsi="宋体"/>
          <w:sz w:val="24"/>
        </w:rPr>
      </w:pPr>
      <w:r>
        <w:rPr>
          <w:rFonts w:hint="eastAsia" w:ascii="宋体" w:hAnsi="宋体"/>
          <w:sz w:val="24"/>
        </w:rPr>
        <w:t>5.2 无论在何种运输方式下，供应商应保证货物包装完好无锈蚀，安全运抵目的地。应使用崭新坚固的包装（标准包装），适合于空运、海运或陆运等长途运输方式和标准；包装箱应防潮、防锈、防震、防粗暴装卸、适合气候变化；供应商应对任何由于不当包装或防护措施不利而导致的商品损坏、损失、费用增长等后果负责。</w:t>
      </w:r>
    </w:p>
    <w:p w14:paraId="0D56213E">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6、交货日期：</w:t>
      </w:r>
    </w:p>
    <w:p w14:paraId="388BEBC6">
      <w:pPr>
        <w:widowControl/>
        <w:snapToGrid w:val="0"/>
        <w:spacing w:before="156" w:beforeLines="50" w:line="360" w:lineRule="auto"/>
        <w:rPr>
          <w:rFonts w:hint="eastAsia" w:ascii="宋体" w:hAnsi="宋体"/>
          <w:sz w:val="24"/>
        </w:rPr>
      </w:pPr>
      <w:r>
        <w:rPr>
          <w:rFonts w:hint="eastAsia" w:ascii="宋体" w:hAnsi="宋体"/>
          <w:sz w:val="24"/>
        </w:rPr>
        <w:t>2025年1月31日前交货。</w:t>
      </w:r>
    </w:p>
    <w:p w14:paraId="35DAEE21">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7、到货口岸及交货地点：</w:t>
      </w:r>
    </w:p>
    <w:p w14:paraId="661FF663">
      <w:pPr>
        <w:widowControl/>
        <w:snapToGrid w:val="0"/>
        <w:spacing w:before="156" w:beforeLines="50" w:line="360" w:lineRule="auto"/>
        <w:rPr>
          <w:rFonts w:hint="eastAsia" w:ascii="宋体" w:hAnsi="宋体"/>
          <w:sz w:val="24"/>
        </w:rPr>
      </w:pPr>
      <w:r>
        <w:rPr>
          <w:rFonts w:hint="eastAsia" w:ascii="宋体" w:hAnsi="宋体"/>
          <w:sz w:val="24"/>
        </w:rPr>
        <w:t>交货地点：中国科学院微电子研究所。</w:t>
      </w:r>
    </w:p>
    <w:p w14:paraId="52DA59B6">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8、执行的相关标准</w:t>
      </w:r>
    </w:p>
    <w:p w14:paraId="6689FC44">
      <w:pPr>
        <w:widowControl/>
        <w:snapToGrid w:val="0"/>
        <w:spacing w:before="156" w:beforeLines="50" w:line="360" w:lineRule="auto"/>
        <w:rPr>
          <w:rFonts w:hint="eastAsia" w:ascii="宋体" w:hAnsi="宋体"/>
          <w:sz w:val="24"/>
        </w:rPr>
      </w:pPr>
      <w:r>
        <w:rPr>
          <w:rFonts w:hint="eastAsia" w:ascii="宋体" w:hAnsi="宋体"/>
          <w:sz w:val="24"/>
        </w:rPr>
        <w:t>无</w:t>
      </w:r>
    </w:p>
    <w:p w14:paraId="07A7D0B0">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9、其它</w:t>
      </w:r>
    </w:p>
    <w:p w14:paraId="6BEA8CF2">
      <w:pPr>
        <w:widowControl/>
        <w:snapToGrid w:val="0"/>
        <w:spacing w:before="156" w:beforeLines="50" w:line="360" w:lineRule="auto"/>
        <w:rPr>
          <w:rFonts w:ascii="宋体" w:hAnsi="宋体"/>
          <w:sz w:val="24"/>
        </w:rPr>
      </w:pPr>
      <w:r>
        <w:rPr>
          <w:rFonts w:hint="eastAsia" w:ascii="宋体" w:hAnsi="宋体"/>
          <w:sz w:val="24"/>
        </w:rPr>
        <w:t>9.1</w:t>
      </w:r>
      <w:r>
        <w:rPr>
          <w:rFonts w:ascii="宋体" w:hAnsi="宋体"/>
          <w:sz w:val="24"/>
        </w:rPr>
        <w:t>对仪器设备生产厂家要求：</w:t>
      </w:r>
    </w:p>
    <w:p w14:paraId="4C7E8EBE">
      <w:pPr>
        <w:widowControl/>
        <w:snapToGrid w:val="0"/>
        <w:spacing w:before="156" w:beforeLines="50" w:line="360" w:lineRule="auto"/>
        <w:rPr>
          <w:rFonts w:ascii="宋体" w:hAnsi="宋体"/>
          <w:sz w:val="24"/>
        </w:rPr>
      </w:pPr>
      <w:r>
        <w:rPr>
          <w:rFonts w:ascii="宋体" w:hAnsi="宋体"/>
          <w:sz w:val="24"/>
        </w:rPr>
        <w:t>厂家应具备一定规模的科研、生产、技术支持及售后服务能力。</w:t>
      </w:r>
    </w:p>
    <w:p w14:paraId="25DC6428">
      <w:pPr>
        <w:widowControl/>
        <w:snapToGrid w:val="0"/>
        <w:spacing w:before="156" w:beforeLines="50" w:line="360" w:lineRule="auto"/>
        <w:rPr>
          <w:rFonts w:hint="eastAsia" w:ascii="宋体" w:hAnsi="宋体"/>
          <w:sz w:val="24"/>
        </w:rPr>
      </w:pPr>
      <w:r>
        <w:rPr>
          <w:rFonts w:ascii="宋体" w:hAnsi="宋体"/>
          <w:sz w:val="24"/>
        </w:rPr>
        <w:t>厂家在国内设有技术支持中心及维修中心 。</w:t>
      </w:r>
    </w:p>
    <w:p w14:paraId="61A55F36">
      <w:pPr>
        <w:widowControl/>
        <w:snapToGrid w:val="0"/>
        <w:spacing w:before="156" w:beforeLines="50" w:line="360" w:lineRule="auto"/>
        <w:rPr>
          <w:rFonts w:hint="eastAsia" w:ascii="宋体" w:hAnsi="宋体"/>
          <w:sz w:val="24"/>
        </w:rPr>
      </w:pPr>
      <w:r>
        <w:rPr>
          <w:rFonts w:hint="eastAsia" w:ascii="宋体" w:hAnsi="宋体"/>
          <w:sz w:val="24"/>
        </w:rPr>
        <w:t>★9.2 供应商同意并保证尊重任何他方的知识产权及其它合法权益，承诺其所提供的产品或服务均不得侵犯第三方知识产权及其它合法权益，否则所引起的全部责任均应当由供应商承担。</w:t>
      </w:r>
    </w:p>
    <w:p w14:paraId="5B3009BC">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 xml:space="preserve">10、付款方式： </w:t>
      </w:r>
    </w:p>
    <w:p w14:paraId="36AFD950">
      <w:pPr>
        <w:widowControl/>
        <w:tabs>
          <w:tab w:val="left" w:pos="0"/>
        </w:tabs>
        <w:adjustRightInd w:val="0"/>
        <w:snapToGrid w:val="0"/>
        <w:spacing w:line="360" w:lineRule="auto"/>
        <w:ind w:firstLine="480" w:firstLineChars="200"/>
        <w:jc w:val="left"/>
        <w:rPr>
          <w:rFonts w:hint="eastAsia" w:ascii="宋体" w:hAnsi="宋体" w:cs="仿宋_GB2312"/>
          <w:sz w:val="24"/>
        </w:rPr>
      </w:pPr>
      <w:r>
        <w:rPr>
          <w:rFonts w:hint="eastAsia" w:ascii="宋体" w:hAnsi="宋体" w:cs="仿宋_GB2312"/>
          <w:sz w:val="24"/>
        </w:rPr>
        <w:t>合同签订后凭大型银行等额预付款保函预付90%，验收后凭签字的验收合格报告支付10%。</w:t>
      </w:r>
    </w:p>
    <w:p w14:paraId="10312E14">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★11、投标报价要求：</w:t>
      </w:r>
    </w:p>
    <w:p w14:paraId="3BB4B79E">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（1）本项目不允许采购进口产品。</w:t>
      </w:r>
    </w:p>
    <w:p w14:paraId="1800D239">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（2）国产产品与服务报项目现场交货人民币含税价。报价中需包括制造、装配和发运货物所使用的材料、部件及货物本身已支付或将支付的产品税、销售税和其它税费。采购人不再另行支付其他任何费用。</w:t>
      </w:r>
    </w:p>
    <w:p w14:paraId="50F652E3">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关境内供货的国外产品与服务报项目现场交货人民币含税价（报价中需包括制造、装配和发运货物所使用的材料、部件及货物本身已支付或将支付的产品税、销售税和其它税费）。采购人不再另行支付其他任何费用。</w:t>
      </w:r>
    </w:p>
    <w:p w14:paraId="43789E99">
      <w:pPr>
        <w:widowControl/>
        <w:tabs>
          <w:tab w:val="left" w:pos="900"/>
        </w:tabs>
        <w:spacing w:line="360" w:lineRule="auto"/>
        <w:jc w:val="left"/>
        <w:rPr>
          <w:rFonts w:ascii="宋体" w:hAnsi="宋体" w:cs="仿宋_GB2312"/>
          <w:kern w:val="0"/>
          <w:sz w:val="24"/>
        </w:rPr>
      </w:pPr>
      <w:r>
        <w:rPr>
          <w:rFonts w:hint="eastAsia" w:ascii="宋体" w:hAnsi="宋体" w:cs="仿宋_GB2312"/>
          <w:kern w:val="0"/>
          <w:sz w:val="24"/>
        </w:rPr>
        <w:t>（3）如投标产品中既有进口产品又有国产产品或者国内供货的国外货物应采用人民币免税价加人民币含税价的报价方式。</w:t>
      </w:r>
    </w:p>
    <w:p w14:paraId="436AAAFC">
      <w:pPr>
        <w:adjustRightInd w:val="0"/>
        <w:snapToGrid w:val="0"/>
        <w:spacing w:line="360" w:lineRule="auto"/>
        <w:rPr>
          <w:rFonts w:hint="eastAsia" w:ascii="宋体" w:hAnsi="宋体" w:cs="仿宋_GB2312"/>
          <w:kern w:val="0"/>
          <w:sz w:val="24"/>
        </w:rPr>
      </w:pPr>
      <w:r>
        <w:rPr>
          <w:rFonts w:hint="eastAsia" w:ascii="宋体" w:hAnsi="宋体" w:cs="仿宋_GB2312"/>
          <w:kern w:val="0"/>
          <w:sz w:val="24"/>
        </w:rPr>
        <w:t>（</w:t>
      </w:r>
      <w:r>
        <w:rPr>
          <w:rFonts w:ascii="宋体" w:hAnsi="宋体" w:cs="仿宋_GB2312"/>
          <w:kern w:val="0"/>
          <w:sz w:val="24"/>
        </w:rPr>
        <w:t>4</w:t>
      </w:r>
      <w:r>
        <w:rPr>
          <w:rFonts w:hint="eastAsia" w:ascii="宋体" w:hAnsi="宋体" w:cs="仿宋_GB2312"/>
          <w:kern w:val="0"/>
          <w:sz w:val="24"/>
        </w:rPr>
        <w:t>）上述价格的构成须按在分项报价表中格式要求详细列出。</w:t>
      </w:r>
    </w:p>
    <w:p w14:paraId="57C9BB06">
      <w:pPr>
        <w:widowControl/>
        <w:tabs>
          <w:tab w:val="left" w:pos="8010"/>
        </w:tabs>
        <w:snapToGrid w:val="0"/>
        <w:spacing w:before="156" w:beforeLines="50" w:line="360" w:lineRule="auto"/>
        <w:rPr>
          <w:rFonts w:hint="eastAsia" w:ascii="宋体" w:hAnsi="宋体"/>
          <w:b/>
          <w:sz w:val="24"/>
        </w:rPr>
      </w:pPr>
      <w:r>
        <w:rPr>
          <w:rFonts w:hint="eastAsia" w:ascii="宋体" w:hAnsi="宋体"/>
          <w:b/>
          <w:sz w:val="24"/>
        </w:rPr>
        <w:t>12、是否允许采购进口产品：否</w:t>
      </w:r>
    </w:p>
    <w:p w14:paraId="6B0AA3D8">
      <w:pPr>
        <w:widowControl/>
        <w:tabs>
          <w:tab w:val="left" w:pos="8010"/>
        </w:tabs>
        <w:snapToGrid w:val="0"/>
        <w:spacing w:before="156" w:beforeLines="50"/>
        <w:rPr>
          <w:rFonts w:hint="eastAsia" w:ascii="宋体" w:hAnsi="宋体"/>
          <w:b/>
          <w:sz w:val="24"/>
        </w:rPr>
      </w:pPr>
      <w:r>
        <w:rPr>
          <w:rFonts w:hint="eastAsia" w:ascii="宋体" w:hAnsi="宋体"/>
          <w:b/>
          <w:sz w:val="24"/>
        </w:rPr>
        <w:t>13、预算金额：人民币150万元</w:t>
      </w:r>
    </w:p>
    <w:p w14:paraId="610C5E1A">
      <w:pPr>
        <w:widowControl/>
        <w:tabs>
          <w:tab w:val="left" w:pos="8010"/>
        </w:tabs>
        <w:snapToGrid w:val="0"/>
        <w:spacing w:before="156" w:beforeLines="50"/>
        <w:rPr>
          <w:rFonts w:hint="eastAsia" w:ascii="宋体" w:hAnsi="宋体"/>
          <w:b/>
          <w:sz w:val="24"/>
        </w:rPr>
      </w:pPr>
      <w:r>
        <w:rPr>
          <w:rFonts w:hint="eastAsia" w:ascii="宋体" w:hAnsi="宋体"/>
          <w:b/>
          <w:sz w:val="24"/>
        </w:rPr>
        <w:t>最高限价（如有）：人民币150万元</w:t>
      </w:r>
    </w:p>
    <w:p w14:paraId="1A3472CA">
      <w:pPr>
        <w:pStyle w:val="7"/>
        <w:rPr>
          <w:rFonts w:hint="eastAsia"/>
        </w:rPr>
      </w:pPr>
    </w:p>
    <w:p w14:paraId="61A36C85">
      <w:r>
        <w:rPr>
          <w:rFonts w:hint="eastAsia" w:ascii="宋体" w:hAnsi="宋体" w:cs="仿宋_GB2312"/>
          <w:kern w:val="0"/>
          <w:sz w:val="24"/>
        </w:rPr>
        <w:t>★14、供应商同意并保证尊重任何他方的知识产权及其它合法权益，承诺其所提供的产品或服务均不得侵犯第三方知识产权及其它合法权益，否则所引起的全部责任均应当由供应商承担。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922809"/>
    <w:multiLevelType w:val="singleLevel"/>
    <w:tmpl w:val="EE922809"/>
    <w:lvl w:ilvl="0" w:tentative="0">
      <w:start w:val="3"/>
      <w:numFmt w:val="decimal"/>
      <w:pStyle w:val="6"/>
      <w:suff w:val="nothing"/>
      <w:lvlText w:val="%1）"/>
      <w:lvlJc w:val="left"/>
    </w:lvl>
  </w:abstractNum>
  <w:abstractNum w:abstractNumId="1">
    <w:nsid w:val="FCD208D3"/>
    <w:multiLevelType w:val="singleLevel"/>
    <w:tmpl w:val="FCD208D3"/>
    <w:lvl w:ilvl="0" w:tentative="0">
      <w:start w:val="1"/>
      <w:numFmt w:val="chineseCounting"/>
      <w:suff w:val="nothing"/>
      <w:lvlText w:val="（%1）"/>
      <w:lvlJc w:val="left"/>
      <w:rPr>
        <w:rFonts w:hint="eastAsia"/>
      </w:rPr>
    </w:lvl>
  </w:abstractNum>
  <w:abstractNum w:abstractNumId="2">
    <w:nsid w:val="1B2FA717"/>
    <w:multiLevelType w:val="singleLevel"/>
    <w:tmpl w:val="1B2FA717"/>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wMWE4YjdkZDlhNTNhYjdkMzI1MmEzNmIzOTY4NTcifQ=="/>
  </w:docVars>
  <w:rsids>
    <w:rsidRoot w:val="6DA31A26"/>
    <w:rsid w:val="2AB20522"/>
    <w:rsid w:val="6DA31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annotation text"/>
    <w:basedOn w:val="1"/>
    <w:qFormat/>
    <w:uiPriority w:val="99"/>
    <w:pPr>
      <w:jc w:val="left"/>
    </w:pPr>
  </w:style>
  <w:style w:type="paragraph" w:styleId="4">
    <w:name w:val="Body Text Indent"/>
    <w:basedOn w:val="1"/>
    <w:next w:val="5"/>
    <w:qFormat/>
    <w:uiPriority w:val="99"/>
    <w:pPr>
      <w:spacing w:after="120"/>
      <w:ind w:left="420" w:leftChars="200"/>
    </w:pPr>
  </w:style>
  <w:style w:type="paragraph" w:styleId="5">
    <w:name w:val="envelope return"/>
    <w:basedOn w:val="1"/>
    <w:qFormat/>
    <w:uiPriority w:val="99"/>
    <w:pPr>
      <w:snapToGrid w:val="0"/>
    </w:pPr>
    <w:rPr>
      <w:rFonts w:ascii="Arial" w:hAnsi="Arial" w:eastAsia="宋体" w:cs="Times New Roman"/>
    </w:rPr>
  </w:style>
  <w:style w:type="paragraph" w:styleId="6">
    <w:name w:val="List 2"/>
    <w:basedOn w:val="1"/>
    <w:qFormat/>
    <w:uiPriority w:val="0"/>
    <w:pPr>
      <w:numPr>
        <w:ilvl w:val="0"/>
        <w:numId w:val="1"/>
      </w:numPr>
      <w:adjustRightInd w:val="0"/>
      <w:spacing w:line="360" w:lineRule="atLeast"/>
      <w:ind w:left="100" w:leftChars="200" w:hanging="200" w:hangingChars="200"/>
      <w:jc w:val="left"/>
      <w:textAlignment w:val="baseline"/>
    </w:pPr>
    <w:rPr>
      <w:kern w:val="0"/>
      <w:sz w:val="24"/>
      <w:szCs w:val="20"/>
    </w:rPr>
  </w:style>
  <w:style w:type="paragraph" w:styleId="7">
    <w:name w:val="Plain Text"/>
    <w:basedOn w:val="1"/>
    <w:qFormat/>
    <w:uiPriority w:val="0"/>
    <w:rPr>
      <w:rFonts w:ascii="宋体" w:hAnsi="Courier New"/>
      <w:szCs w:val="20"/>
    </w:rPr>
  </w:style>
  <w:style w:type="paragraph" w:styleId="8">
    <w:name w:val="Body Text First Indent 2"/>
    <w:basedOn w:val="4"/>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5882</Words>
  <Characters>6547</Characters>
  <Lines>0</Lines>
  <Paragraphs>0</Paragraphs>
  <TotalTime>0</TotalTime>
  <ScaleCrop>false</ScaleCrop>
  <LinksUpToDate>false</LinksUpToDate>
  <CharactersWithSpaces>6650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2024-09-24T09:48:00Z</dcterms:created>
  <dc:creator>红海</dc:creator>
  <cp:lastModifiedBy>清</cp:lastModifiedBy>
  <dcterms:modified xsi:type="dcterms:W3CDTF">2024-09-25T01:42:01Z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E0396E412D8340D7963A28F17E86EB8E_13</vt:lpwstr>
  </property>
</Properties>
</file>