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54D987">
      <w:pPr>
        <w:adjustRightInd w:val="0"/>
        <w:snapToGrid w:val="0"/>
        <w:spacing w:before="936" w:beforeLines="300"/>
        <w:jc w:val="center"/>
        <w:rPr>
          <w:rFonts w:hint="eastAsia" w:ascii="黑体" w:eastAsia="黑体"/>
          <w:b/>
          <w:color w:val="000000" w:themeColor="text1"/>
          <w:kern w:val="44"/>
          <w:sz w:val="48"/>
          <w:szCs w:val="20"/>
          <w14:textFill>
            <w14:solidFill>
              <w14:schemeClr w14:val="tx1"/>
            </w14:solidFill>
          </w14:textFill>
        </w:rPr>
      </w:pPr>
      <w:bookmarkStart w:id="0" w:name="_GoBack"/>
      <w:bookmarkEnd w:id="0"/>
      <w:r>
        <w:rPr>
          <w:rFonts w:hint="eastAsia" w:ascii="黑体" w:eastAsia="黑体"/>
          <w:b/>
          <w:color w:val="000000" w:themeColor="text1"/>
          <w:kern w:val="44"/>
          <w:sz w:val="48"/>
          <w:szCs w:val="20"/>
          <w14:textFill>
            <w14:solidFill>
              <w14:schemeClr w14:val="tx1"/>
            </w14:solidFill>
          </w14:textFill>
        </w:rPr>
        <w:t>第八部分  采购需求</w:t>
      </w:r>
      <w:r>
        <w:rPr>
          <w:rFonts w:ascii="黑体" w:eastAsia="黑体"/>
          <w:b/>
          <w:color w:val="000000" w:themeColor="text1"/>
          <w:kern w:val="44"/>
          <w:sz w:val="48"/>
          <w:szCs w:val="20"/>
          <w14:textFill>
            <w14:solidFill>
              <w14:schemeClr w14:val="tx1"/>
            </w14:solidFill>
          </w14:textFill>
        </w:rPr>
        <w:br w:type="page"/>
      </w:r>
    </w:p>
    <w:p w14:paraId="2D29C41F">
      <w:pPr>
        <w:adjustRightInd w:val="0"/>
        <w:snapToGrid w:val="0"/>
        <w:jc w:val="cente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一、货物需求一览表</w:t>
      </w:r>
    </w:p>
    <w:p w14:paraId="365595F4">
      <w:pPr>
        <w:adjustRightInd w:val="0"/>
        <w:snapToGrid w:val="0"/>
        <w:jc w:val="center"/>
        <w:rPr>
          <w:rFonts w:hint="eastAsia" w:ascii="宋体" w:hAnsi="宋体"/>
          <w:b/>
          <w:color w:val="000000" w:themeColor="text1"/>
          <w:sz w:val="30"/>
          <w:szCs w:val="30"/>
          <w14:textFill>
            <w14:solidFill>
              <w14:schemeClr w14:val="tx1"/>
            </w14:solidFill>
          </w14:textFill>
        </w:rPr>
      </w:pPr>
    </w:p>
    <w:tbl>
      <w:tblPr>
        <w:tblStyle w:val="5"/>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2086"/>
        <w:gridCol w:w="2951"/>
      </w:tblGrid>
      <w:tr w14:paraId="59B0A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vAlign w:val="center"/>
          </w:tcPr>
          <w:p w14:paraId="0C66906E">
            <w:pPr>
              <w:jc w:val="center"/>
              <w:rPr>
                <w:rFonts w:hint="eastAsia"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包号</w:t>
            </w:r>
          </w:p>
        </w:tc>
        <w:tc>
          <w:tcPr>
            <w:tcW w:w="1878" w:type="dxa"/>
            <w:vAlign w:val="center"/>
          </w:tcPr>
          <w:p w14:paraId="55BF76D2">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货物名称</w:t>
            </w:r>
          </w:p>
        </w:tc>
        <w:tc>
          <w:tcPr>
            <w:tcW w:w="1122" w:type="dxa"/>
            <w:vAlign w:val="center"/>
          </w:tcPr>
          <w:p w14:paraId="2D3E2C3C">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数量</w:t>
            </w:r>
          </w:p>
        </w:tc>
        <w:tc>
          <w:tcPr>
            <w:tcW w:w="2086" w:type="dxa"/>
            <w:vAlign w:val="center"/>
          </w:tcPr>
          <w:p w14:paraId="4533BA63">
            <w:pPr>
              <w:jc w:val="center"/>
              <w:rPr>
                <w:rFonts w:hint="eastAsia"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交货期</w:t>
            </w:r>
          </w:p>
        </w:tc>
        <w:tc>
          <w:tcPr>
            <w:tcW w:w="2951" w:type="dxa"/>
            <w:vAlign w:val="center"/>
          </w:tcPr>
          <w:p w14:paraId="6C823178">
            <w:pPr>
              <w:jc w:val="center"/>
              <w:rPr>
                <w:rFonts w:ascii="宋体" w:hAnsi="Bookman Old Style"/>
                <w:color w:val="000000" w:themeColor="text1"/>
                <w:sz w:val="24"/>
                <w:shd w:val="pct10" w:color="auto" w:fill="FFFFFF"/>
                <w14:textFill>
                  <w14:solidFill>
                    <w14:schemeClr w14:val="tx1"/>
                  </w14:solidFill>
                </w14:textFill>
              </w:rPr>
            </w:pPr>
            <w:r>
              <w:rPr>
                <w:rFonts w:hint="eastAsia" w:ascii="宋体" w:hAnsi="Bookman Old Style"/>
                <w:color w:val="000000" w:themeColor="text1"/>
                <w:sz w:val="24"/>
                <w14:textFill>
                  <w14:solidFill>
                    <w14:schemeClr w14:val="tx1"/>
                  </w14:solidFill>
                </w14:textFill>
              </w:rPr>
              <w:t>项目现场（交货地点）</w:t>
            </w:r>
          </w:p>
        </w:tc>
      </w:tr>
      <w:tr w14:paraId="6C94E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Align w:val="center"/>
          </w:tcPr>
          <w:p w14:paraId="696B2173">
            <w:pPr>
              <w:jc w:val="center"/>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w:t>
            </w:r>
          </w:p>
        </w:tc>
        <w:tc>
          <w:tcPr>
            <w:tcW w:w="1878" w:type="dxa"/>
            <w:vAlign w:val="center"/>
          </w:tcPr>
          <w:p w14:paraId="4DEF286C">
            <w:pPr>
              <w:jc w:val="center"/>
              <w:rPr>
                <w:rFonts w:hint="eastAsia" w:ascii="Bookman Old Style" w:hAnsi="Bookman Old Style"/>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气相色谱仪</w:t>
            </w:r>
          </w:p>
        </w:tc>
        <w:tc>
          <w:tcPr>
            <w:tcW w:w="1122" w:type="dxa"/>
            <w:vAlign w:val="center"/>
          </w:tcPr>
          <w:p w14:paraId="6AEE836F">
            <w:pPr>
              <w:jc w:val="center"/>
              <w:rPr>
                <w:rFonts w:hint="eastAsia" w:ascii="宋体" w:hAnsi="Bookman Old Style"/>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4套</w:t>
            </w:r>
          </w:p>
        </w:tc>
        <w:tc>
          <w:tcPr>
            <w:tcW w:w="2086" w:type="dxa"/>
            <w:vAlign w:val="center"/>
          </w:tcPr>
          <w:p w14:paraId="5B352F1C">
            <w:pPr>
              <w:jc w:val="center"/>
              <w:rPr>
                <w:rFonts w:hint="eastAsia"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2024年11月30日</w:t>
            </w:r>
          </w:p>
        </w:tc>
        <w:tc>
          <w:tcPr>
            <w:tcW w:w="2951" w:type="dxa"/>
            <w:vAlign w:val="center"/>
          </w:tcPr>
          <w:p w14:paraId="225D33B1">
            <w:pPr>
              <w:jc w:val="center"/>
              <w:rPr>
                <w:rFonts w:hint="eastAsia" w:ascii="宋体" w:hAnsi="Bookman Old Style"/>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太原市小店区武洛街8号</w:t>
            </w:r>
          </w:p>
        </w:tc>
      </w:tr>
    </w:tbl>
    <w:p w14:paraId="26FE470E">
      <w:pPr>
        <w:adjustRightInd w:val="0"/>
        <w:snapToGrid w:val="0"/>
        <w:jc w:val="center"/>
        <w:rPr>
          <w:rFonts w:hint="eastAsia" w:ascii="宋体" w:hAnsi="宋体"/>
          <w:b/>
          <w:color w:val="000000" w:themeColor="text1"/>
          <w:sz w:val="30"/>
          <w:szCs w:val="30"/>
          <w14:textFill>
            <w14:solidFill>
              <w14:schemeClr w14:val="tx1"/>
            </w14:solidFill>
          </w14:textFill>
        </w:rPr>
      </w:pPr>
    </w:p>
    <w:p w14:paraId="03F8A6B4">
      <w:pPr>
        <w:adjustRightInd w:val="0"/>
        <w:snapToGrid w:val="0"/>
        <w:jc w:val="center"/>
        <w:rPr>
          <w:rFonts w:hint="eastAsia" w:ascii="宋体" w:hAnsi="宋体"/>
          <w:b/>
          <w:color w:val="000000" w:themeColor="text1"/>
          <w:sz w:val="30"/>
          <w:szCs w:val="30"/>
          <w14:textFill>
            <w14:solidFill>
              <w14:schemeClr w14:val="tx1"/>
            </w14:solidFill>
          </w14:textFill>
        </w:rPr>
      </w:pPr>
    </w:p>
    <w:p w14:paraId="751FE6DC">
      <w:pPr>
        <w:adjustRightInd w:val="0"/>
        <w:snapToGrid w:val="0"/>
        <w:jc w:val="center"/>
        <w:rPr>
          <w:rFonts w:hint="eastAsia" w:ascii="宋体" w:hAnsi="宋体"/>
          <w:b/>
          <w:color w:val="000000" w:themeColor="text1"/>
          <w:sz w:val="30"/>
          <w:szCs w:val="30"/>
          <w14:textFill>
            <w14:solidFill>
              <w14:schemeClr w14:val="tx1"/>
            </w14:solidFill>
          </w14:textFill>
        </w:rPr>
      </w:pPr>
    </w:p>
    <w:p w14:paraId="63E86AD9">
      <w:pPr>
        <w:rPr>
          <w:rFonts w:hint="eastAsia" w:ascii="Bookman Old Style" w:hAnsi="Bookman Old Style"/>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注：投标人须对上述投标内容中完整的一包或几包进行投标，</w:t>
      </w:r>
      <w:r>
        <w:rPr>
          <w:rFonts w:hint="eastAsia" w:ascii="Bookman Old Style" w:hAnsi="Bookman Old Style"/>
          <w:color w:val="000000" w:themeColor="text1"/>
          <w:sz w:val="24"/>
          <w14:textFill>
            <w14:solidFill>
              <w14:schemeClr w14:val="tx1"/>
            </w14:solidFill>
          </w14:textFill>
        </w:rPr>
        <w:t>不完整的投标将视为非响应性投标予以拒绝。</w:t>
      </w:r>
    </w:p>
    <w:p w14:paraId="6657FA72">
      <w:pPr>
        <w:adjustRightInd w:val="0"/>
        <w:snapToGrid w:val="0"/>
        <w:rPr>
          <w:rFonts w:hint="eastAsia" w:ascii="宋体" w:hAnsi="宋体"/>
          <w:color w:val="000000" w:themeColor="text1"/>
          <w:szCs w:val="21"/>
          <w14:textFill>
            <w14:solidFill>
              <w14:schemeClr w14:val="tx1"/>
            </w14:solidFill>
          </w14:textFill>
        </w:rPr>
      </w:pPr>
    </w:p>
    <w:p w14:paraId="582FCBAB">
      <w:pPr>
        <w:adjustRightInd w:val="0"/>
        <w:snapToGrid w:val="0"/>
        <w:rPr>
          <w:rFonts w:hint="eastAsia" w:ascii="宋体" w:hAnsi="宋体"/>
          <w:color w:val="000000" w:themeColor="text1"/>
          <w:szCs w:val="21"/>
          <w14:textFill>
            <w14:solidFill>
              <w14:schemeClr w14:val="tx1"/>
            </w14:solidFill>
          </w14:textFill>
        </w:rPr>
      </w:pPr>
    </w:p>
    <w:p w14:paraId="3CA53A4F">
      <w:pPr>
        <w:adjustRightInd w:val="0"/>
        <w:snapToGrid w:val="0"/>
        <w:rPr>
          <w:rFonts w:hint="eastAsia" w:ascii="宋体" w:hAnsi="宋体"/>
          <w:color w:val="000000" w:themeColor="text1"/>
          <w:szCs w:val="21"/>
          <w14:textFill>
            <w14:solidFill>
              <w14:schemeClr w14:val="tx1"/>
            </w14:solidFill>
          </w14:textFill>
        </w:rPr>
      </w:pPr>
    </w:p>
    <w:p w14:paraId="29BAC4B6">
      <w:pPr>
        <w:adjustRightInd w:val="0"/>
        <w:snapToGrid w:val="0"/>
        <w:rPr>
          <w:rFonts w:hint="eastAsia" w:ascii="宋体" w:hAnsi="宋体"/>
          <w:color w:val="000000" w:themeColor="text1"/>
          <w:szCs w:val="21"/>
          <w14:textFill>
            <w14:solidFill>
              <w14:schemeClr w14:val="tx1"/>
            </w14:solidFill>
          </w14:textFill>
        </w:rPr>
      </w:pPr>
    </w:p>
    <w:p w14:paraId="7D19560D">
      <w:pPr>
        <w:adjustRightInd w:val="0"/>
        <w:snapToGrid w:val="0"/>
        <w:rPr>
          <w:rFonts w:hint="eastAsia" w:ascii="宋体" w:hAnsi="宋体"/>
          <w:color w:val="000000" w:themeColor="text1"/>
          <w:szCs w:val="21"/>
          <w14:textFill>
            <w14:solidFill>
              <w14:schemeClr w14:val="tx1"/>
            </w14:solidFill>
          </w14:textFill>
        </w:rPr>
      </w:pPr>
    </w:p>
    <w:p w14:paraId="50072C0E">
      <w:pPr>
        <w:adjustRightInd w:val="0"/>
        <w:snapToGrid w:val="0"/>
        <w:rPr>
          <w:rFonts w:hint="eastAsia" w:ascii="宋体" w:hAnsi="宋体"/>
          <w:color w:val="000000" w:themeColor="text1"/>
          <w:szCs w:val="21"/>
          <w14:textFill>
            <w14:solidFill>
              <w14:schemeClr w14:val="tx1"/>
            </w14:solidFill>
          </w14:textFill>
        </w:rPr>
      </w:pPr>
    </w:p>
    <w:p w14:paraId="3E31EE53">
      <w:pPr>
        <w:adjustRightInd w:val="0"/>
        <w:snapToGrid w:val="0"/>
        <w:rPr>
          <w:rFonts w:hint="eastAsia" w:ascii="宋体" w:hAnsi="宋体"/>
          <w:color w:val="000000" w:themeColor="text1"/>
          <w:szCs w:val="21"/>
          <w14:textFill>
            <w14:solidFill>
              <w14:schemeClr w14:val="tx1"/>
            </w14:solidFill>
          </w14:textFill>
        </w:rPr>
      </w:pPr>
    </w:p>
    <w:p w14:paraId="1C90CCCE">
      <w:pPr>
        <w:adjustRightInd w:val="0"/>
        <w:snapToGrid w:val="0"/>
        <w:rPr>
          <w:rFonts w:hint="eastAsia" w:ascii="宋体" w:hAnsi="宋体"/>
          <w:color w:val="000000" w:themeColor="text1"/>
          <w:szCs w:val="21"/>
          <w14:textFill>
            <w14:solidFill>
              <w14:schemeClr w14:val="tx1"/>
            </w14:solidFill>
          </w14:textFill>
        </w:rPr>
      </w:pPr>
    </w:p>
    <w:p w14:paraId="7A0DCED4">
      <w:pPr>
        <w:adjustRightInd w:val="0"/>
        <w:snapToGrid w:val="0"/>
        <w:rPr>
          <w:rFonts w:hint="eastAsia" w:ascii="宋体" w:hAnsi="宋体"/>
          <w:color w:val="000000" w:themeColor="text1"/>
          <w:szCs w:val="21"/>
          <w14:textFill>
            <w14:solidFill>
              <w14:schemeClr w14:val="tx1"/>
            </w14:solidFill>
          </w14:textFill>
        </w:rPr>
      </w:pPr>
    </w:p>
    <w:p w14:paraId="7EC48C9A">
      <w:pPr>
        <w:adjustRightInd w:val="0"/>
        <w:snapToGrid w:val="0"/>
        <w:rPr>
          <w:rFonts w:hint="eastAsia" w:ascii="宋体" w:hAnsi="宋体"/>
          <w:color w:val="000000" w:themeColor="text1"/>
          <w:szCs w:val="21"/>
          <w14:textFill>
            <w14:solidFill>
              <w14:schemeClr w14:val="tx1"/>
            </w14:solidFill>
          </w14:textFill>
        </w:rPr>
      </w:pPr>
    </w:p>
    <w:p w14:paraId="5552FE3C">
      <w:pPr>
        <w:adjustRightInd w:val="0"/>
        <w:snapToGrid w:val="0"/>
        <w:rPr>
          <w:rFonts w:hint="eastAsia" w:ascii="宋体" w:hAnsi="宋体"/>
          <w:color w:val="000000" w:themeColor="text1"/>
          <w:szCs w:val="21"/>
          <w14:textFill>
            <w14:solidFill>
              <w14:schemeClr w14:val="tx1"/>
            </w14:solidFill>
          </w14:textFill>
        </w:rPr>
      </w:pPr>
    </w:p>
    <w:p w14:paraId="6BF01B3C">
      <w:pPr>
        <w:adjustRightInd w:val="0"/>
        <w:snapToGrid w:val="0"/>
        <w:rPr>
          <w:rFonts w:hint="eastAsia" w:ascii="宋体" w:hAnsi="宋体"/>
          <w:color w:val="000000" w:themeColor="text1"/>
          <w:szCs w:val="21"/>
          <w14:textFill>
            <w14:solidFill>
              <w14:schemeClr w14:val="tx1"/>
            </w14:solidFill>
          </w14:textFill>
        </w:rPr>
      </w:pPr>
    </w:p>
    <w:p w14:paraId="7551CC06">
      <w:pPr>
        <w:tabs>
          <w:tab w:val="left" w:pos="720"/>
        </w:tabs>
        <w:adjustRightInd w:val="0"/>
        <w:snapToGrid w:val="0"/>
        <w:jc w:val="center"/>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br w:type="page"/>
      </w:r>
      <w:r>
        <w:rPr>
          <w:rFonts w:hint="eastAsia" w:ascii="宋体" w:hAnsi="宋体"/>
          <w:b/>
          <w:color w:val="000000" w:themeColor="text1"/>
          <w:sz w:val="30"/>
          <w:szCs w:val="30"/>
          <w14:textFill>
            <w14:solidFill>
              <w14:schemeClr w14:val="tx1"/>
            </w14:solidFill>
          </w14:textFill>
        </w:rPr>
        <w:t>二、总则</w:t>
      </w:r>
    </w:p>
    <w:p w14:paraId="5E0CEC80">
      <w:pPr>
        <w:spacing w:before="156" w:beforeLines="50" w:after="156" w:afterLines="50" w:line="360" w:lineRule="auto"/>
        <w:ind w:left="601" w:hanging="601"/>
        <w:rPr>
          <w:rFonts w:ascii="宋体" w:hAnsi="宋体"/>
          <w:b/>
          <w:color w:val="000000" w:themeColor="text1"/>
          <w:sz w:val="28"/>
          <w14:textFill>
            <w14:solidFill>
              <w14:schemeClr w14:val="tx1"/>
            </w14:solidFill>
          </w14:textFill>
        </w:rPr>
      </w:pPr>
      <w:r>
        <w:rPr>
          <w:rFonts w:ascii="宋体" w:hAnsi="宋体"/>
          <w:b/>
          <w:color w:val="000000" w:themeColor="text1"/>
          <w:sz w:val="28"/>
          <w14:textFill>
            <w14:solidFill>
              <w14:schemeClr w14:val="tx1"/>
            </w14:solidFill>
          </w14:textFill>
        </w:rPr>
        <w:t>1</w:t>
      </w:r>
      <w:r>
        <w:rPr>
          <w:rFonts w:hint="eastAsia" w:ascii="宋体" w:hAnsi="宋体"/>
          <w:b/>
          <w:color w:val="000000" w:themeColor="text1"/>
          <w:sz w:val="28"/>
          <w14:textFill>
            <w14:solidFill>
              <w14:schemeClr w14:val="tx1"/>
            </w14:solidFill>
          </w14:textFill>
        </w:rPr>
        <w:t>、投标要求</w:t>
      </w:r>
    </w:p>
    <w:p w14:paraId="30D9E11D">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 xml:space="preserve"> 投标人在准备投标书时，务必在所提供的商品的技术规格文件中，标明型号、商标名称、目录号。</w:t>
      </w:r>
    </w:p>
    <w:p w14:paraId="319DDD9E">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104BC633">
      <w:pPr>
        <w:spacing w:line="360" w:lineRule="auto"/>
        <w:ind w:left="554" w:hanging="554" w:hangingChars="231"/>
        <w:rPr>
          <w:rFonts w:hint="eastAsia"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投标人提供的</w:t>
      </w:r>
      <w:r>
        <w:rPr>
          <w:rFonts w:hint="eastAsia" w:ascii="宋体"/>
          <w:color w:val="000000" w:themeColor="text1"/>
          <w:sz w:val="24"/>
          <w14:textFill>
            <w14:solidFill>
              <w14:schemeClr w14:val="tx1"/>
            </w14:solidFill>
          </w14:textFill>
        </w:rPr>
        <w:t>产品</w:t>
      </w:r>
      <w:r>
        <w:rPr>
          <w:rFonts w:hint="eastAsia"/>
          <w:color w:val="000000" w:themeColor="text1"/>
          <w:sz w:val="24"/>
          <w14:textFill>
            <w14:solidFill>
              <w14:schemeClr w14:val="tx1"/>
            </w14:solidFill>
          </w14:textFill>
        </w:rPr>
        <w:t>样本，必须是“原件”而非复印件，</w:t>
      </w:r>
      <w:r>
        <w:rPr>
          <w:rFonts w:hint="eastAsia" w:ascii="宋体"/>
          <w:color w:val="000000" w:themeColor="text1"/>
          <w:sz w:val="24"/>
          <w14:textFill>
            <w14:solidFill>
              <w14:schemeClr w14:val="tx1"/>
            </w14:solidFill>
          </w14:textFill>
        </w:rPr>
        <w:t>图表、简图、电路图以及印刷电路板图等都应</w:t>
      </w:r>
      <w:r>
        <w:rPr>
          <w:rFonts w:hint="eastAsia"/>
          <w:color w:val="000000" w:themeColor="text1"/>
          <w:sz w:val="24"/>
          <w14:textFill>
            <w14:solidFill>
              <w14:schemeClr w14:val="tx1"/>
            </w14:solidFill>
          </w14:textFill>
        </w:rPr>
        <w:t>清晰易读。买方有权</w:t>
      </w:r>
      <w:r>
        <w:rPr>
          <w:rFonts w:hint="eastAsia" w:ascii="宋体"/>
          <w:color w:val="000000" w:themeColor="text1"/>
          <w:sz w:val="24"/>
          <w14:textFill>
            <w14:solidFill>
              <w14:schemeClr w14:val="tx1"/>
            </w14:solidFill>
          </w14:textFill>
        </w:rPr>
        <w:t>不付任何附加费用</w:t>
      </w:r>
      <w:r>
        <w:rPr>
          <w:rFonts w:hint="eastAsia"/>
          <w:color w:val="000000" w:themeColor="text1"/>
          <w:sz w:val="24"/>
          <w14:textFill>
            <w14:solidFill>
              <w14:schemeClr w14:val="tx1"/>
            </w14:solidFill>
          </w14:textFill>
        </w:rPr>
        <w:t>复制这些资料</w:t>
      </w:r>
      <w:r>
        <w:rPr>
          <w:rFonts w:hint="eastAsia" w:ascii="宋体"/>
          <w:color w:val="000000" w:themeColor="text1"/>
          <w:sz w:val="24"/>
          <w14:textFill>
            <w14:solidFill>
              <w14:schemeClr w14:val="tx1"/>
            </w14:solidFill>
          </w14:textFill>
        </w:rPr>
        <w:t>以供参考。</w:t>
      </w:r>
    </w:p>
    <w:p w14:paraId="45FF5729">
      <w:pPr>
        <w:spacing w:line="360" w:lineRule="auto"/>
        <w:ind w:left="554" w:hanging="554" w:hangingChars="231"/>
        <w:rPr>
          <w:rFonts w:hint="eastAsia"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6FBFA86B">
      <w:pPr>
        <w:spacing w:before="156" w:beforeLines="50" w:after="156" w:afterLines="50" w:line="360" w:lineRule="auto"/>
        <w:ind w:left="601" w:hanging="601"/>
        <w:rPr>
          <w:rFonts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2、评标标准</w:t>
      </w:r>
    </w:p>
    <w:p w14:paraId="26ACF99F">
      <w:pPr>
        <w:spacing w:line="360" w:lineRule="auto"/>
        <w:ind w:left="554" w:hanging="554" w:hangingChars="231"/>
        <w:rPr>
          <w:rFonts w:hint="eastAsia"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除招标文件中指定的附件和专用工具外，</w:t>
      </w:r>
      <w:r>
        <w:rPr>
          <w:rFonts w:hint="eastAsia" w:ascii="宋体"/>
          <w:color w:val="000000" w:themeColor="text1"/>
          <w:sz w:val="24"/>
          <w14:textFill>
            <w14:solidFill>
              <w14:schemeClr w14:val="tx1"/>
            </w14:solidFill>
          </w14:textFill>
        </w:rPr>
        <w:t>投标人应提供仪器设备的正常运行和常规保养所需的全套标准附件、专用工具</w:t>
      </w:r>
      <w:r>
        <w:rPr>
          <w:rFonts w:hint="eastAsia"/>
          <w:color w:val="000000" w:themeColor="text1"/>
          <w:sz w:val="24"/>
          <w14:textFill>
            <w14:solidFill>
              <w14:schemeClr w14:val="tx1"/>
            </w14:solidFill>
          </w14:textFill>
        </w:rPr>
        <w:t>和消耗品</w:t>
      </w:r>
      <w:r>
        <w:rPr>
          <w:rFonts w:hint="eastAsia" w:ascii="宋体"/>
          <w:color w:val="000000" w:themeColor="text1"/>
          <w:sz w:val="24"/>
          <w14:textFill>
            <w14:solidFill>
              <w14:schemeClr w14:val="tx1"/>
            </w14:solidFill>
          </w14:textFill>
        </w:rPr>
        <w:t>。投标人在投标书中需列出这些附件和工具的数量和单价的清单，这些附件和工具的报价的总值需计入投标价中。</w:t>
      </w:r>
    </w:p>
    <w:p w14:paraId="54F12034">
      <w:pPr>
        <w:spacing w:line="360" w:lineRule="auto"/>
        <w:ind w:left="554" w:hanging="554" w:hangingChars="231"/>
        <w:rPr>
          <w:rFonts w:hint="eastAsia"/>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对于标书</w:t>
      </w:r>
      <w:r>
        <w:rPr>
          <w:rFonts w:hint="eastAsia" w:ascii="宋体"/>
          <w:color w:val="000000" w:themeColor="text1"/>
          <w:sz w:val="24"/>
          <w14:textFill>
            <w14:solidFill>
              <w14:schemeClr w14:val="tx1"/>
            </w14:solidFill>
          </w14:textFill>
        </w:rPr>
        <w:t>技术规范中已列</w:t>
      </w:r>
      <w:r>
        <w:rPr>
          <w:rFonts w:hint="eastAsia"/>
          <w:color w:val="000000" w:themeColor="text1"/>
          <w:sz w:val="24"/>
          <w14:textFill>
            <w14:solidFill>
              <w14:schemeClr w14:val="tx1"/>
            </w14:solidFill>
          </w14:textFill>
        </w:rPr>
        <w:t>出的作为查询选件的附件、零配件、专用工具和消耗品，投标书中</w:t>
      </w:r>
      <w:r>
        <w:rPr>
          <w:rFonts w:hint="eastAsia" w:ascii="宋体"/>
          <w:color w:val="000000" w:themeColor="text1"/>
          <w:sz w:val="24"/>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14:paraId="416D43C1">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  为便于用户进行接收仪器的准备工作，卖方应在合同生效后</w:t>
      </w:r>
      <w:r>
        <w:rPr>
          <w:rFonts w:hint="eastAsia" w:ascii="宋体" w:hAnsi="宋体"/>
          <w:b/>
          <w:color w:val="000000" w:themeColor="text1"/>
          <w:sz w:val="24"/>
          <w14:textFill>
            <w14:solidFill>
              <w14:schemeClr w14:val="tx1"/>
            </w14:solidFill>
          </w14:textFill>
        </w:rPr>
        <w:t>60</w:t>
      </w:r>
      <w:r>
        <w:rPr>
          <w:rFonts w:hint="eastAsia" w:ascii="宋体" w:hAnsi="宋体"/>
          <w:color w:val="000000" w:themeColor="text1"/>
          <w:sz w:val="24"/>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14:paraId="17CD2D4A">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14:paraId="354F321F">
      <w:pPr>
        <w:spacing w:line="360" w:lineRule="auto"/>
        <w:ind w:left="554" w:hanging="554" w:hangingChars="2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14:paraId="3A42989E">
      <w:pPr>
        <w:spacing w:before="156" w:beforeLines="50" w:after="156" w:afterLines="50" w:line="360" w:lineRule="auto"/>
        <w:ind w:left="601" w:hanging="601"/>
        <w:rPr>
          <w:rFonts w:hint="eastAsia"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3、工作条件</w:t>
      </w:r>
    </w:p>
    <w:p w14:paraId="27E5B892">
      <w:pPr>
        <w:spacing w:after="312" w:afterLines="10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除非在技术规格中另有说明，所有仪器、设备和系统都应符合下列要求：</w:t>
      </w:r>
      <w:r>
        <w:rPr>
          <w:rFonts w:ascii="宋体" w:hAnsi="宋体"/>
          <w:color w:val="000000" w:themeColor="text1"/>
          <w:sz w:val="24"/>
          <w14:textFill>
            <w14:solidFill>
              <w14:schemeClr w14:val="tx1"/>
            </w14:solidFill>
          </w14:textFill>
        </w:rPr>
        <w:t xml:space="preserve"> </w:t>
      </w:r>
    </w:p>
    <w:p w14:paraId="32E68458">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  适于在气温为摄氏</w:t>
      </w:r>
      <w:r>
        <w:rPr>
          <w:rFonts w:ascii="宋体" w:hAnsi="宋体"/>
          <w:b/>
          <w:color w:val="000000" w:themeColor="text1"/>
          <w:sz w:val="24"/>
          <w14:textFill>
            <w14:solidFill>
              <w14:schemeClr w14:val="tx1"/>
            </w14:solidFill>
          </w14:textFill>
        </w:rPr>
        <w:t>-40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和相对湿度为</w:t>
      </w:r>
      <w:r>
        <w:rPr>
          <w:rFonts w:ascii="宋体" w:hAnsi="宋体"/>
          <w:b/>
          <w:color w:val="000000" w:themeColor="text1"/>
          <w:sz w:val="24"/>
          <w14:textFill>
            <w14:solidFill>
              <w14:schemeClr w14:val="tx1"/>
            </w14:solidFill>
          </w14:textFill>
        </w:rPr>
        <w:t>90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的环境条件下运输和贮存。</w:t>
      </w:r>
    </w:p>
    <w:p w14:paraId="506FEC80">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3.2  适于在电源</w:t>
      </w:r>
      <w:r>
        <w:rPr>
          <w:rFonts w:ascii="宋体" w:hAnsi="宋体"/>
          <w:b/>
          <w:color w:val="000000" w:themeColor="text1"/>
          <w:sz w:val="24"/>
          <w14:textFill>
            <w14:solidFill>
              <w14:schemeClr w14:val="tx1"/>
            </w14:solidFill>
          </w14:textFill>
        </w:rPr>
        <w:t>220V</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sym w:font="Symbol" w:char="F0B1"/>
      </w:r>
      <w:r>
        <w:rPr>
          <w:rFonts w:ascii="宋体" w:hAnsi="宋体"/>
          <w:b/>
          <w:color w:val="000000" w:themeColor="text1"/>
          <w:sz w:val="24"/>
          <w14:textFill>
            <w14:solidFill>
              <w14:schemeClr w14:val="tx1"/>
            </w14:solidFill>
          </w14:textFill>
        </w:rPr>
        <w:t>10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/50Hz</w:t>
      </w:r>
      <w:r>
        <w:rPr>
          <w:rFonts w:hint="eastAsia" w:ascii="宋体" w:hAnsi="宋体"/>
          <w:color w:val="000000" w:themeColor="text1"/>
          <w:sz w:val="24"/>
          <w14:textFill>
            <w14:solidFill>
              <w14:schemeClr w14:val="tx1"/>
            </w14:solidFill>
          </w14:textFill>
        </w:rPr>
        <w:t>、气温摄氏</w:t>
      </w: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5</w:t>
      </w: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和相对湿度小于</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的环境条件下运行。</w:t>
      </w:r>
      <w:r>
        <w:rPr>
          <w:rFonts w:hint="eastAsia" w:ascii="宋体" w:hAnsi="宋体"/>
          <w:b/>
          <w:color w:val="000000" w:themeColor="text1"/>
          <w:sz w:val="24"/>
          <w14:textFill>
            <w14:solidFill>
              <w14:schemeClr w14:val="tx1"/>
            </w14:solidFill>
          </w14:textFill>
        </w:rPr>
        <w:t>能够连续正常工作。</w:t>
      </w:r>
    </w:p>
    <w:p w14:paraId="70D0BDBE">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3.3  配置符合中国有关标准要求的插头，如果没有这样的插头，则需</w:t>
      </w:r>
      <w:r>
        <w:rPr>
          <w:rFonts w:hint="eastAsia" w:ascii="宋体"/>
          <w:color w:val="000000" w:themeColor="text1"/>
          <w:sz w:val="24"/>
          <w14:textFill>
            <w14:solidFill>
              <w14:schemeClr w14:val="tx1"/>
            </w14:solidFill>
          </w14:textFill>
        </w:rPr>
        <w:t>提供适当的转</w:t>
      </w:r>
      <w:r>
        <w:rPr>
          <w:rFonts w:hint="eastAsia" w:ascii="宋体" w:hAnsi="宋体"/>
          <w:color w:val="000000" w:themeColor="text1"/>
          <w:sz w:val="24"/>
          <w14:textFill>
            <w14:solidFill>
              <w14:schemeClr w14:val="tx1"/>
            </w14:solidFill>
          </w14:textFill>
        </w:rPr>
        <w:t>换插座。</w:t>
      </w:r>
    </w:p>
    <w:p w14:paraId="130C1AA9">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526789F4">
      <w:pPr>
        <w:rPr>
          <w:rFonts w:hint="eastAsia" w:eastAsia="黑体"/>
          <w:b/>
          <w:bCs/>
          <w:color w:val="000000" w:themeColor="text1"/>
          <w:kern w:val="44"/>
          <w:sz w:val="24"/>
          <w14:textFill>
            <w14:solidFill>
              <w14:schemeClr w14:val="tx1"/>
            </w14:solidFill>
          </w14:textFill>
        </w:rPr>
      </w:pPr>
    </w:p>
    <w:p w14:paraId="69243732">
      <w:pPr>
        <w:spacing w:before="156" w:beforeLines="50" w:after="156" w:afterLines="50" w:line="360" w:lineRule="auto"/>
        <w:ind w:left="601" w:hanging="601"/>
        <w:rPr>
          <w:rFonts w:hint="eastAsia"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4、验收标准</w:t>
      </w:r>
    </w:p>
    <w:p w14:paraId="2D666609">
      <w:pPr>
        <w:spacing w:after="312" w:afterLines="10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除非在技术规格中另有说明，所有仪器、设备和系统按下列要求进行验收：</w:t>
      </w:r>
      <w:r>
        <w:rPr>
          <w:rFonts w:ascii="宋体" w:hAnsi="宋体"/>
          <w:color w:val="000000" w:themeColor="text1"/>
          <w:sz w:val="24"/>
          <w14:textFill>
            <w14:solidFill>
              <w14:schemeClr w14:val="tx1"/>
            </w14:solidFill>
          </w14:textFill>
        </w:rPr>
        <w:t xml:space="preserve"> </w:t>
      </w:r>
    </w:p>
    <w:p w14:paraId="4C653E30">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4.1  仪器设备运抵安装现场后，买方将与卖方共同开箱验收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如卖方届时不派人来</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则验收结果应以买方的验收报告为最终验收结果。验收时发现短缺、破损</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买方有权要求卖方负责更换。</w:t>
      </w:r>
    </w:p>
    <w:p w14:paraId="630F85E3">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14:paraId="6590361F">
      <w:pPr>
        <w:spacing w:line="360" w:lineRule="auto"/>
        <w:ind w:left="554" w:hanging="554" w:hangingChars="231"/>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  </w:t>
      </w:r>
      <w:r>
        <w:rPr>
          <w:rFonts w:ascii="宋体" w:hAnsi="宋体"/>
          <w:color w:val="000000" w:themeColor="text1"/>
          <w:sz w:val="24"/>
          <w14:textFill>
            <w14:solidFill>
              <w14:schemeClr w14:val="tx1"/>
            </w14:solidFill>
          </w14:textFill>
        </w:rPr>
        <w:t>验收由采购人、中标人及相关人员依国家有关标准、合同及有关附件要求进行，验收完毕由采购人及中标人在验收报告上签名。</w:t>
      </w:r>
    </w:p>
    <w:p w14:paraId="6879293D">
      <w:pPr>
        <w:pStyle w:val="2"/>
        <w:spacing w:line="360" w:lineRule="auto"/>
        <w:ind w:left="410" w:hanging="410" w:hangingChars="170"/>
        <w:rPr>
          <w:rFonts w:hint="eastAsia" w:hAnsi="宋体"/>
          <w:b/>
          <w:color w:val="000000" w:themeColor="text1"/>
          <w:sz w:val="24"/>
          <w:szCs w:val="24"/>
          <w14:textFill>
            <w14:solidFill>
              <w14:schemeClr w14:val="tx1"/>
            </w14:solidFill>
          </w14:textFill>
        </w:rPr>
      </w:pPr>
    </w:p>
    <w:p w14:paraId="0B2FEB2B">
      <w:pPr>
        <w:pStyle w:val="2"/>
        <w:spacing w:line="360" w:lineRule="auto"/>
        <w:ind w:left="410" w:hanging="410" w:hangingChars="170"/>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5、本技术规格书中标注“*”号的为实质性要求，不满足其投标将被拒绝。</w:t>
      </w:r>
    </w:p>
    <w:p w14:paraId="485D9A93">
      <w:pPr>
        <w:pStyle w:val="2"/>
        <w:spacing w:line="360" w:lineRule="auto"/>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6、如在具体技术规格中有本总则不一致之处，以具体技术规格中的要求为准。</w:t>
      </w:r>
    </w:p>
    <w:p w14:paraId="49FFDDF5">
      <w:pPr>
        <w:spacing w:after="156" w:afterLines="50"/>
        <w:ind w:left="601" w:hanging="601"/>
        <w:rPr>
          <w:rFonts w:hint="eastAsia"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三、具体技术规格</w:t>
      </w:r>
    </w:p>
    <w:p w14:paraId="77F2D0B3">
      <w:pPr>
        <w:rPr>
          <w:rFonts w:hint="eastAsia"/>
          <w:color w:val="000000" w:themeColor="text1"/>
          <w:sz w:val="24"/>
          <w14:textFill>
            <w14:solidFill>
              <w14:schemeClr w14:val="tx1"/>
            </w14:solidFill>
          </w14:textFill>
        </w:rPr>
      </w:pPr>
    </w:p>
    <w:p w14:paraId="393D54EB">
      <w:pPr>
        <w:jc w:val="center"/>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第1包 </w:t>
      </w:r>
      <w:r>
        <w:rPr>
          <w:rFonts w:hint="eastAsia" w:ascii="宋体" w:hAnsi="宋体" w:cs="宋体"/>
          <w:b/>
          <w:bCs/>
          <w:color w:val="000000" w:themeColor="text1"/>
          <w:kern w:val="0"/>
          <w:sz w:val="24"/>
          <w14:textFill>
            <w14:solidFill>
              <w14:schemeClr w14:val="tx1"/>
            </w14:solidFill>
          </w14:textFill>
        </w:rPr>
        <w:t>气相色谱仪</w:t>
      </w:r>
    </w:p>
    <w:p w14:paraId="00EF98D0">
      <w:pPr>
        <w:rPr>
          <w:rFonts w:hint="eastAsia"/>
          <w:b/>
          <w:color w:val="000000" w:themeColor="text1"/>
          <w:sz w:val="24"/>
          <w14:textFill>
            <w14:solidFill>
              <w14:schemeClr w14:val="tx1"/>
            </w14:solidFill>
          </w14:textFill>
        </w:rPr>
      </w:pPr>
    </w:p>
    <w:p w14:paraId="02C60416">
      <w:pPr>
        <w:rPr>
          <w:rFonts w:hint="eastAsia"/>
          <w:b/>
          <w:color w:val="000000" w:themeColor="text1"/>
          <w:sz w:val="24"/>
          <w14:textFill>
            <w14:solidFill>
              <w14:schemeClr w14:val="tx1"/>
            </w14:solidFill>
          </w14:textFill>
        </w:rPr>
      </w:pPr>
    </w:p>
    <w:p w14:paraId="01976D08">
      <w:pPr>
        <w:numPr>
          <w:ilvl w:val="0"/>
          <w:numId w:val="1"/>
        </w:numPr>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技术要求：</w:t>
      </w:r>
    </w:p>
    <w:p w14:paraId="293E6AE3">
      <w:pPr>
        <w:rPr>
          <w:b/>
          <w:color w:val="000000" w:themeColor="text1"/>
          <w:sz w:val="24"/>
          <w14:textFill>
            <w14:solidFill>
              <w14:schemeClr w14:val="tx1"/>
            </w14:solidFill>
          </w14:textFill>
        </w:rPr>
      </w:pPr>
    </w:p>
    <w:p w14:paraId="5A9760A6">
      <w:pPr>
        <w:numPr>
          <w:ilvl w:val="0"/>
          <w:numId w:val="2"/>
        </w:num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工作条件：</w:t>
      </w:r>
    </w:p>
    <w:p w14:paraId="7C63A1E5">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 环境温度：15℃-35℃</w:t>
      </w:r>
    </w:p>
    <w:p w14:paraId="1546D1C5">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1.2电源：220V，50Hz</w:t>
      </w:r>
    </w:p>
    <w:p w14:paraId="58EA248B">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1.3湿度：操作状态25-50%，非操作状态10-80%</w:t>
      </w:r>
    </w:p>
    <w:p w14:paraId="2988C842">
      <w:pPr>
        <w:spacing w:line="360" w:lineRule="auto"/>
        <w:rPr>
          <w:rFonts w:hint="eastAsia"/>
          <w:color w:val="000000" w:themeColor="text1"/>
          <w:sz w:val="24"/>
          <w14:textFill>
            <w14:solidFill>
              <w14:schemeClr w14:val="tx1"/>
            </w14:solidFill>
          </w14:textFill>
        </w:rPr>
      </w:pPr>
    </w:p>
    <w:p w14:paraId="7F7744B2">
      <w:pPr>
        <w:numPr>
          <w:ilvl w:val="0"/>
          <w:numId w:val="2"/>
        </w:num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设备用途：</w:t>
      </w:r>
    </w:p>
    <w:p w14:paraId="1D934DC3">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2.1满足MTG尾气中烃类和常规气体的组成分析（气体大概组成如下：C1-C8的烯烃、烷烃，甲苯、乙苯、二甲苯、三甲苯等芳烃，H2、N2、CO、CO2）。</w:t>
      </w:r>
    </w:p>
    <w:p w14:paraId="371AF74D">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2.2满足费托合成反应尾气组分分析。（包括H2、CO、CO2、Ar、N2、CH4等，以及C1-C14的烯烃和烷烃，甲醇、乙醇、）。</w:t>
      </w:r>
    </w:p>
    <w:p w14:paraId="208E0710">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2.3 要求仪器配置：气相色谱仪主机、气体控制模块、检测器、阀系统、色谱柱及色谱网络工作站等。 </w:t>
      </w:r>
    </w:p>
    <w:p w14:paraId="03B1AC3C">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2.4 工作站具有多气源自动切换功能。</w:t>
      </w:r>
    </w:p>
    <w:p w14:paraId="52292ED8">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2.5 色谱后处理软件具有色谱峰自动积分、峰位置定性识别、校准定量的功能，还具有将已定量的物种信息，进行公式编辑，计算反应转化率、选择性的功能。</w:t>
      </w:r>
    </w:p>
    <w:p w14:paraId="10F70564">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2.6 工作站可开放命令端口，用于自动化软件远程控制色谱工作站实现远程启动、数据处理、数据抓取等功能。</w:t>
      </w:r>
    </w:p>
    <w:p w14:paraId="6F967689">
      <w:pPr>
        <w:spacing w:line="360" w:lineRule="auto"/>
        <w:rPr>
          <w:rFonts w:hint="eastAsia"/>
          <w:color w:val="000000" w:themeColor="text1"/>
          <w:sz w:val="24"/>
          <w14:textFill>
            <w14:solidFill>
              <w14:schemeClr w14:val="tx1"/>
            </w14:solidFill>
          </w14:textFill>
        </w:rPr>
      </w:pPr>
    </w:p>
    <w:p w14:paraId="7A4E6239">
      <w:pPr>
        <w:numPr>
          <w:ilvl w:val="0"/>
          <w:numId w:val="2"/>
        </w:num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技术规格：</w:t>
      </w:r>
    </w:p>
    <w:p w14:paraId="2C1B19AC">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3.1气相色谱仪主机部分</w:t>
      </w:r>
    </w:p>
    <w:p w14:paraId="26B4A3CB">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3.1.1电子流量控制：采用微流路电子气路控制模块。可防止颗粒、水汽和油等污染物对EPC的损害。所有流量、压力均可以电子控制，以提高重现性。</w:t>
      </w:r>
    </w:p>
    <w:p w14:paraId="7AFC6115">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3.1.2峰面积的重现性：保留时间重现性：&lt;0.0008min，峰面积的重现性：&lt;1%RSD。</w:t>
      </w:r>
    </w:p>
    <w:p w14:paraId="3F2567A1">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3.1.3具有4种EPC操作模式：恒温，恒压，程序升压，程序升流。</w:t>
      </w:r>
    </w:p>
    <w:p w14:paraId="19054EDA">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#3.1.4具备浏览器用户界面，可从任何浏览器（平板电脑、笔记本电脑或台式机）进行访问。可以进行设置信息查看、故障排除、自动泄漏检测（无需人工）、色谱柱反吹、暂停和启动样品运行及方法开发管理。</w:t>
      </w:r>
    </w:p>
    <w:p w14:paraId="7BAEBFFB">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3.2柱箱</w:t>
      </w:r>
    </w:p>
    <w:p w14:paraId="7A0808A0">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3.2.1操作温度范围：室温以上5℃～420℃。</w:t>
      </w:r>
    </w:p>
    <w:p w14:paraId="213FD97D">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3.2.2柱箱升温速：最大升温速度110℃/min，以0.01℃/min增加。</w:t>
      </w:r>
    </w:p>
    <w:p w14:paraId="29875186">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3.2.3程序升温的阶数：15梯度/16平台程序升温。</w:t>
      </w:r>
    </w:p>
    <w:p w14:paraId="474F5599">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3.2.4控温准确性：0.01℃。</w:t>
      </w:r>
    </w:p>
    <w:p w14:paraId="4993B934">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3.2.5温度稳定性：周围温度每变化1℃，柱温箱温度变化小于0.01℃。</w:t>
      </w:r>
    </w:p>
    <w:p w14:paraId="4334EBF0">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3.2.6冷却速度：从450℃降至50℃&lt;260秒。</w:t>
      </w:r>
    </w:p>
    <w:p w14:paraId="604C2D2D">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*3.2.7在不使用额外柱箱的情况下，可同时安装三种检测器（FID\TCD\FPD），不包括MSD质谱检测器。为避免更换检测器时容易产生漏气的现象，要求检测器不得采用模块化和即插即用型设计。</w:t>
      </w:r>
    </w:p>
    <w:p w14:paraId="656E1321">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3.3分流/不分流毛细柱进样口。</w:t>
      </w:r>
    </w:p>
    <w:p w14:paraId="4AE0B586">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3.3.1最高使用温度：400℃。</w:t>
      </w:r>
    </w:p>
    <w:p w14:paraId="29A0BC09">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*3.3.2分流比：≥12000：1。</w:t>
      </w:r>
    </w:p>
    <w:p w14:paraId="165A5D65">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3.3.2总流量设定范围：0-500mL/分钟N2,0-1250mL/min H2或者He。</w:t>
      </w:r>
    </w:p>
    <w:p w14:paraId="23BDA10B">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3.4氢火焰离子化检测器（FID）</w:t>
      </w:r>
    </w:p>
    <w:p w14:paraId="3CD7E30F">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3.4.1温度范围：1℃步进可达400℃。</w:t>
      </w:r>
    </w:p>
    <w:p w14:paraId="412E9BE7">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3.4.2自动灭火检测，自动点火，自动调节点火气流。</w:t>
      </w:r>
    </w:p>
    <w:p w14:paraId="341FC483">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3.4.3最低检测限：&lt;1.3pgC/sec。</w:t>
      </w:r>
    </w:p>
    <w:p w14:paraId="41C29607">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3.4.4线性范围：&gt;107。</w:t>
      </w:r>
    </w:p>
    <w:p w14:paraId="61026C79">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#3.4.5数据采集频率：≥500HZ。</w:t>
      </w:r>
    </w:p>
    <w:p w14:paraId="3508474F">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3.5热导池检测器（TCD）</w:t>
      </w:r>
    </w:p>
    <w:p w14:paraId="19A46403">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3.5.1 最高使用温度：400℃。</w:t>
      </w:r>
    </w:p>
    <w:p w14:paraId="529D976A">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3.5.2最低检测限：＜450pg十三烷/mL，采用 He作为载气。</w:t>
      </w:r>
    </w:p>
    <w:p w14:paraId="02C68C90">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3.5.3线性动态范围：＞105。</w:t>
      </w:r>
    </w:p>
    <w:p w14:paraId="160B15A1">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3.6液体自动进样器</w:t>
      </w:r>
    </w:p>
    <w:p w14:paraId="42498680">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3.6.1样品位数：≥15位。</w:t>
      </w:r>
    </w:p>
    <w:p w14:paraId="19B9B225">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3.6.2可通过自动化机器手臂上样分析。</w:t>
      </w:r>
    </w:p>
    <w:p w14:paraId="03F40086">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3.6.3进样量范围：0.1-50ul。</w:t>
      </w:r>
    </w:p>
    <w:p w14:paraId="42C4C84E">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3.6.4自动进样针可以自行调节进样深度。</w:t>
      </w:r>
    </w:p>
    <w:p w14:paraId="124537F3">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3.7专用的阀系统</w:t>
      </w:r>
    </w:p>
    <w:p w14:paraId="04801011">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3.7.1十通反吹阀，可将待测组分后出峰的物质反吹放空。</w:t>
      </w:r>
    </w:p>
    <w:p w14:paraId="3FF504CA">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3.7.2六通放空阀，放空有害组分，远离色谱柱及检测器。</w:t>
      </w:r>
    </w:p>
    <w:p w14:paraId="35C57E18">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3.7.3可同时安装多阀系统，对阀进行加热，防止高沸点物质冷凝。</w:t>
      </w:r>
    </w:p>
    <w:p w14:paraId="748327D9">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3.7.4自动多阀控温阀箱，加热温度≥220℃。</w:t>
      </w:r>
    </w:p>
    <w:p w14:paraId="669C9475">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#3.7.5由制造商在原厂生产，置于柱箱之上，不接受国内第三方公司进行改造升级。</w:t>
      </w:r>
    </w:p>
    <w:p w14:paraId="1FF84A9C">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3.7.6可设置阀系统的动作程序，阀系统根据设置的程序自动完成动作，无需人工值守。</w:t>
      </w:r>
    </w:p>
    <w:p w14:paraId="1353110D">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3.7.7阀系统必须是原厂原装，内置色谱主机正上方，不接受搭载在主机之外，额外配置的辅助阀箱中。</w:t>
      </w:r>
    </w:p>
    <w:p w14:paraId="74C1D30C">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#3.7.8可加装多位选择阀，实现样品气引入到阀后需返还到反应装置进行气体计量。</w:t>
      </w:r>
    </w:p>
    <w:p w14:paraId="4ACA5D75">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3.8网络版工作站系统</w:t>
      </w:r>
    </w:p>
    <w:p w14:paraId="50703323">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#3.8.1为保证系统的稳定性，要求网络版工作站软件和气相色谱仪为同一生产厂家。</w:t>
      </w:r>
    </w:p>
    <w:p w14:paraId="7B669330">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3.8.2系统应当具有灵活的扩展功能，能够支持大规模仪器数量。采用标准的三层客户端/服务器（Client/Server）架构。</w:t>
      </w:r>
    </w:p>
    <w:p w14:paraId="29299199">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3.8.3网络版色谱工作站在线用户/命名用户数/客户端工作站数量许可，可根据仪器数量免费提供。</w:t>
      </w:r>
    </w:p>
    <w:p w14:paraId="3AC3697B">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3.8.4网络版工作站具有仪器选择控制的功能，任何一台客户端电脑都可以随时访问系统进行仪器控制。</w:t>
      </w:r>
    </w:p>
    <w:p w14:paraId="75B277C9">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3.8.5具有仪器方法保存的功能，用户可以将仪器控制参数保存为固定的方法文件，并且可以在相同类型的其他仪器上调用。</w:t>
      </w:r>
    </w:p>
    <w:p w14:paraId="5AAA4DA2">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3.8.6支持全序列和跨序列的峰浏览功能，即在一个图表中，显示所有的峰结果，用以快速判断异常数据和异常化合物；</w:t>
      </w:r>
    </w:p>
    <w:p w14:paraId="5271242E">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3.8.7系统提供对审计追踪记录提供审核的功能，并在系统留下审核记录（非电子签名）。提供电子签名的策略设置功能，用户可以根据需求决定电子签名的先后顺序以及电子签名后数据的锁定。</w:t>
      </w:r>
    </w:p>
    <w:p w14:paraId="5985DADE">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3.8.8数据管理系统可与其他数据系统（如LIMS等）进行对接，以数据库接口方式和Web service方式查询结果。</w:t>
      </w:r>
    </w:p>
    <w:p w14:paraId="7F2A4E89">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3.8.9数据管理系统可对色谱网络版工作站数据进行自动识别，提示疑似的重复进样或进样时间存在问题的记录</w:t>
      </w:r>
    </w:p>
    <w:p w14:paraId="1513E073">
      <w:pPr>
        <w:spacing w:line="360" w:lineRule="auto"/>
        <w:ind w:firstLine="480"/>
        <w:rPr>
          <w:rFonts w:hint="eastAsia"/>
          <w:color w:val="000000" w:themeColor="text1"/>
          <w:sz w:val="24"/>
          <w14:textFill>
            <w14:solidFill>
              <w14:schemeClr w14:val="tx1"/>
            </w14:solidFill>
          </w14:textFill>
        </w:rPr>
      </w:pPr>
    </w:p>
    <w:p w14:paraId="369646DD">
      <w:pPr>
        <w:numPr>
          <w:ilvl w:val="0"/>
          <w:numId w:val="2"/>
        </w:num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产品配置要求</w:t>
      </w:r>
    </w:p>
    <w:p w14:paraId="3E2950C5">
      <w:pPr>
        <w:spacing w:line="360" w:lineRule="auto"/>
        <w:ind w:left="523" w:hanging="523" w:hangingChars="218"/>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4.1配置一（MTG分析）：</w:t>
      </w:r>
    </w:p>
    <w:p w14:paraId="520C7027">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4.1.1气相色谱仪主机1台</w:t>
      </w:r>
    </w:p>
    <w:p w14:paraId="42377929">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4.1.2分流/不分流毛细柱进样口2套</w:t>
      </w:r>
    </w:p>
    <w:p w14:paraId="652FF06F">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4.1.3</w:t>
      </w:r>
      <w:r>
        <w:rPr>
          <w:rFonts w:hint="eastAsia" w:ascii="宋体" w:hAnsi="宋体" w:cs="宋体"/>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FID氢火焰检测器2套</w:t>
      </w:r>
    </w:p>
    <w:p w14:paraId="7B27CAA8">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4.1.4</w:t>
      </w:r>
      <w:r>
        <w:rPr>
          <w:rFonts w:hint="eastAsia" w:ascii="宋体" w:hAnsi="宋体" w:cs="宋体"/>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TCD热导检测器1套</w:t>
      </w:r>
    </w:p>
    <w:p w14:paraId="4096844B">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4.1.5 气体控制模块2套</w:t>
      </w:r>
    </w:p>
    <w:p w14:paraId="695E156C">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4.1.6 快速安装的管路1套</w:t>
      </w:r>
    </w:p>
    <w:p w14:paraId="5968CAD1">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4.1.7 排气导流装置1套</w:t>
      </w:r>
    </w:p>
    <w:p w14:paraId="24399410">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4.1.8 全自动六通气体进样阀2套</w:t>
      </w:r>
    </w:p>
    <w:p w14:paraId="4FF1DF03">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4.1.9 全自动六通隔离阀1套</w:t>
      </w:r>
    </w:p>
    <w:p w14:paraId="0D054E95">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4.1.10 全自动十通反吹阀1套</w:t>
      </w:r>
    </w:p>
    <w:p w14:paraId="1FA47177">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4.1.11可加热阀箱1套</w:t>
      </w:r>
    </w:p>
    <w:p w14:paraId="02A192B7">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4.1.12 阀到毛细柱接头2个</w:t>
      </w:r>
    </w:p>
    <w:p w14:paraId="0B86179A">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4.1.13 反吹模块1套</w:t>
      </w:r>
    </w:p>
    <w:p w14:paraId="32442D5D">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4.1.14 0.5ml气体进样阀定量环1个</w:t>
      </w:r>
    </w:p>
    <w:p w14:paraId="7C8D1F04">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4.1.15 1ml气体进样阀定量环1个</w:t>
      </w:r>
    </w:p>
    <w:p w14:paraId="4CEBD008">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4.1.16 填充色谱柱3根</w:t>
      </w:r>
    </w:p>
    <w:p w14:paraId="0D98909C">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4.1.17 毛细色谱柱3根</w:t>
      </w:r>
    </w:p>
    <w:p w14:paraId="30F07203">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4.1.18 色谱系统气路1套</w:t>
      </w:r>
    </w:p>
    <w:p w14:paraId="13529F8E">
      <w:pPr>
        <w:spacing w:line="360" w:lineRule="auto"/>
        <w:ind w:left="523" w:hanging="523" w:hangingChars="218"/>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 配置二（费托合成分析）</w:t>
      </w:r>
    </w:p>
    <w:p w14:paraId="63BFC27B">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 气相色谱仪主机1台</w:t>
      </w:r>
    </w:p>
    <w:p w14:paraId="4E94D5DB">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4.2.2 分流/不分流毛细柱进样口1套</w:t>
      </w:r>
    </w:p>
    <w:p w14:paraId="3EDCFEFC">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4.2.3</w:t>
      </w:r>
      <w:r>
        <w:rPr>
          <w:rFonts w:hint="eastAsia" w:ascii="宋体" w:hAnsi="宋体" w:cs="宋体"/>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FID氢火焰检测器1套</w:t>
      </w:r>
    </w:p>
    <w:p w14:paraId="3F2EEDE0">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4.2.4</w:t>
      </w:r>
      <w:r>
        <w:rPr>
          <w:rFonts w:hint="eastAsia" w:ascii="宋体" w:hAnsi="宋体" w:cs="宋体"/>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TCD热导检测器2套</w:t>
      </w:r>
    </w:p>
    <w:p w14:paraId="06688C89">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4.2.5 气体控制模块2套</w:t>
      </w:r>
    </w:p>
    <w:p w14:paraId="73E4154B">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4.2.6 全自动六通气体进样阀1套</w:t>
      </w:r>
    </w:p>
    <w:p w14:paraId="1011E0ED">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4.2.7 全自动六通隔离阀1套</w:t>
      </w:r>
    </w:p>
    <w:p w14:paraId="18EE8F2F">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4.2.8 全自动十通反吹阀2套</w:t>
      </w:r>
    </w:p>
    <w:p w14:paraId="12F7C290">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4.2.9 可加热阀箱1套</w:t>
      </w:r>
    </w:p>
    <w:p w14:paraId="45EFC28A">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4.2.10 阀到毛细柱接头1个</w:t>
      </w:r>
    </w:p>
    <w:p w14:paraId="1A06F2C4">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4.2.11</w:t>
      </w:r>
      <w:r>
        <w:rPr>
          <w:rFonts w:hint="eastAsia" w:ascii="宋体" w:hAnsi="宋体" w:cs="宋体"/>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0.5ml气体进样阀定量环2个</w:t>
      </w:r>
    </w:p>
    <w:p w14:paraId="179BF963">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4.2.12 网络版工作站软件1套</w:t>
      </w:r>
    </w:p>
    <w:p w14:paraId="55BAF692">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4.2.13 填充色谱柱5根</w:t>
      </w:r>
    </w:p>
    <w:p w14:paraId="0092344E">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4.2.14 毛细色谱柱1根</w:t>
      </w:r>
    </w:p>
    <w:p w14:paraId="03ED5215">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4.2.15 液体自动进样器1套</w:t>
      </w:r>
    </w:p>
    <w:p w14:paraId="42729685">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4.2.16 色谱系统气路1套</w:t>
      </w:r>
    </w:p>
    <w:p w14:paraId="410535B4">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4.2.17 自动化接口授权1套</w:t>
      </w:r>
    </w:p>
    <w:p w14:paraId="7FEA1C9E">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4.2.18 服务器1套</w:t>
      </w:r>
    </w:p>
    <w:p w14:paraId="5358DE9F">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4.2.19 自动化接口授权1套</w:t>
      </w:r>
    </w:p>
    <w:p w14:paraId="1361521B">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4.2.20 电脑1套</w:t>
      </w:r>
    </w:p>
    <w:p w14:paraId="17978F35">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4.2.21 打印机1套</w:t>
      </w:r>
    </w:p>
    <w:p w14:paraId="2C5D9CFA">
      <w:pPr>
        <w:tabs>
          <w:tab w:val="left" w:pos="540"/>
        </w:tabs>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4.3 要求的附件、专用工具和消耗品</w:t>
      </w:r>
    </w:p>
    <w:p w14:paraId="1E5BE98E">
      <w:pPr>
        <w:tabs>
          <w:tab w:val="left" w:pos="540"/>
        </w:tabs>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4.3.1 安装工具包2套</w:t>
      </w:r>
    </w:p>
    <w:p w14:paraId="471BB20B">
      <w:pPr>
        <w:tabs>
          <w:tab w:val="left" w:pos="540"/>
        </w:tabs>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4.3.2 进样口分流平板1套</w:t>
      </w:r>
    </w:p>
    <w:p w14:paraId="0C8A3873">
      <w:pPr>
        <w:tabs>
          <w:tab w:val="left" w:pos="540"/>
        </w:tabs>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4.3.3 进样口隔垫50个</w:t>
      </w:r>
    </w:p>
    <w:p w14:paraId="2DA44F32">
      <w:pPr>
        <w:tabs>
          <w:tab w:val="left" w:pos="540"/>
        </w:tabs>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4.3.4 色谱柱螺帽2包</w:t>
      </w:r>
    </w:p>
    <w:p w14:paraId="137F0C94">
      <w:pPr>
        <w:tabs>
          <w:tab w:val="left" w:pos="540"/>
        </w:tabs>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4.3.5 样品瓶100个</w:t>
      </w:r>
    </w:p>
    <w:p w14:paraId="0C125453">
      <w:pPr>
        <w:tabs>
          <w:tab w:val="left" w:pos="540"/>
        </w:tabs>
        <w:spacing w:line="360" w:lineRule="auto"/>
        <w:rPr>
          <w:rFonts w:hint="eastAsia"/>
          <w:color w:val="000000" w:themeColor="text1"/>
          <w:sz w:val="24"/>
          <w14:textFill>
            <w14:solidFill>
              <w14:schemeClr w14:val="tx1"/>
            </w14:solidFill>
          </w14:textFill>
        </w:rPr>
      </w:pPr>
    </w:p>
    <w:p w14:paraId="36399D5D">
      <w:pPr>
        <w:tabs>
          <w:tab w:val="left" w:pos="540"/>
        </w:tabs>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5.  技术文件：</w:t>
      </w:r>
    </w:p>
    <w:p w14:paraId="5B56CEE0">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5.1 随仪器提供使用手册、培训教材等。</w:t>
      </w:r>
    </w:p>
    <w:p w14:paraId="2C4B5C44">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 随仪器提供合格证书。</w:t>
      </w:r>
    </w:p>
    <w:p w14:paraId="621F5DF7">
      <w:pPr>
        <w:spacing w:line="360" w:lineRule="auto"/>
        <w:rPr>
          <w:rFonts w:hint="eastAsia"/>
          <w:color w:val="000000" w:themeColor="text1"/>
          <w:sz w:val="24"/>
          <w14:textFill>
            <w14:solidFill>
              <w14:schemeClr w14:val="tx1"/>
            </w14:solidFill>
          </w14:textFill>
        </w:rPr>
      </w:pPr>
    </w:p>
    <w:p w14:paraId="6864AE96">
      <w:p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（二）质保及售后服务：</w:t>
      </w:r>
    </w:p>
    <w:p w14:paraId="798A92DF">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 设备安装调试：由制造商免费到用户处现场进行安装、调试、培训。</w:t>
      </w:r>
    </w:p>
    <w:p w14:paraId="543161CF">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 技术培训</w:t>
      </w:r>
    </w:p>
    <w:p w14:paraId="05821227">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1.2.1 现场培训：制造商工程师现场安装调试时提供现场培训，确保操作人员可以正确使用仪器。</w:t>
      </w:r>
    </w:p>
    <w:p w14:paraId="69FF0E60">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1.2.2 提高培训：制造商为每台仪器提供免费培训名额1名（差旅费自理），可至制造商国内培训基地接受免费提高培训；培训课程包括仪器的基本原理、使用操作、应用方法、日常维护保养、简单故障处理等内容，并提供上机培训。</w:t>
      </w:r>
    </w:p>
    <w:p w14:paraId="78D75928">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1.3 保修期：仪器安装验收合格后12个月或者发货后15个月，以先到者为准。</w:t>
      </w:r>
    </w:p>
    <w:p w14:paraId="78843D07">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1.4 维修响应时间：对用户的维修要求在4小时内作出响应，48小时内到达现场。</w:t>
      </w:r>
    </w:p>
    <w:p w14:paraId="04262C29">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1.5 要求卖方提供的其它技术服务内容：软件终身免费升级。</w:t>
      </w:r>
    </w:p>
    <w:p w14:paraId="4778C2B0">
      <w:pPr>
        <w:spacing w:line="360" w:lineRule="auto"/>
        <w:rPr>
          <w:rFonts w:hint="eastAsia"/>
          <w:b/>
          <w:color w:val="000000" w:themeColor="text1"/>
          <w:sz w:val="24"/>
          <w14:textFill>
            <w14:solidFill>
              <w14:schemeClr w14:val="tx1"/>
            </w14:solidFill>
          </w14:textFill>
        </w:rPr>
      </w:pPr>
    </w:p>
    <w:p w14:paraId="7ED1B0B3">
      <w:p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（三） 订货数量：</w:t>
      </w:r>
    </w:p>
    <w:p w14:paraId="4D74D044">
      <w:pPr>
        <w:spacing w:line="360" w:lineRule="auto"/>
        <w:ind w:firstLine="240" w:firstLineChars="1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气相色谱仪（MTG分析） 3套、气相色谱仪（费托合成分析）1套。</w:t>
      </w:r>
    </w:p>
    <w:p w14:paraId="1566A9AE">
      <w:pPr>
        <w:spacing w:line="360" w:lineRule="auto"/>
        <w:rPr>
          <w:rFonts w:hint="eastAsia"/>
          <w:color w:val="000000" w:themeColor="text1"/>
          <w:sz w:val="24"/>
          <w14:textFill>
            <w14:solidFill>
              <w14:schemeClr w14:val="tx1"/>
            </w14:solidFill>
          </w14:textFill>
        </w:rPr>
      </w:pPr>
    </w:p>
    <w:p w14:paraId="1E883E0C">
      <w:p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（四） 交货地：</w:t>
      </w:r>
    </w:p>
    <w:p w14:paraId="6BC110EC">
      <w:pPr>
        <w:spacing w:line="360" w:lineRule="auto"/>
        <w:ind w:firstLine="24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用户指定地点。</w:t>
      </w:r>
    </w:p>
    <w:p w14:paraId="68B32146">
      <w:pPr>
        <w:spacing w:line="360" w:lineRule="auto"/>
        <w:rPr>
          <w:rFonts w:hint="eastAsia"/>
          <w:color w:val="000000" w:themeColor="text1"/>
          <w:sz w:val="24"/>
          <w14:textFill>
            <w14:solidFill>
              <w14:schemeClr w14:val="tx1"/>
            </w14:solidFill>
          </w14:textFill>
        </w:rPr>
      </w:pPr>
    </w:p>
    <w:p w14:paraId="3B1057DE">
      <w:pPr>
        <w:numPr>
          <w:ilvl w:val="0"/>
          <w:numId w:val="3"/>
        </w:num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交货日期：</w:t>
      </w:r>
    </w:p>
    <w:p w14:paraId="7D07A687">
      <w:pPr>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2024年11月30日。</w:t>
      </w:r>
    </w:p>
    <w:p w14:paraId="298C82CE">
      <w:pPr>
        <w:spacing w:line="360" w:lineRule="auto"/>
        <w:rPr>
          <w:color w:val="000000" w:themeColor="text1"/>
          <w:sz w:val="24"/>
          <w14:textFill>
            <w14:solidFill>
              <w14:schemeClr w14:val="tx1"/>
            </w14:solidFill>
          </w14:textFill>
        </w:rPr>
      </w:pPr>
    </w:p>
    <w:p w14:paraId="0E82D2C2">
      <w:pPr>
        <w:numPr>
          <w:ilvl w:val="0"/>
          <w:numId w:val="3"/>
        </w:num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执行的相关标准：</w:t>
      </w:r>
    </w:p>
    <w:p w14:paraId="4BDC1F9D">
      <w:pPr>
        <w:widowControl/>
        <w:spacing w:line="360" w:lineRule="atLeast"/>
        <w:rPr>
          <w:rFonts w:hint="eastAsia" w:ascii="宋体" w:hAnsi="宋体"/>
          <w:b/>
          <w:color w:val="000000" w:themeColor="text1"/>
          <w:sz w:val="30"/>
          <w:szCs w:val="30"/>
          <w14:textFill>
            <w14:solidFill>
              <w14:schemeClr w14:val="tx1"/>
            </w14:solidFill>
          </w14:textFill>
        </w:rPr>
      </w:pPr>
      <w:r>
        <w:rPr>
          <w:rFonts w:hint="eastAsia" w:ascii="inherit" w:hAnsi="inherit" w:cs="宋体"/>
          <w:color w:val="000000" w:themeColor="text1"/>
          <w:kern w:val="0"/>
          <w:sz w:val="24"/>
          <w14:textFill>
            <w14:solidFill>
              <w14:schemeClr w14:val="tx1"/>
            </w14:solidFill>
          </w14:textFill>
        </w:rPr>
        <w:t xml:space="preserve"> 产品应满足相关国家标准及行业标准。</w:t>
      </w:r>
    </w:p>
    <w:p w14:paraId="55B1C80F"/>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Bookman Old Style">
    <w:panose1 w:val="02050604050505020204"/>
    <w:charset w:val="00"/>
    <w:family w:val="roman"/>
    <w:pitch w:val="default"/>
    <w:sig w:usb0="00000287"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9A5BF">
    <w:pPr>
      <w:pStyle w:val="3"/>
      <w:jc w:val="center"/>
    </w:pPr>
    <w:r>
      <w:fldChar w:fldCharType="begin"/>
    </w:r>
    <w:r>
      <w:instrText xml:space="preserve">PAGE   \* MERGEFORMAT</w:instrText>
    </w:r>
    <w:r>
      <w:fldChar w:fldCharType="separate"/>
    </w:r>
    <w:r>
      <w:rPr>
        <w:lang w:val="zh-CN" w:eastAsia="zh-CN"/>
      </w:rPr>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28958">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59A48">
    <w:pPr>
      <w:pStyle w:val="4"/>
      <w:jc w:val="both"/>
      <w:rPr>
        <w:rFonts w:hint="eastAsia"/>
      </w:rPr>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E494D"/>
    <w:multiLevelType w:val="singleLevel"/>
    <w:tmpl w:val="AA3E494D"/>
    <w:lvl w:ilvl="0" w:tentative="0">
      <w:start w:val="5"/>
      <w:numFmt w:val="chineseCounting"/>
      <w:suff w:val="space"/>
      <w:lvlText w:val="（%1）"/>
      <w:lvlJc w:val="left"/>
      <w:rPr>
        <w:rFonts w:hint="eastAsia"/>
      </w:r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235"/>
    <w:rsid w:val="00046B9D"/>
    <w:rsid w:val="00547235"/>
    <w:rsid w:val="00796552"/>
    <w:rsid w:val="0081309B"/>
    <w:rsid w:val="51A00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9"/>
    <w:qFormat/>
    <w:uiPriority w:val="0"/>
    <w:rPr>
      <w:rFonts w:ascii="宋体" w:hAnsi="Courier New"/>
      <w:szCs w:val="20"/>
    </w:rPr>
  </w:style>
  <w:style w:type="paragraph" w:styleId="3">
    <w:name w:val="footer"/>
    <w:basedOn w:val="1"/>
    <w:link w:val="8"/>
    <w:unhideWhenUsed/>
    <w:qFormat/>
    <w:uiPriority w:val="0"/>
    <w:pPr>
      <w:tabs>
        <w:tab w:val="center" w:pos="4153"/>
        <w:tab w:val="right" w:pos="8306"/>
      </w:tabs>
      <w:snapToGrid w:val="0"/>
      <w:jc w:val="left"/>
    </w:pPr>
    <w:rPr>
      <w:sz w:val="18"/>
      <w:szCs w:val="18"/>
    </w:rPr>
  </w:style>
  <w:style w:type="paragraph" w:styleId="4">
    <w:name w:val="header"/>
    <w:basedOn w:val="1"/>
    <w:link w:val="7"/>
    <w:unhideWhenUsed/>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纯文本 字符"/>
    <w:basedOn w:val="6"/>
    <w:link w:val="2"/>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4121</Words>
  <Characters>4845</Characters>
  <Lines>36</Lines>
  <Paragraphs>10</Paragraphs>
  <TotalTime>0</TotalTime>
  <ScaleCrop>false</ScaleCrop>
  <LinksUpToDate>false</LinksUpToDate>
  <CharactersWithSpaces>4958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2024-09-23T11:09:00Z</dcterms:created>
  <dc:creator>lenovo</dc:creator>
  <cp:lastModifiedBy>清</cp:lastModifiedBy>
  <dcterms:modified xsi:type="dcterms:W3CDTF">2024-09-24T02:20:55Z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F6E5A13E2D594EC28BB67EE1825D3445_13</vt:lpwstr>
  </property>
</Properties>
</file>