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79DB8">
      <w:pPr>
        <w:numPr>
          <w:ilvl w:val="2"/>
          <w:numId w:val="1"/>
        </w:numPr>
        <w:adjustRightInd w:val="0"/>
        <w:snapToGrid w:val="0"/>
        <w:jc w:val="center"/>
        <w:rPr>
          <w:rFonts w:ascii="宋体"/>
          <w:b/>
          <w:sz w:val="30"/>
          <w:szCs w:val="30"/>
        </w:rPr>
      </w:pPr>
      <w:bookmarkStart w:id="1" w:name="_GoBack"/>
      <w:bookmarkEnd w:id="1"/>
      <w:r>
        <w:rPr>
          <w:rFonts w:hint="eastAsia" w:ascii="宋体"/>
          <w:b/>
          <w:sz w:val="30"/>
          <w:szCs w:val="30"/>
        </w:rPr>
        <w:t>货物需求一览表</w:t>
      </w:r>
    </w:p>
    <w:p w14:paraId="48EA7409">
      <w:pPr>
        <w:adjustRightInd w:val="0"/>
        <w:snapToGrid w:val="0"/>
        <w:jc w:val="center"/>
        <w:rPr>
          <w:rFonts w:ascii="宋体"/>
          <w:b/>
          <w:sz w:val="30"/>
          <w:szCs w:val="30"/>
        </w:rPr>
      </w:pPr>
    </w:p>
    <w:tbl>
      <w:tblPr>
        <w:tblStyle w:val="6"/>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1924"/>
        <w:gridCol w:w="708"/>
        <w:gridCol w:w="2268"/>
        <w:gridCol w:w="1460"/>
        <w:gridCol w:w="2520"/>
      </w:tblGrid>
      <w:tr w14:paraId="37D2B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65726618">
            <w:pPr>
              <w:jc w:val="center"/>
              <w:rPr>
                <w:rFonts w:ascii="宋体" w:cs="宋体"/>
                <w:sz w:val="24"/>
              </w:rPr>
            </w:pPr>
            <w:r>
              <w:rPr>
                <w:rFonts w:hint="eastAsia" w:ascii="宋体" w:cs="宋体"/>
                <w:sz w:val="24"/>
              </w:rPr>
              <w:t>包号</w:t>
            </w:r>
          </w:p>
        </w:tc>
        <w:tc>
          <w:tcPr>
            <w:tcW w:w="1924" w:type="dxa"/>
            <w:tcBorders>
              <w:top w:val="single" w:color="000000" w:sz="6" w:space="0"/>
              <w:left w:val="single" w:color="000000" w:sz="6" w:space="0"/>
              <w:bottom w:val="single" w:color="000000" w:sz="6" w:space="0"/>
              <w:right w:val="single" w:color="000000" w:sz="6" w:space="0"/>
            </w:tcBorders>
            <w:noWrap/>
            <w:vAlign w:val="center"/>
          </w:tcPr>
          <w:p w14:paraId="70C384FA">
            <w:pPr>
              <w:jc w:val="center"/>
              <w:rPr>
                <w:rFonts w:ascii="宋体" w:cs="宋体"/>
                <w:sz w:val="24"/>
              </w:rPr>
            </w:pPr>
            <w:r>
              <w:rPr>
                <w:rFonts w:hint="eastAsia" w:ascii="宋体" w:cs="宋体"/>
                <w:sz w:val="24"/>
              </w:rPr>
              <w:t>货物名称</w:t>
            </w:r>
          </w:p>
        </w:tc>
        <w:tc>
          <w:tcPr>
            <w:tcW w:w="708" w:type="dxa"/>
            <w:tcBorders>
              <w:top w:val="single" w:color="000000" w:sz="6" w:space="0"/>
              <w:left w:val="single" w:color="000000" w:sz="6" w:space="0"/>
              <w:bottom w:val="single" w:color="000000" w:sz="6" w:space="0"/>
              <w:right w:val="single" w:color="000000" w:sz="6" w:space="0"/>
            </w:tcBorders>
            <w:noWrap/>
            <w:vAlign w:val="center"/>
          </w:tcPr>
          <w:p w14:paraId="17D157FE">
            <w:pPr>
              <w:jc w:val="center"/>
              <w:rPr>
                <w:rFonts w:ascii="宋体" w:cs="宋体"/>
                <w:sz w:val="24"/>
              </w:rPr>
            </w:pPr>
            <w:r>
              <w:rPr>
                <w:rFonts w:hint="eastAsia" w:ascii="宋体" w:cs="宋体"/>
                <w:sz w:val="24"/>
              </w:rPr>
              <w:t>数量</w:t>
            </w:r>
          </w:p>
        </w:tc>
        <w:tc>
          <w:tcPr>
            <w:tcW w:w="2268" w:type="dxa"/>
            <w:tcBorders>
              <w:top w:val="single" w:color="000000" w:sz="6" w:space="0"/>
              <w:left w:val="single" w:color="000000" w:sz="6" w:space="0"/>
              <w:bottom w:val="single" w:color="000000" w:sz="6" w:space="0"/>
              <w:right w:val="single" w:color="000000" w:sz="6" w:space="0"/>
            </w:tcBorders>
            <w:noWrap/>
            <w:vAlign w:val="center"/>
          </w:tcPr>
          <w:p w14:paraId="552977C6">
            <w:pPr>
              <w:jc w:val="center"/>
              <w:rPr>
                <w:rFonts w:ascii="宋体" w:cs="宋体"/>
                <w:sz w:val="24"/>
              </w:rPr>
            </w:pPr>
            <w:r>
              <w:rPr>
                <w:rFonts w:hint="eastAsia" w:ascii="宋体" w:cs="宋体"/>
                <w:sz w:val="24"/>
              </w:rPr>
              <w:t>交货期</w:t>
            </w:r>
          </w:p>
        </w:tc>
        <w:tc>
          <w:tcPr>
            <w:tcW w:w="1460" w:type="dxa"/>
            <w:tcBorders>
              <w:top w:val="single" w:color="000000" w:sz="6" w:space="0"/>
              <w:left w:val="single" w:color="000000" w:sz="6" w:space="0"/>
              <w:bottom w:val="single" w:color="000000" w:sz="6" w:space="0"/>
              <w:right w:val="single" w:color="000000" w:sz="6" w:space="0"/>
            </w:tcBorders>
            <w:noWrap/>
            <w:vAlign w:val="center"/>
          </w:tcPr>
          <w:p w14:paraId="32E4D23A">
            <w:pPr>
              <w:jc w:val="center"/>
              <w:rPr>
                <w:rFonts w:ascii="宋体" w:cs="宋体"/>
                <w:sz w:val="24"/>
              </w:rPr>
            </w:pPr>
            <w:r>
              <w:rPr>
                <w:rFonts w:hint="eastAsia" w:ascii="宋体" w:cs="宋体"/>
                <w:sz w:val="24"/>
              </w:rPr>
              <w:t>指定到货港</w:t>
            </w:r>
          </w:p>
        </w:tc>
        <w:tc>
          <w:tcPr>
            <w:tcW w:w="2520" w:type="dxa"/>
            <w:tcBorders>
              <w:top w:val="single" w:color="000000" w:sz="6" w:space="0"/>
              <w:left w:val="single" w:color="000000" w:sz="6" w:space="0"/>
              <w:bottom w:val="single" w:color="000000" w:sz="6" w:space="0"/>
              <w:right w:val="single" w:color="000000" w:sz="6" w:space="0"/>
            </w:tcBorders>
            <w:noWrap/>
            <w:vAlign w:val="center"/>
          </w:tcPr>
          <w:p w14:paraId="0F61D91C">
            <w:pPr>
              <w:jc w:val="center"/>
              <w:rPr>
                <w:rFonts w:ascii="宋体" w:cs="宋体"/>
                <w:sz w:val="24"/>
                <w:shd w:val="pct10" w:color="auto" w:fill="FFFFFF"/>
              </w:rPr>
            </w:pPr>
            <w:r>
              <w:rPr>
                <w:rFonts w:hint="eastAsia" w:ascii="宋体" w:cs="宋体"/>
                <w:sz w:val="24"/>
              </w:rPr>
              <w:t>项目现场（交货地点）</w:t>
            </w:r>
          </w:p>
        </w:tc>
      </w:tr>
      <w:tr w14:paraId="36898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14:paraId="2A12E6B2">
            <w:pPr>
              <w:jc w:val="center"/>
              <w:rPr>
                <w:rFonts w:ascii="宋体" w:cs="宋体"/>
                <w:sz w:val="24"/>
              </w:rPr>
            </w:pPr>
            <w:r>
              <w:rPr>
                <w:rFonts w:hint="eastAsia" w:ascii="宋体"/>
                <w:sz w:val="24"/>
              </w:rPr>
              <w:t>1</w:t>
            </w:r>
          </w:p>
        </w:tc>
        <w:tc>
          <w:tcPr>
            <w:tcW w:w="1924" w:type="dxa"/>
            <w:tcBorders>
              <w:top w:val="single" w:color="000000" w:sz="6" w:space="0"/>
              <w:left w:val="single" w:color="000000" w:sz="6" w:space="0"/>
              <w:bottom w:val="single" w:color="000000" w:sz="6" w:space="0"/>
              <w:right w:val="single" w:color="000000" w:sz="6" w:space="0"/>
            </w:tcBorders>
            <w:noWrap/>
            <w:vAlign w:val="center"/>
          </w:tcPr>
          <w:p w14:paraId="3228F782">
            <w:pPr>
              <w:jc w:val="center"/>
              <w:rPr>
                <w:rFonts w:ascii="宋体" w:cs="宋体"/>
                <w:sz w:val="24"/>
              </w:rPr>
            </w:pPr>
            <w:r>
              <w:rPr>
                <w:rFonts w:hint="eastAsia" w:ascii="宋体"/>
                <w:sz w:val="24"/>
              </w:rPr>
              <w:t>电子顺磁共振波谱仪</w:t>
            </w:r>
          </w:p>
        </w:tc>
        <w:tc>
          <w:tcPr>
            <w:tcW w:w="708" w:type="dxa"/>
            <w:tcBorders>
              <w:top w:val="single" w:color="000000" w:sz="6" w:space="0"/>
              <w:left w:val="single" w:color="000000" w:sz="6" w:space="0"/>
              <w:bottom w:val="single" w:color="000000" w:sz="6" w:space="0"/>
              <w:right w:val="single" w:color="000000" w:sz="6" w:space="0"/>
            </w:tcBorders>
            <w:noWrap/>
            <w:vAlign w:val="center"/>
          </w:tcPr>
          <w:p w14:paraId="68ABFC95">
            <w:pPr>
              <w:jc w:val="center"/>
              <w:rPr>
                <w:rFonts w:ascii="宋体" w:cs="宋体"/>
                <w:sz w:val="24"/>
              </w:rPr>
            </w:pPr>
            <w:r>
              <w:rPr>
                <w:rFonts w:hint="eastAsia" w:ascii="宋体" w:cs="宋体"/>
                <w:sz w:val="24"/>
              </w:rPr>
              <w:t>1套</w:t>
            </w:r>
          </w:p>
        </w:tc>
        <w:tc>
          <w:tcPr>
            <w:tcW w:w="2268" w:type="dxa"/>
            <w:tcBorders>
              <w:top w:val="single" w:color="000000" w:sz="6" w:space="0"/>
              <w:left w:val="single" w:color="000000" w:sz="6" w:space="0"/>
              <w:bottom w:val="single" w:color="000000" w:sz="6" w:space="0"/>
              <w:right w:val="single" w:color="000000" w:sz="6" w:space="0"/>
            </w:tcBorders>
            <w:noWrap/>
            <w:vAlign w:val="center"/>
          </w:tcPr>
          <w:p w14:paraId="2905CF79">
            <w:pPr>
              <w:jc w:val="center"/>
              <w:rPr>
                <w:rFonts w:ascii="宋体" w:cs="宋体"/>
                <w:sz w:val="24"/>
              </w:rPr>
            </w:pPr>
            <w:r>
              <w:rPr>
                <w:rFonts w:hint="eastAsia"/>
                <w:bCs/>
                <w:sz w:val="24"/>
              </w:rPr>
              <w:t>签订合同之日起,300个日历日内货到甲方指定地点：甘肃省兰州市天水中路18号中国科学院兰州化学物理研究所。</w:t>
            </w:r>
          </w:p>
        </w:tc>
        <w:tc>
          <w:tcPr>
            <w:tcW w:w="1460" w:type="dxa"/>
            <w:tcBorders>
              <w:top w:val="single" w:color="000000" w:sz="6" w:space="0"/>
              <w:left w:val="single" w:color="000000" w:sz="6" w:space="0"/>
              <w:bottom w:val="single" w:color="000000" w:sz="6" w:space="0"/>
              <w:right w:val="single" w:color="000000" w:sz="6" w:space="0"/>
            </w:tcBorders>
            <w:noWrap/>
            <w:vAlign w:val="center"/>
          </w:tcPr>
          <w:p w14:paraId="5EF52BA6">
            <w:pPr>
              <w:jc w:val="center"/>
              <w:rPr>
                <w:rFonts w:ascii="宋体" w:cs="宋体"/>
                <w:sz w:val="24"/>
              </w:rPr>
            </w:pPr>
            <w:r>
              <w:rPr>
                <w:rFonts w:hint="eastAsia" w:ascii="宋体" w:cs="宋体"/>
                <w:sz w:val="24"/>
              </w:rPr>
              <w:t>兰州机场</w:t>
            </w:r>
          </w:p>
        </w:tc>
        <w:tc>
          <w:tcPr>
            <w:tcW w:w="2520" w:type="dxa"/>
            <w:tcBorders>
              <w:top w:val="single" w:color="000000" w:sz="6" w:space="0"/>
              <w:left w:val="single" w:color="000000" w:sz="6" w:space="0"/>
              <w:bottom w:val="single" w:color="000000" w:sz="6" w:space="0"/>
              <w:right w:val="single" w:color="000000" w:sz="6" w:space="0"/>
            </w:tcBorders>
            <w:noWrap/>
            <w:vAlign w:val="center"/>
          </w:tcPr>
          <w:p w14:paraId="7E985F36">
            <w:pPr>
              <w:jc w:val="center"/>
              <w:rPr>
                <w:rFonts w:ascii="宋体" w:cs="宋体"/>
                <w:sz w:val="24"/>
              </w:rPr>
            </w:pPr>
            <w:r>
              <w:rPr>
                <w:rFonts w:hint="eastAsia" w:ascii="宋体" w:cs="宋体"/>
                <w:sz w:val="24"/>
              </w:rPr>
              <w:t>甘肃省兰州市天水中路18号中国科学院兰州化学物理研究所。</w:t>
            </w:r>
          </w:p>
        </w:tc>
      </w:tr>
    </w:tbl>
    <w:p w14:paraId="7CDD87AE">
      <w:pPr>
        <w:adjustRightInd w:val="0"/>
        <w:snapToGrid w:val="0"/>
        <w:rPr>
          <w:rFonts w:ascii="宋体"/>
          <w:b/>
          <w:sz w:val="30"/>
          <w:szCs w:val="30"/>
        </w:rPr>
      </w:pPr>
    </w:p>
    <w:p w14:paraId="59AB23E2">
      <w:pPr>
        <w:rPr>
          <w:rFonts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158C70BE">
      <w:pPr>
        <w:adjustRightInd w:val="0"/>
        <w:snapToGrid w:val="0"/>
        <w:rPr>
          <w:rFonts w:ascii="宋体"/>
          <w:szCs w:val="21"/>
        </w:rPr>
      </w:pPr>
    </w:p>
    <w:p w14:paraId="47CDE21E">
      <w:pPr>
        <w:adjustRightInd w:val="0"/>
        <w:snapToGrid w:val="0"/>
        <w:rPr>
          <w:rFonts w:ascii="宋体"/>
          <w:szCs w:val="21"/>
        </w:rPr>
      </w:pPr>
    </w:p>
    <w:p w14:paraId="40688279">
      <w:pPr>
        <w:adjustRightInd w:val="0"/>
        <w:snapToGrid w:val="0"/>
        <w:rPr>
          <w:rFonts w:ascii="宋体"/>
          <w:szCs w:val="21"/>
        </w:rPr>
      </w:pPr>
    </w:p>
    <w:p w14:paraId="0462332D">
      <w:pPr>
        <w:adjustRightInd w:val="0"/>
        <w:snapToGrid w:val="0"/>
        <w:rPr>
          <w:rFonts w:ascii="宋体"/>
          <w:szCs w:val="21"/>
        </w:rPr>
      </w:pPr>
    </w:p>
    <w:p w14:paraId="4652094F">
      <w:pPr>
        <w:adjustRightInd w:val="0"/>
        <w:snapToGrid w:val="0"/>
        <w:rPr>
          <w:rFonts w:ascii="宋体"/>
          <w:szCs w:val="21"/>
        </w:rPr>
      </w:pPr>
    </w:p>
    <w:p w14:paraId="543BEBDF">
      <w:pPr>
        <w:adjustRightInd w:val="0"/>
        <w:snapToGrid w:val="0"/>
        <w:rPr>
          <w:rFonts w:ascii="宋体"/>
          <w:b/>
          <w:sz w:val="30"/>
          <w:szCs w:val="30"/>
        </w:rPr>
      </w:pPr>
      <w:r>
        <w:rPr>
          <w:rFonts w:ascii="宋体"/>
          <w:b/>
          <w:sz w:val="30"/>
          <w:szCs w:val="30"/>
        </w:rPr>
        <w:br w:type="page"/>
      </w:r>
    </w:p>
    <w:p w14:paraId="19D4B17E">
      <w:pPr>
        <w:numPr>
          <w:ilvl w:val="2"/>
          <w:numId w:val="1"/>
        </w:numPr>
        <w:tabs>
          <w:tab w:val="left" w:pos="720"/>
        </w:tabs>
        <w:adjustRightInd w:val="0"/>
        <w:snapToGrid w:val="0"/>
        <w:ind w:hanging="1560"/>
        <w:jc w:val="center"/>
        <w:rPr>
          <w:rFonts w:ascii="宋体"/>
          <w:b/>
          <w:sz w:val="30"/>
          <w:szCs w:val="30"/>
        </w:rPr>
      </w:pPr>
      <w:r>
        <w:rPr>
          <w:rFonts w:hint="eastAsia" w:ascii="宋体"/>
          <w:b/>
          <w:sz w:val="30"/>
          <w:szCs w:val="30"/>
        </w:rPr>
        <w:t>技术规格</w:t>
      </w:r>
    </w:p>
    <w:p w14:paraId="0FA9DC55">
      <w:pPr>
        <w:spacing w:line="360" w:lineRule="auto"/>
        <w:ind w:left="600" w:hanging="600"/>
        <w:rPr>
          <w:rFonts w:ascii="宋体"/>
          <w:b/>
          <w:sz w:val="30"/>
          <w:szCs w:val="30"/>
        </w:rPr>
      </w:pPr>
      <w:r>
        <w:rPr>
          <w:rFonts w:hint="eastAsia" w:ascii="宋体"/>
          <w:b/>
          <w:sz w:val="30"/>
          <w:szCs w:val="30"/>
        </w:rPr>
        <w:t>一、总</w:t>
      </w:r>
      <w:r>
        <w:rPr>
          <w:rFonts w:ascii="宋体"/>
          <w:b/>
          <w:sz w:val="30"/>
          <w:szCs w:val="30"/>
        </w:rPr>
        <w:t xml:space="preserve">  </w:t>
      </w:r>
      <w:r>
        <w:rPr>
          <w:rFonts w:hint="eastAsia" w:ascii="宋体"/>
          <w:b/>
          <w:sz w:val="30"/>
          <w:szCs w:val="30"/>
        </w:rPr>
        <w:t>则</w:t>
      </w:r>
    </w:p>
    <w:p w14:paraId="02766D25">
      <w:pPr>
        <w:spacing w:before="156" w:beforeLines="50" w:after="156" w:afterLines="50" w:line="360" w:lineRule="auto"/>
        <w:ind w:left="601" w:hanging="601"/>
        <w:rPr>
          <w:rFonts w:ascii="宋体"/>
          <w:b/>
          <w:sz w:val="28"/>
        </w:rPr>
      </w:pPr>
      <w:r>
        <w:rPr>
          <w:rFonts w:ascii="宋体"/>
          <w:b/>
          <w:sz w:val="28"/>
        </w:rPr>
        <w:t>1</w:t>
      </w:r>
      <w:r>
        <w:rPr>
          <w:rFonts w:hint="eastAsia" w:ascii="宋体"/>
          <w:b/>
          <w:sz w:val="28"/>
        </w:rPr>
        <w:t>、投标要求</w:t>
      </w:r>
    </w:p>
    <w:p w14:paraId="1445C3C4">
      <w:pPr>
        <w:spacing w:line="360" w:lineRule="auto"/>
        <w:ind w:left="554" w:hanging="554" w:hangingChars="231"/>
        <w:rPr>
          <w:rFonts w:ascii="宋体"/>
          <w:sz w:val="24"/>
        </w:rPr>
      </w:pPr>
      <w:r>
        <w:rPr>
          <w:rFonts w:ascii="宋体"/>
          <w:sz w:val="24"/>
        </w:rPr>
        <w:t xml:space="preserve">1.1 </w:t>
      </w:r>
      <w:r>
        <w:rPr>
          <w:rFonts w:hint="eastAsia" w:ascii="宋体"/>
          <w:sz w:val="24"/>
        </w:rPr>
        <w:t xml:space="preserve"> 投标人在准备投标书时，务必在所提供的商品的技术规格文件中，标明型号、商标名称、目录号。</w:t>
      </w:r>
    </w:p>
    <w:p w14:paraId="5373E6D5">
      <w:pPr>
        <w:spacing w:line="360" w:lineRule="auto"/>
        <w:ind w:left="554" w:hanging="554" w:hangingChars="231"/>
        <w:rPr>
          <w:rFonts w:ascii="宋体"/>
          <w:sz w:val="24"/>
        </w:rPr>
      </w:pPr>
      <w:r>
        <w:rPr>
          <w:rFonts w:hint="eastAsia" w:asci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06B65CD">
      <w:pPr>
        <w:spacing w:line="360" w:lineRule="auto"/>
        <w:ind w:left="554" w:hanging="554" w:hangingChars="231"/>
        <w:rPr>
          <w:rFonts w:ascii="宋体"/>
          <w:sz w:val="24"/>
        </w:rPr>
      </w:pPr>
      <w:r>
        <w:rPr>
          <w:rFonts w:hint="eastAsia" w:ascii="宋体"/>
          <w:sz w:val="24"/>
        </w:rPr>
        <w:t xml:space="preserve">1.3  </w:t>
      </w:r>
      <w:r>
        <w:rPr>
          <w:rFonts w:hint="eastAsia"/>
          <w:sz w:val="24"/>
        </w:rPr>
        <w:t>投标人提供的</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532D3CF1">
      <w:pPr>
        <w:spacing w:before="156" w:beforeLines="50" w:after="156" w:afterLines="50" w:line="360" w:lineRule="auto"/>
        <w:ind w:left="601" w:hanging="601"/>
        <w:rPr>
          <w:rFonts w:ascii="宋体"/>
          <w:b/>
          <w:sz w:val="28"/>
        </w:rPr>
      </w:pPr>
      <w:r>
        <w:rPr>
          <w:rFonts w:hint="eastAsia" w:ascii="宋体"/>
          <w:b/>
          <w:sz w:val="28"/>
        </w:rPr>
        <w:t>2、评标标准</w:t>
      </w:r>
    </w:p>
    <w:p w14:paraId="0987D0BB">
      <w:pPr>
        <w:spacing w:line="360" w:lineRule="auto"/>
        <w:ind w:left="554" w:hanging="554" w:hangingChars="231"/>
        <w:rPr>
          <w:rFonts w:ascii="宋体"/>
          <w:sz w:val="24"/>
        </w:rPr>
      </w:pPr>
      <w:r>
        <w:rPr>
          <w:rFonts w:ascii="宋体"/>
          <w:sz w:val="24"/>
        </w:rPr>
        <w:t>2.</w:t>
      </w:r>
      <w:r>
        <w:rPr>
          <w:rFonts w:hint="eastAsia" w:asci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3A5F4DFB">
      <w:pPr>
        <w:spacing w:line="360" w:lineRule="auto"/>
        <w:ind w:left="554" w:hanging="554" w:hangingChars="231"/>
        <w:rPr>
          <w:sz w:val="24"/>
        </w:rPr>
      </w:pPr>
      <w:r>
        <w:rPr>
          <w:rFonts w:hint="eastAsia" w:asci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14:paraId="753F6AED">
      <w:pPr>
        <w:spacing w:line="360" w:lineRule="auto"/>
        <w:ind w:left="554" w:hanging="554" w:hangingChars="231"/>
        <w:rPr>
          <w:rFonts w:ascii="宋体"/>
          <w:sz w:val="24"/>
        </w:rPr>
      </w:pPr>
      <w:r>
        <w:rPr>
          <w:rFonts w:hint="eastAsia" w:ascii="宋体"/>
          <w:sz w:val="24"/>
        </w:rPr>
        <w:t>2.3  为便于用户进行接收仪器的准备工作，卖方应在交货前60天内向用户提供一套完整的使用说明书、操作手册、维修及安装说明等文件。另一套完整上述资料应在交货时随货包装提供给用户，这些费用应计入投标价中。</w:t>
      </w:r>
    </w:p>
    <w:p w14:paraId="1CF5F0A6">
      <w:pPr>
        <w:spacing w:line="360" w:lineRule="auto"/>
        <w:ind w:left="554" w:hanging="554" w:hangingChars="231"/>
        <w:rPr>
          <w:rFonts w:ascii="宋体"/>
          <w:sz w:val="24"/>
        </w:rPr>
      </w:pPr>
      <w:r>
        <w:rPr>
          <w:rFonts w:hint="eastAsia" w:ascii="宋体"/>
          <w:sz w:val="24"/>
        </w:rPr>
        <w:t>2</w:t>
      </w:r>
      <w:r>
        <w:rPr>
          <w:rFonts w:ascii="宋体"/>
          <w:sz w:val="24"/>
        </w:rPr>
        <w:t>.</w:t>
      </w:r>
      <w:r>
        <w:rPr>
          <w:rFonts w:hint="eastAsia" w:ascii="宋体"/>
          <w:sz w:val="24"/>
        </w:rPr>
        <w:t>4</w:t>
      </w:r>
      <w:r>
        <w:rPr>
          <w:rFonts w:ascii="宋体"/>
          <w:sz w:val="24"/>
        </w:rPr>
        <w:t xml:space="preserve"> </w:t>
      </w:r>
      <w:r>
        <w:rPr>
          <w:rFonts w:hint="eastAsia" w:ascii="宋体"/>
          <w:sz w:val="24"/>
        </w:rPr>
        <w:t xml:space="preserve"> 关于设备的安装调试，如果有必要的安装准备条件，卖方应在合同生效后15天内向买方提出详细的要求或计划。安装调试的费用应计入投标价中，并应单独列出，供评标使用。</w:t>
      </w:r>
    </w:p>
    <w:p w14:paraId="221DCF2C">
      <w:pPr>
        <w:spacing w:line="360" w:lineRule="auto"/>
        <w:ind w:left="554" w:hanging="554" w:hangingChars="231"/>
        <w:rPr>
          <w:rFonts w:ascii="宋体"/>
          <w:sz w:val="24"/>
        </w:rPr>
      </w:pPr>
      <w:r>
        <w:rPr>
          <w:rFonts w:ascii="宋体"/>
          <w:sz w:val="24"/>
        </w:rPr>
        <w:t>2.</w:t>
      </w:r>
      <w:r>
        <w:rPr>
          <w:rFonts w:hint="eastAsia" w:ascii="宋体"/>
          <w:sz w:val="24"/>
        </w:rPr>
        <w:t>5  制造厂家提供的培训指的是涉及货物的基本原理、操作使用和保养维修等有关内容的培训。培训教员的培训费、旅费、食宿费等费用和培训场地费及培训资料费均应由卖方支付。</w:t>
      </w:r>
    </w:p>
    <w:p w14:paraId="6CA18DAB">
      <w:pPr>
        <w:spacing w:line="360" w:lineRule="auto"/>
        <w:ind w:left="554" w:hanging="554" w:hangingChars="231"/>
        <w:rPr>
          <w:rFonts w:ascii="宋体"/>
          <w:sz w:val="24"/>
        </w:rPr>
      </w:pPr>
      <w:r>
        <w:rPr>
          <w:rFonts w:hint="eastAsia" w:ascii="宋体"/>
          <w:sz w:val="24"/>
        </w:rPr>
        <w:t>2</w:t>
      </w:r>
      <w:r>
        <w:rPr>
          <w:rFonts w:ascii="宋体"/>
          <w:sz w:val="24"/>
        </w:rPr>
        <w:t>.</w:t>
      </w:r>
      <w:r>
        <w:rPr>
          <w:rFonts w:hint="eastAsia" w:asci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14:paraId="0CC4CC4A">
      <w:pPr>
        <w:spacing w:before="156" w:beforeLines="50" w:after="156" w:afterLines="50" w:line="360" w:lineRule="auto"/>
        <w:ind w:left="601" w:hanging="601"/>
        <w:rPr>
          <w:rFonts w:ascii="宋体"/>
          <w:b/>
          <w:sz w:val="28"/>
        </w:rPr>
      </w:pPr>
      <w:r>
        <w:rPr>
          <w:rFonts w:hint="eastAsia" w:ascii="宋体"/>
          <w:b/>
          <w:sz w:val="28"/>
        </w:rPr>
        <w:t>3、工作条件</w:t>
      </w:r>
    </w:p>
    <w:p w14:paraId="74DDED66">
      <w:pPr>
        <w:spacing w:after="312" w:afterLines="100" w:line="360" w:lineRule="auto"/>
        <w:rPr>
          <w:rFonts w:ascii="宋体"/>
          <w:sz w:val="24"/>
        </w:rPr>
      </w:pPr>
      <w:r>
        <w:rPr>
          <w:rFonts w:hint="eastAsia" w:ascii="宋体"/>
          <w:sz w:val="24"/>
        </w:rPr>
        <w:t>除非在技术规格中另有说明，所有仪器、设备和系统都应符合下列要求：</w:t>
      </w:r>
      <w:r>
        <w:rPr>
          <w:rFonts w:ascii="宋体"/>
          <w:sz w:val="24"/>
        </w:rPr>
        <w:t xml:space="preserve"> </w:t>
      </w:r>
    </w:p>
    <w:p w14:paraId="00E95CF1">
      <w:pPr>
        <w:spacing w:line="360" w:lineRule="auto"/>
        <w:ind w:left="554" w:hanging="554" w:hangingChars="231"/>
        <w:rPr>
          <w:rFonts w:ascii="宋体"/>
          <w:sz w:val="24"/>
        </w:rPr>
      </w:pPr>
      <w:r>
        <w:rPr>
          <w:rFonts w:hint="eastAsia" w:ascii="宋体"/>
          <w:sz w:val="24"/>
        </w:rPr>
        <w:t>3.1  适于在气温为摄氏</w:t>
      </w:r>
      <w:r>
        <w:rPr>
          <w:rFonts w:ascii="宋体"/>
          <w:b/>
          <w:sz w:val="24"/>
        </w:rPr>
        <w:t>-40</w:t>
      </w:r>
      <w:r>
        <w:rPr>
          <w:rFonts w:hint="eastAsia" w:ascii="宋体"/>
          <w:b/>
          <w:sz w:val="24"/>
        </w:rPr>
        <w:t>℃～＋</w:t>
      </w:r>
      <w:r>
        <w:rPr>
          <w:rFonts w:ascii="宋体"/>
          <w:b/>
          <w:sz w:val="24"/>
        </w:rPr>
        <w:t>50</w:t>
      </w:r>
      <w:r>
        <w:rPr>
          <w:rFonts w:hint="eastAsia" w:ascii="宋体"/>
          <w:b/>
          <w:sz w:val="24"/>
        </w:rPr>
        <w:t>℃</w:t>
      </w:r>
      <w:r>
        <w:rPr>
          <w:rFonts w:hint="eastAsia" w:ascii="宋体"/>
          <w:sz w:val="24"/>
        </w:rPr>
        <w:t>和相对湿度为</w:t>
      </w:r>
      <w:r>
        <w:rPr>
          <w:rFonts w:ascii="宋体"/>
          <w:b/>
          <w:sz w:val="24"/>
        </w:rPr>
        <w:t>90</w:t>
      </w:r>
      <w:r>
        <w:rPr>
          <w:rFonts w:hint="eastAsia" w:ascii="宋体"/>
          <w:b/>
          <w:sz w:val="24"/>
        </w:rPr>
        <w:t>％</w:t>
      </w:r>
      <w:r>
        <w:rPr>
          <w:rFonts w:hint="eastAsia" w:ascii="宋体"/>
          <w:sz w:val="24"/>
        </w:rPr>
        <w:t>的环境条件下运输和贮存。</w:t>
      </w:r>
    </w:p>
    <w:p w14:paraId="139F38D5">
      <w:pPr>
        <w:spacing w:line="360" w:lineRule="auto"/>
        <w:ind w:left="554" w:hanging="554" w:hangingChars="231"/>
        <w:rPr>
          <w:rFonts w:ascii="宋体"/>
          <w:sz w:val="24"/>
        </w:rPr>
      </w:pPr>
      <w:r>
        <w:rPr>
          <w:rFonts w:hint="eastAsia" w:ascii="宋体"/>
          <w:sz w:val="24"/>
        </w:rPr>
        <w:t>3.2  适于在电源</w:t>
      </w:r>
      <w:r>
        <w:rPr>
          <w:rFonts w:hint="eastAsia" w:ascii="宋体"/>
          <w:b/>
          <w:sz w:val="24"/>
        </w:rPr>
        <w:t>380</w:t>
      </w:r>
      <w:r>
        <w:rPr>
          <w:rFonts w:ascii="宋体"/>
          <w:b/>
          <w:sz w:val="24"/>
        </w:rPr>
        <w:t>V</w:t>
      </w:r>
      <w:r>
        <w:rPr>
          <w:rFonts w:hint="eastAsia" w:ascii="宋体"/>
          <w:b/>
          <w:sz w:val="24"/>
        </w:rPr>
        <w:t>（</w:t>
      </w:r>
      <w:r>
        <w:rPr>
          <w:rFonts w:ascii="宋体"/>
          <w:b/>
          <w:sz w:val="24"/>
        </w:rPr>
        <w:sym w:font="Symbol" w:char="F0B1"/>
      </w:r>
      <w:r>
        <w:rPr>
          <w:rFonts w:hint="eastAsia" w:ascii="宋体"/>
          <w:b/>
          <w:sz w:val="24"/>
        </w:rPr>
        <w:t>10％）</w:t>
      </w:r>
      <w:r>
        <w:rPr>
          <w:rFonts w:ascii="宋体"/>
          <w:b/>
          <w:sz w:val="24"/>
        </w:rPr>
        <w:t>/50Hz</w:t>
      </w:r>
      <w:r>
        <w:rPr>
          <w:rFonts w:hint="eastAsia" w:ascii="宋体"/>
          <w:sz w:val="24"/>
        </w:rPr>
        <w:t>、气温摄氏</w:t>
      </w:r>
      <w:r>
        <w:rPr>
          <w:rFonts w:hint="eastAsia" w:ascii="宋体"/>
          <w:b/>
          <w:sz w:val="24"/>
        </w:rPr>
        <w:t>+1</w:t>
      </w:r>
      <w:r>
        <w:rPr>
          <w:rFonts w:ascii="宋体"/>
          <w:b/>
          <w:sz w:val="24"/>
        </w:rPr>
        <w:t>5</w:t>
      </w:r>
      <w:r>
        <w:rPr>
          <w:rFonts w:hint="eastAsia" w:ascii="宋体"/>
          <w:b/>
          <w:sz w:val="24"/>
        </w:rPr>
        <w:t>℃～＋3</w:t>
      </w:r>
      <w:r>
        <w:rPr>
          <w:rFonts w:ascii="宋体"/>
          <w:b/>
          <w:sz w:val="24"/>
        </w:rPr>
        <w:t>0</w:t>
      </w:r>
      <w:r>
        <w:rPr>
          <w:rFonts w:hint="eastAsia" w:ascii="宋体"/>
          <w:b/>
          <w:sz w:val="24"/>
        </w:rPr>
        <w:t>℃</w:t>
      </w:r>
      <w:r>
        <w:rPr>
          <w:rFonts w:hint="eastAsia" w:ascii="宋体"/>
          <w:sz w:val="24"/>
        </w:rPr>
        <w:t>和相对湿度小于</w:t>
      </w:r>
      <w:r>
        <w:rPr>
          <w:rFonts w:ascii="宋体"/>
          <w:b/>
          <w:sz w:val="24"/>
        </w:rPr>
        <w:t>8</w:t>
      </w:r>
      <w:r>
        <w:rPr>
          <w:rFonts w:hint="eastAsia" w:ascii="宋体"/>
          <w:b/>
          <w:sz w:val="24"/>
        </w:rPr>
        <w:t>0％</w:t>
      </w:r>
      <w:r>
        <w:rPr>
          <w:rFonts w:hint="eastAsia" w:ascii="宋体"/>
          <w:sz w:val="24"/>
        </w:rPr>
        <w:t>的环境条件下运行。</w:t>
      </w:r>
      <w:r>
        <w:rPr>
          <w:rFonts w:hint="eastAsia" w:ascii="宋体"/>
          <w:b/>
          <w:sz w:val="24"/>
        </w:rPr>
        <w:t>能够连续正常工作。</w:t>
      </w:r>
    </w:p>
    <w:p w14:paraId="5E540E75">
      <w:pPr>
        <w:spacing w:line="360" w:lineRule="auto"/>
        <w:ind w:left="554" w:hanging="554" w:hangingChars="231"/>
        <w:rPr>
          <w:rFonts w:ascii="宋体"/>
          <w:sz w:val="24"/>
        </w:rPr>
      </w:pPr>
      <w:r>
        <w:rPr>
          <w:rFonts w:hint="eastAsia" w:ascii="宋体"/>
          <w:sz w:val="24"/>
        </w:rPr>
        <w:t>3.3  配置符合中国有关标准要求的插头，如果没有这样的插头，则需提供适当的转换插座。</w:t>
      </w:r>
    </w:p>
    <w:p w14:paraId="59BB83FE">
      <w:pPr>
        <w:spacing w:line="360" w:lineRule="auto"/>
        <w:ind w:left="554" w:hanging="554" w:hangingChars="231"/>
        <w:rPr>
          <w:rFonts w:ascii="宋体"/>
          <w:sz w:val="24"/>
        </w:rPr>
      </w:pPr>
      <w:r>
        <w:rPr>
          <w:rFonts w:hint="eastAsia" w:ascii="宋体"/>
          <w:sz w:val="24"/>
        </w:rPr>
        <w:t>3.4  如产品达不到上述要求，投标人应注明其偏差。如仪器设备需要特殊工作条件（如水、电源、磁场强度、温度、湿度、动强度等）投标人应在投标书中加以说明。</w:t>
      </w:r>
    </w:p>
    <w:p w14:paraId="09C39592">
      <w:pPr>
        <w:rPr>
          <w:rFonts w:eastAsia="黑体"/>
          <w:b/>
          <w:bCs/>
          <w:kern w:val="44"/>
          <w:sz w:val="24"/>
        </w:rPr>
      </w:pPr>
    </w:p>
    <w:p w14:paraId="2F4DC3E7">
      <w:pPr>
        <w:spacing w:before="156" w:beforeLines="50" w:after="156" w:afterLines="50" w:line="360" w:lineRule="auto"/>
        <w:ind w:left="601" w:hanging="601"/>
        <w:rPr>
          <w:rFonts w:ascii="宋体"/>
          <w:b/>
          <w:sz w:val="28"/>
        </w:rPr>
      </w:pPr>
      <w:r>
        <w:rPr>
          <w:rFonts w:hint="eastAsia" w:ascii="宋体"/>
          <w:b/>
          <w:sz w:val="28"/>
        </w:rPr>
        <w:t>4、验收标准</w:t>
      </w:r>
    </w:p>
    <w:p w14:paraId="556141CB">
      <w:pPr>
        <w:spacing w:after="312" w:afterLines="100" w:line="360" w:lineRule="auto"/>
        <w:rPr>
          <w:rFonts w:ascii="宋体"/>
          <w:sz w:val="24"/>
        </w:rPr>
      </w:pPr>
      <w:r>
        <w:rPr>
          <w:rFonts w:hint="eastAsia" w:ascii="宋体"/>
          <w:sz w:val="24"/>
        </w:rPr>
        <w:t>除非在技术规格中另有说明，所有仪器、设备和系统按下列要求进行验收：</w:t>
      </w:r>
      <w:r>
        <w:rPr>
          <w:rFonts w:ascii="宋体"/>
          <w:sz w:val="24"/>
        </w:rPr>
        <w:t xml:space="preserve"> </w:t>
      </w:r>
    </w:p>
    <w:p w14:paraId="0F25F086">
      <w:pPr>
        <w:spacing w:line="360" w:lineRule="auto"/>
        <w:ind w:left="554" w:hanging="554" w:hangingChars="231"/>
        <w:rPr>
          <w:rFonts w:ascii="宋体"/>
          <w:sz w:val="24"/>
        </w:rPr>
      </w:pPr>
      <w:r>
        <w:rPr>
          <w:rFonts w:hint="eastAsia" w:ascii="宋体"/>
          <w:sz w:val="24"/>
        </w:rPr>
        <w:t>4.1  仪器设备运抵安装现场后，买方将与卖方共同开箱验收</w:t>
      </w:r>
      <w:r>
        <w:rPr>
          <w:rFonts w:ascii="宋体"/>
          <w:sz w:val="24"/>
        </w:rPr>
        <w:t xml:space="preserve">, </w:t>
      </w:r>
      <w:r>
        <w:rPr>
          <w:rFonts w:hint="eastAsia" w:ascii="宋体"/>
          <w:sz w:val="24"/>
        </w:rPr>
        <w:t>如卖方届时不派人来</w:t>
      </w:r>
      <w:r>
        <w:rPr>
          <w:rFonts w:ascii="宋体"/>
          <w:sz w:val="24"/>
        </w:rPr>
        <w:t xml:space="preserve">, </w:t>
      </w:r>
      <w:r>
        <w:rPr>
          <w:rFonts w:hint="eastAsia" w:ascii="宋体"/>
          <w:sz w:val="24"/>
        </w:rPr>
        <w:t>则验收结果应以买方的验收报告为最终验收结果。验收时发现短缺、破损</w:t>
      </w:r>
      <w:r>
        <w:rPr>
          <w:rFonts w:ascii="宋体"/>
          <w:sz w:val="24"/>
        </w:rPr>
        <w:t xml:space="preserve">, </w:t>
      </w:r>
      <w:r>
        <w:rPr>
          <w:rFonts w:hint="eastAsia" w:ascii="宋体"/>
          <w:sz w:val="24"/>
        </w:rPr>
        <w:t>买方有权要求卖方负责更换。</w:t>
      </w:r>
    </w:p>
    <w:p w14:paraId="3D890E1C">
      <w:pPr>
        <w:spacing w:line="360" w:lineRule="auto"/>
        <w:ind w:left="554" w:hanging="554" w:hangingChars="231"/>
        <w:rPr>
          <w:rFonts w:ascii="宋体"/>
          <w:sz w:val="24"/>
        </w:rPr>
      </w:pPr>
      <w:r>
        <w:rPr>
          <w:rFonts w:hint="eastAsia" w:asci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DEF224F">
      <w:pPr>
        <w:spacing w:line="360" w:lineRule="auto"/>
        <w:ind w:left="554" w:hanging="554" w:hangingChars="231"/>
        <w:rPr>
          <w:rFonts w:ascii="宋体"/>
          <w:sz w:val="24"/>
        </w:rPr>
      </w:pPr>
      <w:r>
        <w:rPr>
          <w:rFonts w:hint="eastAsia" w:ascii="宋体"/>
          <w:sz w:val="24"/>
        </w:rPr>
        <w:t xml:space="preserve">4.3  </w:t>
      </w:r>
      <w:r>
        <w:rPr>
          <w:rFonts w:ascii="宋体"/>
          <w:sz w:val="24"/>
        </w:rPr>
        <w:t>验收由采购人、中标人及相关人员依国家有关标准、合同及有关附件要求进行，验收完毕由采购人及中标人在验收报告上签名。</w:t>
      </w:r>
    </w:p>
    <w:p w14:paraId="6A041E3E">
      <w:pPr>
        <w:pStyle w:val="3"/>
        <w:spacing w:line="360" w:lineRule="auto"/>
        <w:ind w:left="410" w:hanging="410" w:hangingChars="170"/>
        <w:rPr>
          <w:b/>
          <w:sz w:val="24"/>
          <w:szCs w:val="24"/>
        </w:rPr>
      </w:pPr>
    </w:p>
    <w:p w14:paraId="3B091FCB">
      <w:pPr>
        <w:pStyle w:val="3"/>
        <w:spacing w:line="360" w:lineRule="auto"/>
        <w:ind w:left="410" w:hanging="410" w:hangingChars="170"/>
        <w:rPr>
          <w:b/>
          <w:sz w:val="24"/>
          <w:szCs w:val="24"/>
        </w:rPr>
      </w:pPr>
      <w:r>
        <w:rPr>
          <w:rFonts w:hint="eastAsia"/>
          <w:b/>
          <w:sz w:val="24"/>
          <w:szCs w:val="24"/>
        </w:rPr>
        <w:t>5、本技术规格书中标注“*”号的为关键技术参数，对这些关键技术参数的任何负偏离将导致废标。</w:t>
      </w:r>
    </w:p>
    <w:p w14:paraId="68157E78">
      <w:pPr>
        <w:pStyle w:val="3"/>
        <w:spacing w:line="360" w:lineRule="auto"/>
        <w:rPr>
          <w:b/>
          <w:sz w:val="24"/>
          <w:szCs w:val="24"/>
        </w:rPr>
      </w:pPr>
    </w:p>
    <w:p w14:paraId="1BA1A5A0">
      <w:pPr>
        <w:pStyle w:val="3"/>
        <w:spacing w:line="360" w:lineRule="auto"/>
        <w:rPr>
          <w:b/>
          <w:sz w:val="24"/>
          <w:szCs w:val="24"/>
        </w:rPr>
      </w:pPr>
      <w:r>
        <w:rPr>
          <w:rFonts w:hint="eastAsia"/>
          <w:b/>
          <w:sz w:val="24"/>
          <w:szCs w:val="24"/>
        </w:rPr>
        <w:t>6、如在具体技术规格中有本总则不一致之处，以具体技术规格中的要求为准。</w:t>
      </w:r>
    </w:p>
    <w:p w14:paraId="235BB169">
      <w:pPr>
        <w:spacing w:after="156" w:afterLines="50"/>
        <w:ind w:left="601" w:hanging="601"/>
        <w:rPr>
          <w:rFonts w:ascii="宋体"/>
          <w:b/>
          <w:sz w:val="28"/>
        </w:rPr>
      </w:pPr>
      <w:r>
        <w:rPr>
          <w:rFonts w:ascii="宋体"/>
          <w:b/>
          <w:sz w:val="28"/>
        </w:rPr>
        <w:br w:type="page"/>
      </w:r>
      <w:r>
        <w:rPr>
          <w:rFonts w:hint="eastAsia" w:ascii="宋体"/>
          <w:b/>
          <w:sz w:val="28"/>
        </w:rPr>
        <w:t>二、具体技术规格</w:t>
      </w:r>
    </w:p>
    <w:p w14:paraId="6211E4EF">
      <w:pPr>
        <w:spacing w:line="360" w:lineRule="auto"/>
        <w:jc w:val="left"/>
        <w:rPr>
          <w:sz w:val="24"/>
        </w:rPr>
      </w:pPr>
      <w:r>
        <w:rPr>
          <w:rFonts w:hint="eastAsia"/>
          <w:sz w:val="24"/>
        </w:rPr>
        <w:t>一</w:t>
      </w:r>
      <w:r>
        <w:rPr>
          <w:sz w:val="24"/>
        </w:rPr>
        <w:t>、项目基本技术需求</w:t>
      </w:r>
    </w:p>
    <w:p w14:paraId="63889118">
      <w:pPr>
        <w:spacing w:line="360" w:lineRule="auto"/>
        <w:jc w:val="left"/>
        <w:rPr>
          <w:sz w:val="24"/>
        </w:rPr>
      </w:pPr>
      <w:r>
        <w:rPr>
          <w:rFonts w:hint="eastAsia"/>
          <w:sz w:val="24"/>
        </w:rPr>
        <w:t>1.</w:t>
      </w:r>
      <w:r>
        <w:rPr>
          <w:sz w:val="24"/>
        </w:rPr>
        <w:t>设备名称、数量:</w:t>
      </w:r>
    </w:p>
    <w:p w14:paraId="0933319F">
      <w:pPr>
        <w:spacing w:line="360" w:lineRule="auto"/>
        <w:jc w:val="left"/>
        <w:rPr>
          <w:sz w:val="24"/>
        </w:rPr>
      </w:pPr>
      <w:r>
        <w:rPr>
          <w:sz w:val="24"/>
        </w:rPr>
        <w:t>1.1 设备名称:电子顺磁共振波谱仪</w:t>
      </w:r>
    </w:p>
    <w:p w14:paraId="0C034375">
      <w:pPr>
        <w:spacing w:line="360" w:lineRule="auto"/>
        <w:jc w:val="left"/>
        <w:rPr>
          <w:sz w:val="24"/>
        </w:rPr>
      </w:pPr>
      <w:r>
        <w:rPr>
          <w:sz w:val="24"/>
        </w:rPr>
        <w:t>1.2 数量:1套</w:t>
      </w:r>
    </w:p>
    <w:p w14:paraId="743F96CC">
      <w:pPr>
        <w:spacing w:line="360" w:lineRule="auto"/>
        <w:jc w:val="left"/>
        <w:rPr>
          <w:sz w:val="24"/>
        </w:rPr>
      </w:pPr>
    </w:p>
    <w:p w14:paraId="46891242">
      <w:pPr>
        <w:spacing w:line="360" w:lineRule="auto"/>
        <w:jc w:val="left"/>
        <w:rPr>
          <w:sz w:val="24"/>
        </w:rPr>
      </w:pPr>
      <w:r>
        <w:rPr>
          <w:rFonts w:hint="eastAsia"/>
          <w:sz w:val="24"/>
        </w:rPr>
        <w:t>2.设备用途</w:t>
      </w:r>
    </w:p>
    <w:p w14:paraId="138E5B73">
      <w:pPr>
        <w:spacing w:line="360" w:lineRule="auto"/>
        <w:jc w:val="left"/>
        <w:rPr>
          <w:sz w:val="24"/>
        </w:rPr>
      </w:pPr>
      <w:r>
        <w:rPr>
          <w:rFonts w:hint="eastAsia"/>
          <w:sz w:val="24"/>
        </w:rPr>
        <w:t>主要用于化学、物理、材料学、医学和环境等学科中含未成对电子的电子顺磁共振特性相关研究，如自由基、自由基对、三重态、过渡金属离子（含镧系金属离子）及其络合物等的检测。</w:t>
      </w:r>
    </w:p>
    <w:p w14:paraId="57570CB7">
      <w:pPr>
        <w:spacing w:line="360" w:lineRule="auto"/>
        <w:jc w:val="left"/>
        <w:rPr>
          <w:sz w:val="24"/>
        </w:rPr>
      </w:pPr>
    </w:p>
    <w:p w14:paraId="418F9C53">
      <w:pPr>
        <w:spacing w:line="360" w:lineRule="auto"/>
        <w:jc w:val="left"/>
        <w:rPr>
          <w:sz w:val="24"/>
        </w:rPr>
      </w:pPr>
      <w:r>
        <w:rPr>
          <w:rFonts w:hint="eastAsia"/>
          <w:sz w:val="24"/>
        </w:rPr>
        <w:t>3.</w:t>
      </w:r>
      <w:r>
        <w:rPr>
          <w:sz w:val="24"/>
        </w:rPr>
        <w:t>工作条件</w:t>
      </w:r>
    </w:p>
    <w:p w14:paraId="3D6CFFCF">
      <w:pPr>
        <w:spacing w:line="360" w:lineRule="auto"/>
        <w:jc w:val="left"/>
        <w:rPr>
          <w:sz w:val="24"/>
        </w:rPr>
      </w:pPr>
      <w:r>
        <w:rPr>
          <w:sz w:val="24"/>
        </w:rPr>
        <w:t>1.1 电源 380 V(±10%),</w:t>
      </w:r>
      <w:r>
        <w:rPr>
          <w:rFonts w:hint="eastAsia"/>
          <w:sz w:val="24"/>
        </w:rPr>
        <w:t xml:space="preserve"> </w:t>
      </w:r>
      <w:r>
        <w:rPr>
          <w:sz w:val="24"/>
        </w:rPr>
        <w:t>50Hz;</w:t>
      </w:r>
    </w:p>
    <w:p w14:paraId="199E7202">
      <w:pPr>
        <w:spacing w:line="360" w:lineRule="auto"/>
        <w:jc w:val="left"/>
        <w:rPr>
          <w:sz w:val="24"/>
        </w:rPr>
      </w:pPr>
      <w:r>
        <w:rPr>
          <w:sz w:val="24"/>
        </w:rPr>
        <w:t>1.2 环境温度18-30</w:t>
      </w:r>
      <w:r>
        <w:rPr>
          <w:sz w:val="24"/>
          <w:vertAlign w:val="superscript"/>
        </w:rPr>
        <w:t>o</w:t>
      </w:r>
      <w:r>
        <w:rPr>
          <w:sz w:val="24"/>
        </w:rPr>
        <w:t>C;</w:t>
      </w:r>
    </w:p>
    <w:p w14:paraId="6E8866FA">
      <w:pPr>
        <w:spacing w:line="360" w:lineRule="auto"/>
        <w:jc w:val="left"/>
        <w:rPr>
          <w:sz w:val="24"/>
        </w:rPr>
      </w:pPr>
      <w:r>
        <w:rPr>
          <w:sz w:val="24"/>
        </w:rPr>
        <w:t>1.3 相对湿度≤80%;</w:t>
      </w:r>
    </w:p>
    <w:p w14:paraId="01E38421">
      <w:pPr>
        <w:spacing w:line="360" w:lineRule="auto"/>
        <w:jc w:val="left"/>
        <w:rPr>
          <w:sz w:val="24"/>
        </w:rPr>
      </w:pPr>
      <w:r>
        <w:rPr>
          <w:rFonts w:hint="eastAsia"/>
          <w:sz w:val="24"/>
        </w:rPr>
        <w:t xml:space="preserve">* </w:t>
      </w:r>
      <w:r>
        <w:rPr>
          <w:sz w:val="24"/>
        </w:rPr>
        <w:t>1.4 连续工作时间:</w:t>
      </w:r>
      <w:r>
        <w:rPr>
          <w:rFonts w:hint="eastAsia"/>
          <w:sz w:val="24"/>
        </w:rPr>
        <w:t xml:space="preserve"> 至少持续</w:t>
      </w:r>
      <w:r>
        <w:rPr>
          <w:sz w:val="24"/>
        </w:rPr>
        <w:t>120小时的长时间连续工作;</w:t>
      </w:r>
    </w:p>
    <w:p w14:paraId="10508A7B">
      <w:pPr>
        <w:spacing w:line="360" w:lineRule="auto"/>
        <w:jc w:val="left"/>
        <w:rPr>
          <w:sz w:val="24"/>
        </w:rPr>
      </w:pPr>
    </w:p>
    <w:p w14:paraId="7CDD55C4">
      <w:pPr>
        <w:spacing w:line="360" w:lineRule="auto"/>
        <w:jc w:val="left"/>
        <w:rPr>
          <w:sz w:val="24"/>
        </w:rPr>
      </w:pPr>
      <w:r>
        <w:rPr>
          <w:rFonts w:hint="eastAsia"/>
          <w:sz w:val="24"/>
        </w:rPr>
        <w:t>4.</w:t>
      </w:r>
      <w:r>
        <w:rPr>
          <w:sz w:val="24"/>
        </w:rPr>
        <w:t>技术要求</w:t>
      </w:r>
    </w:p>
    <w:p w14:paraId="5230432D">
      <w:pPr>
        <w:spacing w:line="360" w:lineRule="auto"/>
        <w:rPr>
          <w:sz w:val="24"/>
        </w:rPr>
      </w:pPr>
      <w:r>
        <w:rPr>
          <w:rFonts w:hint="eastAsia"/>
          <w:sz w:val="24"/>
        </w:rPr>
        <w:t>4.1、重要指标</w:t>
      </w:r>
    </w:p>
    <w:p w14:paraId="208E02AC">
      <w:pPr>
        <w:spacing w:line="360" w:lineRule="auto"/>
        <w:rPr>
          <w:sz w:val="24"/>
        </w:rPr>
      </w:pPr>
      <w:r>
        <w:rPr>
          <w:rFonts w:hint="eastAsia"/>
          <w:sz w:val="24"/>
        </w:rPr>
        <w:t>4.1.1灵敏度：</w:t>
      </w:r>
    </w:p>
    <w:p w14:paraId="0309347D">
      <w:pPr>
        <w:spacing w:line="360" w:lineRule="auto"/>
        <w:rPr>
          <w:sz w:val="24"/>
        </w:rPr>
      </w:pPr>
      <w:r>
        <w:rPr>
          <w:rFonts w:hint="eastAsia"/>
          <w:sz w:val="24"/>
        </w:rPr>
        <w:t>#4.1.1.1可检测最小绝对自旋数≤1*10^9 spins/G线宽（要求提供生产厂家官方网站截图，以及测试谱图和数据作为证据）；</w:t>
      </w:r>
    </w:p>
    <w:p w14:paraId="132F5523">
      <w:pPr>
        <w:spacing w:line="360" w:lineRule="auto"/>
        <w:rPr>
          <w:sz w:val="24"/>
        </w:rPr>
      </w:pPr>
      <w:r>
        <w:rPr>
          <w:rFonts w:hint="eastAsia"/>
          <w:sz w:val="24"/>
        </w:rPr>
        <w:t>*4.1.1.2信噪比S/N ≥3000：1（以0.0003%沥青掺杂在KCl中制成的弱沥青为标样，采用国际通用的测试方法，且测试噪声时的必须使用4.2.2项中的最大校平功率。提供测试谱图和数据作为证据）；</w:t>
      </w:r>
    </w:p>
    <w:p w14:paraId="08CBB7D5">
      <w:pPr>
        <w:spacing w:line="360" w:lineRule="auto"/>
        <w:rPr>
          <w:sz w:val="24"/>
        </w:rPr>
      </w:pPr>
      <w:r>
        <w:rPr>
          <w:rFonts w:hint="eastAsia"/>
          <w:sz w:val="24"/>
        </w:rPr>
        <w:t>#4.1.2 数字化分辨率≥32 bit（要求提供生产厂家官方网站截图，以及测试谱图和数据作为证据）；磁体分辨率≦10 mG（要求提供生产厂家官方网站截图作为依据）；</w:t>
      </w:r>
    </w:p>
    <w:p w14:paraId="0A58106B">
      <w:pPr>
        <w:spacing w:line="360" w:lineRule="auto"/>
        <w:rPr>
          <w:sz w:val="24"/>
        </w:rPr>
      </w:pPr>
      <w:r>
        <w:rPr>
          <w:rFonts w:hint="eastAsia"/>
          <w:sz w:val="24"/>
        </w:rPr>
        <w:t>4.1.3 稳定性：磁场噪声(短时间稳定性)： ≦5 mG；磁场稳定性(长时间稳定性)：≦10 mG；</w:t>
      </w:r>
    </w:p>
    <w:p w14:paraId="6F7A8886">
      <w:pPr>
        <w:spacing w:line="360" w:lineRule="auto"/>
        <w:rPr>
          <w:sz w:val="24"/>
        </w:rPr>
      </w:pPr>
    </w:p>
    <w:p w14:paraId="4AD46A99">
      <w:pPr>
        <w:spacing w:line="360" w:lineRule="auto"/>
        <w:rPr>
          <w:sz w:val="24"/>
        </w:rPr>
      </w:pPr>
      <w:r>
        <w:rPr>
          <w:rFonts w:hint="eastAsia"/>
          <w:sz w:val="24"/>
        </w:rPr>
        <w:t>4.2、 微波系统性能要求：</w:t>
      </w:r>
    </w:p>
    <w:p w14:paraId="520A5B67">
      <w:pPr>
        <w:spacing w:line="360" w:lineRule="auto"/>
        <w:rPr>
          <w:sz w:val="24"/>
        </w:rPr>
      </w:pPr>
      <w:r>
        <w:rPr>
          <w:rFonts w:hint="eastAsia"/>
          <w:sz w:val="24"/>
        </w:rPr>
        <w:t>4.2.1微波源工作频率：X波段 ( 9.2 GHz ~ 9.9 GHz)</w:t>
      </w:r>
    </w:p>
    <w:p w14:paraId="726166DE">
      <w:pPr>
        <w:spacing w:line="360" w:lineRule="auto"/>
        <w:rPr>
          <w:sz w:val="24"/>
        </w:rPr>
      </w:pPr>
      <w:r>
        <w:rPr>
          <w:rFonts w:hint="eastAsia"/>
          <w:sz w:val="24"/>
        </w:rPr>
        <w:t>4.2.2微波源：耿氏固体源；最大功率输出：600 mW，最大校平功率输出：200 mW（要求提供能够体现该参数设置的截图作为依据）；</w:t>
      </w:r>
    </w:p>
    <w:p w14:paraId="1DB4346F">
      <w:pPr>
        <w:spacing w:line="360" w:lineRule="auto"/>
        <w:rPr>
          <w:sz w:val="24"/>
        </w:rPr>
      </w:pPr>
      <w:r>
        <w:rPr>
          <w:rFonts w:hint="eastAsia"/>
          <w:sz w:val="24"/>
        </w:rPr>
        <w:t>4.2.3微波功率衰减：0~60 dB, 分辨率1 dB, 精度为 ±0.2 dB；</w:t>
      </w:r>
    </w:p>
    <w:p w14:paraId="254C3B73">
      <w:pPr>
        <w:spacing w:line="360" w:lineRule="auto"/>
        <w:rPr>
          <w:sz w:val="24"/>
        </w:rPr>
      </w:pPr>
      <w:r>
        <w:rPr>
          <w:rFonts w:hint="eastAsia"/>
          <w:sz w:val="24"/>
        </w:rPr>
        <w:t>4.2.4频率计：分辨率≥1kHz</w:t>
      </w:r>
    </w:p>
    <w:p w14:paraId="78917C4C">
      <w:pPr>
        <w:spacing w:line="360" w:lineRule="auto"/>
        <w:rPr>
          <w:sz w:val="24"/>
        </w:rPr>
      </w:pPr>
      <w:r>
        <w:rPr>
          <w:rFonts w:hint="eastAsia"/>
          <w:sz w:val="24"/>
        </w:rPr>
        <w:t>4.2.5自动调谐功能和谐振腔自动匹配</w:t>
      </w:r>
    </w:p>
    <w:p w14:paraId="005A616E">
      <w:pPr>
        <w:spacing w:line="360" w:lineRule="auto"/>
        <w:rPr>
          <w:sz w:val="24"/>
        </w:rPr>
      </w:pPr>
      <w:r>
        <w:rPr>
          <w:rFonts w:hint="eastAsia"/>
          <w:sz w:val="24"/>
        </w:rPr>
        <w:t>4.2.6通过软件控制微波参数</w:t>
      </w:r>
    </w:p>
    <w:p w14:paraId="26586924">
      <w:pPr>
        <w:spacing w:line="360" w:lineRule="auto"/>
        <w:rPr>
          <w:sz w:val="24"/>
        </w:rPr>
      </w:pPr>
      <w:r>
        <w:rPr>
          <w:rFonts w:hint="eastAsia"/>
          <w:sz w:val="24"/>
        </w:rPr>
        <w:t>4.2.7微波调谐模图样的放大功能</w:t>
      </w:r>
    </w:p>
    <w:p w14:paraId="28C65C0E">
      <w:pPr>
        <w:spacing w:line="360" w:lineRule="auto"/>
        <w:rPr>
          <w:sz w:val="24"/>
        </w:rPr>
      </w:pPr>
      <w:r>
        <w:rPr>
          <w:rFonts w:hint="eastAsia"/>
          <w:sz w:val="24"/>
        </w:rPr>
        <w:t>4.2.8 AFC频率稳定性：不低于10^-8；AFC 动态范围：±6 MHz</w:t>
      </w:r>
    </w:p>
    <w:p w14:paraId="5CC63C02">
      <w:pPr>
        <w:spacing w:line="360" w:lineRule="auto"/>
        <w:rPr>
          <w:sz w:val="24"/>
        </w:rPr>
      </w:pPr>
      <w:r>
        <w:rPr>
          <w:rFonts w:hint="eastAsia"/>
          <w:sz w:val="24"/>
        </w:rPr>
        <w:t>#4.2.9前置放大器带宽：30 Hz–6.5 MHz（要求提供生产厂家官方网站截图，以及能够体现该参数设置的截图作为依据）；</w:t>
      </w:r>
    </w:p>
    <w:p w14:paraId="3BF8F809">
      <w:pPr>
        <w:spacing w:line="360" w:lineRule="auto"/>
        <w:rPr>
          <w:sz w:val="24"/>
        </w:rPr>
      </w:pPr>
      <w:r>
        <w:rPr>
          <w:rFonts w:hint="eastAsia"/>
          <w:sz w:val="24"/>
        </w:rPr>
        <w:t>4.2.10能够自动测定有载Q值，并显示在软件中，并与其它参数同样存储在文件里；</w:t>
      </w:r>
    </w:p>
    <w:p w14:paraId="59504CE8">
      <w:pPr>
        <w:spacing w:line="360" w:lineRule="auto"/>
        <w:rPr>
          <w:sz w:val="24"/>
        </w:rPr>
      </w:pPr>
    </w:p>
    <w:p w14:paraId="78A33FBD">
      <w:pPr>
        <w:spacing w:line="360" w:lineRule="auto"/>
        <w:rPr>
          <w:sz w:val="24"/>
        </w:rPr>
      </w:pPr>
      <w:r>
        <w:rPr>
          <w:rFonts w:hint="eastAsia"/>
          <w:sz w:val="24"/>
        </w:rPr>
        <w:t>4.3、 谐振腔性能要求：</w:t>
      </w:r>
    </w:p>
    <w:p w14:paraId="29D11F3C">
      <w:pPr>
        <w:spacing w:line="360" w:lineRule="auto"/>
        <w:rPr>
          <w:sz w:val="24"/>
        </w:rPr>
      </w:pPr>
      <w:r>
        <w:rPr>
          <w:rFonts w:hint="eastAsia"/>
          <w:sz w:val="24"/>
        </w:rPr>
        <w:t>4.3.1最大调制幅度20 G</w:t>
      </w:r>
    </w:p>
    <w:p w14:paraId="56A81816">
      <w:pPr>
        <w:spacing w:line="360" w:lineRule="auto"/>
        <w:rPr>
          <w:sz w:val="24"/>
        </w:rPr>
      </w:pPr>
      <w:r>
        <w:rPr>
          <w:rFonts w:hint="eastAsia"/>
          <w:sz w:val="24"/>
        </w:rPr>
        <w:t>4.3.2最大10 mm样品入口</w:t>
      </w:r>
    </w:p>
    <w:p w14:paraId="09B0F54A">
      <w:pPr>
        <w:spacing w:line="360" w:lineRule="auto"/>
        <w:rPr>
          <w:sz w:val="24"/>
        </w:rPr>
      </w:pPr>
      <w:r>
        <w:rPr>
          <w:rFonts w:hint="eastAsia"/>
          <w:sz w:val="24"/>
        </w:rPr>
        <w:t>4.3.3 无载Q值≥16000</w:t>
      </w:r>
    </w:p>
    <w:p w14:paraId="64BEBD92">
      <w:pPr>
        <w:spacing w:line="360" w:lineRule="auto"/>
        <w:rPr>
          <w:sz w:val="24"/>
        </w:rPr>
      </w:pPr>
      <w:r>
        <w:rPr>
          <w:rFonts w:hint="eastAsia"/>
          <w:sz w:val="24"/>
        </w:rPr>
        <w:t>4.3.4 可检测有损耗和无损耗的样品</w:t>
      </w:r>
    </w:p>
    <w:p w14:paraId="047B71E5">
      <w:pPr>
        <w:spacing w:line="360" w:lineRule="auto"/>
        <w:rPr>
          <w:sz w:val="24"/>
        </w:rPr>
      </w:pPr>
      <w:r>
        <w:rPr>
          <w:rFonts w:hint="eastAsia"/>
          <w:sz w:val="24"/>
        </w:rPr>
        <w:t>4.3.5 能用于液氮（100K-600K）、液氦变温单元（</w:t>
      </w:r>
      <w:r>
        <w:rPr>
          <w:sz w:val="24"/>
        </w:rPr>
        <w:t>3.8K-300K</w:t>
      </w:r>
      <w:r>
        <w:rPr>
          <w:rFonts w:hint="eastAsia"/>
          <w:sz w:val="24"/>
        </w:rPr>
        <w:t>）</w:t>
      </w:r>
    </w:p>
    <w:p w14:paraId="0ECD083B">
      <w:pPr>
        <w:spacing w:line="360" w:lineRule="auto"/>
        <w:rPr>
          <w:sz w:val="24"/>
        </w:rPr>
      </w:pPr>
      <w:r>
        <w:rPr>
          <w:rFonts w:hint="eastAsia"/>
          <w:sz w:val="24"/>
        </w:rPr>
        <w:t>*4.3.6 前方具有窗口，能用于各种光照系统（特别是流动体系），支持紫外，可见，激光等光源，可实现光照原位实验，此外，光照的同时也可以实现样品的变温。（要求提供相关照片）</w:t>
      </w:r>
    </w:p>
    <w:p w14:paraId="6AC16F16">
      <w:pPr>
        <w:spacing w:line="360" w:lineRule="auto"/>
        <w:rPr>
          <w:sz w:val="24"/>
        </w:rPr>
      </w:pPr>
      <w:r>
        <w:rPr>
          <w:rFonts w:hint="eastAsia"/>
          <w:sz w:val="24"/>
        </w:rPr>
        <w:t xml:space="preserve">*4.3.7 工作频率：9.2-9.9 GHz，即使插入变温杜瓦后，其共振频率也应该在此范围内。 </w:t>
      </w:r>
    </w:p>
    <w:p w14:paraId="19CF8CEA">
      <w:pPr>
        <w:spacing w:line="360" w:lineRule="auto"/>
        <w:rPr>
          <w:sz w:val="24"/>
        </w:rPr>
      </w:pPr>
    </w:p>
    <w:p w14:paraId="4A5DB264">
      <w:pPr>
        <w:spacing w:line="360" w:lineRule="auto"/>
        <w:rPr>
          <w:sz w:val="24"/>
        </w:rPr>
      </w:pPr>
      <w:r>
        <w:rPr>
          <w:rFonts w:hint="eastAsia"/>
          <w:sz w:val="24"/>
        </w:rPr>
        <w:t xml:space="preserve">4.4、磁体系统性能要求:   </w:t>
      </w:r>
    </w:p>
    <w:p w14:paraId="079187D0">
      <w:pPr>
        <w:spacing w:line="360" w:lineRule="auto"/>
        <w:rPr>
          <w:sz w:val="24"/>
        </w:rPr>
      </w:pPr>
      <w:r>
        <w:rPr>
          <w:rFonts w:hint="eastAsia"/>
          <w:sz w:val="24"/>
        </w:rPr>
        <w:t>4.4.1    ≤10英寸双轭磁体</w:t>
      </w:r>
    </w:p>
    <w:p w14:paraId="7513F619">
      <w:pPr>
        <w:spacing w:line="360" w:lineRule="auto"/>
        <w:rPr>
          <w:sz w:val="24"/>
        </w:rPr>
      </w:pPr>
      <w:r>
        <w:rPr>
          <w:rFonts w:hint="eastAsia"/>
          <w:sz w:val="24"/>
        </w:rPr>
        <w:t>4.4.1.1  最大磁场强度≧14500 G</w:t>
      </w:r>
    </w:p>
    <w:p w14:paraId="19D51E7C">
      <w:pPr>
        <w:spacing w:line="360" w:lineRule="auto"/>
        <w:rPr>
          <w:sz w:val="24"/>
        </w:rPr>
      </w:pPr>
      <w:r>
        <w:rPr>
          <w:rFonts w:hint="eastAsia"/>
          <w:sz w:val="24"/>
        </w:rPr>
        <w:t>4.4.1.2  双轭磁体的空气狭缝≧72 mm</w:t>
      </w:r>
    </w:p>
    <w:p w14:paraId="1FFF4933">
      <w:pPr>
        <w:spacing w:line="360" w:lineRule="auto"/>
        <w:rPr>
          <w:sz w:val="24"/>
        </w:rPr>
      </w:pPr>
      <w:r>
        <w:rPr>
          <w:rFonts w:hint="eastAsia"/>
          <w:sz w:val="24"/>
        </w:rPr>
        <w:t>4.4.1.3  适合于变温单元</w:t>
      </w:r>
    </w:p>
    <w:p w14:paraId="1FA7EE50">
      <w:pPr>
        <w:spacing w:line="360" w:lineRule="auto"/>
        <w:rPr>
          <w:sz w:val="24"/>
        </w:rPr>
      </w:pPr>
      <w:r>
        <w:rPr>
          <w:rFonts w:hint="eastAsia"/>
          <w:sz w:val="24"/>
        </w:rPr>
        <w:t>4.4.1.4 磁体重量：≦2000 kg</w:t>
      </w:r>
    </w:p>
    <w:p w14:paraId="086E432A">
      <w:pPr>
        <w:spacing w:line="360" w:lineRule="auto"/>
        <w:rPr>
          <w:sz w:val="24"/>
        </w:rPr>
      </w:pPr>
      <w:r>
        <w:rPr>
          <w:rFonts w:hint="eastAsia"/>
          <w:sz w:val="24"/>
        </w:rPr>
        <w:t>#4.4.1.5 均匀性：10 mG或者3ppm（在3500G）（在10 (Z) х 10 (X) х 22 (Y) mm 体积内）（要求提供生产厂家官方网站截图作为依据）</w:t>
      </w:r>
    </w:p>
    <w:p w14:paraId="09135C68">
      <w:pPr>
        <w:spacing w:line="360" w:lineRule="auto"/>
        <w:rPr>
          <w:sz w:val="24"/>
        </w:rPr>
      </w:pPr>
      <w:r>
        <w:rPr>
          <w:rFonts w:hint="eastAsia"/>
          <w:sz w:val="24"/>
        </w:rPr>
        <w:t>4.4.2 磁体电源，</w:t>
      </w:r>
      <w:bookmarkStart w:id="0" w:name="_Hlk176774790"/>
      <w:r>
        <w:rPr>
          <w:rFonts w:hint="eastAsia"/>
          <w:sz w:val="24"/>
        </w:rPr>
        <w:t>须确保可达4.4.1.1项中的最大磁场强度；</w:t>
      </w:r>
      <w:bookmarkEnd w:id="0"/>
    </w:p>
    <w:p w14:paraId="46CCB375">
      <w:pPr>
        <w:spacing w:line="360" w:lineRule="auto"/>
        <w:rPr>
          <w:sz w:val="24"/>
        </w:rPr>
      </w:pPr>
      <w:r>
        <w:rPr>
          <w:rFonts w:hint="eastAsia"/>
          <w:sz w:val="24"/>
        </w:rPr>
        <w:t>4.4.2.1 磁体和磁体电源需要水冷却</w:t>
      </w:r>
    </w:p>
    <w:p w14:paraId="360D79C1">
      <w:pPr>
        <w:spacing w:line="360" w:lineRule="auto"/>
        <w:rPr>
          <w:sz w:val="24"/>
        </w:rPr>
      </w:pPr>
      <w:r>
        <w:rPr>
          <w:rFonts w:hint="eastAsia"/>
          <w:sz w:val="24"/>
        </w:rPr>
        <w:t>4.4.2.2 能和所提供的磁体相匹配，须确保可达4.4.1.1项中的最大磁场强度</w:t>
      </w:r>
    </w:p>
    <w:p w14:paraId="3E04AA52">
      <w:pPr>
        <w:spacing w:line="360" w:lineRule="auto"/>
        <w:rPr>
          <w:sz w:val="24"/>
        </w:rPr>
      </w:pPr>
      <w:r>
        <w:rPr>
          <w:rFonts w:hint="eastAsia"/>
          <w:sz w:val="24"/>
        </w:rPr>
        <w:t>#4.4.2.3 稳定性：≤1.0 x 10^-6，以保证磁场稳定性（要求提供生产厂家官方网站截图作为依据）。</w:t>
      </w:r>
    </w:p>
    <w:p w14:paraId="5406D106">
      <w:pPr>
        <w:spacing w:line="360" w:lineRule="auto"/>
        <w:rPr>
          <w:sz w:val="24"/>
        </w:rPr>
      </w:pPr>
    </w:p>
    <w:p w14:paraId="248DA6BA">
      <w:pPr>
        <w:spacing w:line="360" w:lineRule="auto"/>
        <w:rPr>
          <w:sz w:val="24"/>
        </w:rPr>
      </w:pPr>
      <w:r>
        <w:rPr>
          <w:rFonts w:hint="eastAsia"/>
          <w:sz w:val="24"/>
        </w:rPr>
        <w:t>4.5、场控制器性能要求：</w:t>
      </w:r>
    </w:p>
    <w:p w14:paraId="6941F559">
      <w:pPr>
        <w:spacing w:line="360" w:lineRule="auto"/>
        <w:rPr>
          <w:sz w:val="24"/>
        </w:rPr>
      </w:pPr>
      <w:r>
        <w:rPr>
          <w:rFonts w:hint="eastAsia"/>
          <w:sz w:val="24"/>
        </w:rPr>
        <w:t>4.5.1一次磁场扫描的最大扫描范围：-18 kG 至 +18 kG，（提供能够体现该参数设置的截图作为依据）；</w:t>
      </w:r>
    </w:p>
    <w:p w14:paraId="226E57FC">
      <w:pPr>
        <w:spacing w:line="360" w:lineRule="auto"/>
        <w:rPr>
          <w:sz w:val="24"/>
        </w:rPr>
      </w:pPr>
      <w:r>
        <w:rPr>
          <w:rFonts w:hint="eastAsia"/>
          <w:sz w:val="24"/>
        </w:rPr>
        <w:t>4.5.2 全程磁场准确度优于500mG</w:t>
      </w:r>
    </w:p>
    <w:p w14:paraId="7E3233A9">
      <w:pPr>
        <w:spacing w:line="360" w:lineRule="auto"/>
        <w:rPr>
          <w:sz w:val="24"/>
        </w:rPr>
      </w:pPr>
      <w:r>
        <w:rPr>
          <w:rFonts w:hint="eastAsia"/>
          <w:sz w:val="24"/>
        </w:rPr>
        <w:t>#4.5.3磁场扫描速度：≧ 1500G/5s (提供BDPA为标样，扫宽为100G，采样时间为0.5s测试得到的无畸变、上下对称的一次微分谱图为证据)；</w:t>
      </w:r>
    </w:p>
    <w:p w14:paraId="66F4E7C8">
      <w:pPr>
        <w:spacing w:line="360" w:lineRule="auto"/>
        <w:rPr>
          <w:sz w:val="24"/>
        </w:rPr>
      </w:pPr>
      <w:r>
        <w:rPr>
          <w:rFonts w:hint="eastAsia"/>
          <w:sz w:val="24"/>
        </w:rPr>
        <w:t>4.5.4 最大数据采集点数：256000点</w:t>
      </w:r>
    </w:p>
    <w:p w14:paraId="5C6CDA91">
      <w:pPr>
        <w:spacing w:line="360" w:lineRule="auto"/>
        <w:rPr>
          <w:sz w:val="24"/>
        </w:rPr>
      </w:pPr>
      <w:r>
        <w:rPr>
          <w:rFonts w:hint="eastAsia"/>
          <w:sz w:val="24"/>
        </w:rPr>
        <w:t>4.5.5信号转换速率：320微秒/点～ 5秒/点(以BDPA为标样，扫宽为100G，转换时间为320微秒条件下测试得到的无畸变、上下对称的一次微分谱图作为证据)</w:t>
      </w:r>
    </w:p>
    <w:p w14:paraId="5709D0A1">
      <w:pPr>
        <w:spacing w:line="360" w:lineRule="auto"/>
        <w:rPr>
          <w:sz w:val="24"/>
        </w:rPr>
      </w:pPr>
    </w:p>
    <w:p w14:paraId="2E95962B">
      <w:pPr>
        <w:spacing w:line="360" w:lineRule="auto"/>
        <w:rPr>
          <w:sz w:val="24"/>
        </w:rPr>
      </w:pPr>
      <w:r>
        <w:rPr>
          <w:rFonts w:hint="eastAsia"/>
          <w:sz w:val="24"/>
        </w:rPr>
        <w:t>4.6、信号处理单元性能要求：</w:t>
      </w:r>
    </w:p>
    <w:p w14:paraId="3BAEB5C1">
      <w:pPr>
        <w:spacing w:line="360" w:lineRule="auto"/>
        <w:rPr>
          <w:rFonts w:cs="Calibri"/>
          <w:sz w:val="24"/>
        </w:rPr>
      </w:pPr>
      <w:r>
        <w:rPr>
          <w:rFonts w:hint="eastAsia"/>
          <w:sz w:val="24"/>
        </w:rPr>
        <w:t>#4.6.1 检测带宽： 30MHz；2个独立的输入通道；每通道允许4 路常规信号输入（提供仪器上这些接口的图片为证据）；有外部触发接口：可由外到内/由内到外触发（提供仪器上这些接口的图片为证据）；</w:t>
      </w:r>
    </w:p>
    <w:p w14:paraId="387F878D">
      <w:pPr>
        <w:spacing w:line="360" w:lineRule="auto"/>
        <w:rPr>
          <w:sz w:val="24"/>
        </w:rPr>
      </w:pPr>
      <w:r>
        <w:rPr>
          <w:rFonts w:hint="eastAsia"/>
          <w:sz w:val="24"/>
        </w:rPr>
        <w:t>4.6.2检测模式：锁相，快扫和瞬态三种模式（要求分别提供三种检测模式的操作软件参数设置截图以及三种模式采集到的谱图作为依据）。</w:t>
      </w:r>
    </w:p>
    <w:p w14:paraId="0F800F48">
      <w:pPr>
        <w:spacing w:line="360" w:lineRule="auto"/>
        <w:rPr>
          <w:sz w:val="24"/>
        </w:rPr>
      </w:pPr>
      <w:r>
        <w:rPr>
          <w:rFonts w:hint="eastAsia"/>
          <w:sz w:val="24"/>
        </w:rPr>
        <w:t>4.6.2.1锁相模式</w:t>
      </w:r>
    </w:p>
    <w:p w14:paraId="3ED6F594">
      <w:pPr>
        <w:spacing w:line="360" w:lineRule="auto"/>
        <w:rPr>
          <w:sz w:val="24"/>
        </w:rPr>
      </w:pPr>
      <w:r>
        <w:rPr>
          <w:rFonts w:hint="eastAsia"/>
          <w:sz w:val="24"/>
        </w:rPr>
        <w:t>#4.6.2.1.1频率范围：80Hz 到200 kHz（要求提供生产厂家官方网站截图，并提供BDPA样品在频率范围内的10个不同频率下（必须包括200 kHz这一频率）测试的谱图为依据）。可实现最高5 阶谐波同时检测（要求提供生产厂家官方网站截图，并提供仪器测试BDPA样品同时检测得到的5阶谐波谱图为依据）。</w:t>
      </w:r>
    </w:p>
    <w:p w14:paraId="5797FFFD">
      <w:pPr>
        <w:spacing w:line="360" w:lineRule="auto"/>
        <w:rPr>
          <w:sz w:val="24"/>
        </w:rPr>
      </w:pPr>
      <w:r>
        <w:rPr>
          <w:rFonts w:hint="eastAsia"/>
          <w:sz w:val="24"/>
        </w:rPr>
        <w:t>4.6.2.1.2在规定频率范围内，对任何频率的幅度和相位进行自动定标</w:t>
      </w:r>
    </w:p>
    <w:p w14:paraId="7D4462D9">
      <w:pPr>
        <w:spacing w:line="360" w:lineRule="auto"/>
        <w:rPr>
          <w:sz w:val="24"/>
        </w:rPr>
      </w:pPr>
      <w:r>
        <w:rPr>
          <w:rFonts w:hint="eastAsia"/>
          <w:sz w:val="24"/>
        </w:rPr>
        <w:t>4.6.2.1.3相位分辨率：0.1º</w:t>
      </w:r>
    </w:p>
    <w:p w14:paraId="33577776">
      <w:pPr>
        <w:spacing w:line="360" w:lineRule="auto"/>
        <w:rPr>
          <w:sz w:val="24"/>
        </w:rPr>
      </w:pPr>
      <w:r>
        <w:rPr>
          <w:rFonts w:hint="eastAsia"/>
          <w:sz w:val="24"/>
        </w:rPr>
        <w:t>#4.6.2.2 快扫模式：普遍适用于常规体系，毫秒级响应。</w:t>
      </w:r>
    </w:p>
    <w:p w14:paraId="3D8EB28C">
      <w:pPr>
        <w:spacing w:line="360" w:lineRule="auto"/>
        <w:rPr>
          <w:sz w:val="24"/>
        </w:rPr>
      </w:pPr>
      <w:r>
        <w:rPr>
          <w:rFonts w:hint="eastAsia"/>
          <w:sz w:val="24"/>
        </w:rPr>
        <w:t>独立的快扫线圈，快扫磁场可由采集软件控制，最大磁场扫描范围：≥200G；</w:t>
      </w:r>
    </w:p>
    <w:p w14:paraId="2664860B">
      <w:pPr>
        <w:spacing w:line="360" w:lineRule="auto"/>
        <w:rPr>
          <w:sz w:val="24"/>
        </w:rPr>
      </w:pPr>
      <w:r>
        <w:rPr>
          <w:rFonts w:hint="eastAsia"/>
          <w:sz w:val="24"/>
        </w:rPr>
        <w:t>扫描速率：最快6 ms扫描200 G（以及快扫模式下参数设置截图以及采集到的谱图作为依据）；</w:t>
      </w:r>
    </w:p>
    <w:p w14:paraId="79771E06">
      <w:pPr>
        <w:spacing w:line="360" w:lineRule="auto"/>
        <w:rPr>
          <w:sz w:val="24"/>
        </w:rPr>
      </w:pPr>
      <w:r>
        <w:rPr>
          <w:rFonts w:hint="eastAsia"/>
          <w:sz w:val="24"/>
        </w:rPr>
        <w:t>采样点数≥16000点（以能够体现该采样点数的参数设置截图为依据）</w:t>
      </w:r>
    </w:p>
    <w:p w14:paraId="69C7B7B3">
      <w:pPr>
        <w:spacing w:line="360" w:lineRule="auto"/>
        <w:rPr>
          <w:sz w:val="24"/>
        </w:rPr>
      </w:pPr>
    </w:p>
    <w:p w14:paraId="2DDF410B">
      <w:pPr>
        <w:spacing w:line="360" w:lineRule="auto"/>
        <w:rPr>
          <w:sz w:val="24"/>
        </w:rPr>
      </w:pPr>
      <w:r>
        <w:rPr>
          <w:rFonts w:hint="eastAsia"/>
          <w:sz w:val="24"/>
        </w:rPr>
        <w:t xml:space="preserve">#4.6.2.3 瞬态模式：主要用于化学诱导动态自旋极化实验中的三重态或自由基对。   </w:t>
      </w:r>
    </w:p>
    <w:p w14:paraId="68CF15DD">
      <w:pPr>
        <w:spacing w:line="360" w:lineRule="auto"/>
        <w:rPr>
          <w:sz w:val="24"/>
        </w:rPr>
      </w:pPr>
      <w:r>
        <w:rPr>
          <w:rFonts w:hint="eastAsia"/>
          <w:sz w:val="24"/>
        </w:rPr>
        <w:t>采样速率：125 MHz（能够体现该采样速率的参数设置的截图作为依据）；</w:t>
      </w:r>
      <w:r>
        <w:rPr>
          <w:sz w:val="24"/>
        </w:rPr>
        <w:t xml:space="preserve"> </w:t>
      </w:r>
    </w:p>
    <w:p w14:paraId="6B86BB70">
      <w:pPr>
        <w:spacing w:line="360" w:lineRule="auto"/>
        <w:rPr>
          <w:sz w:val="24"/>
        </w:rPr>
      </w:pPr>
      <w:r>
        <w:rPr>
          <w:rFonts w:hint="eastAsia"/>
          <w:sz w:val="24"/>
        </w:rPr>
        <w:t>采样点数≥16000点（以能够体现该采样点数的参数设置截图为依据）；单次采集的信号幅度分辨率14 bit;</w:t>
      </w:r>
      <w:r>
        <w:rPr>
          <w:sz w:val="24"/>
        </w:rPr>
        <w:t xml:space="preserve"> </w:t>
      </w:r>
    </w:p>
    <w:p w14:paraId="2AD1B711">
      <w:pPr>
        <w:spacing w:line="360" w:lineRule="auto"/>
        <w:rPr>
          <w:sz w:val="24"/>
        </w:rPr>
      </w:pPr>
    </w:p>
    <w:p w14:paraId="4A68D8EC">
      <w:pPr>
        <w:spacing w:line="360" w:lineRule="auto"/>
        <w:rPr>
          <w:sz w:val="24"/>
        </w:rPr>
      </w:pPr>
      <w:r>
        <w:rPr>
          <w:rFonts w:hint="eastAsia"/>
          <w:sz w:val="24"/>
        </w:rPr>
        <w:t>4.7、调制功率放大器：频率范围：</w:t>
      </w:r>
      <w:r>
        <w:rPr>
          <w:sz w:val="24"/>
        </w:rPr>
        <w:t>500 Hz – 120 kHz；</w:t>
      </w:r>
    </w:p>
    <w:p w14:paraId="3356B618">
      <w:pPr>
        <w:spacing w:line="360" w:lineRule="auto"/>
        <w:rPr>
          <w:sz w:val="24"/>
        </w:rPr>
      </w:pPr>
    </w:p>
    <w:p w14:paraId="209480D3">
      <w:pPr>
        <w:spacing w:line="360" w:lineRule="auto"/>
        <w:rPr>
          <w:sz w:val="24"/>
        </w:rPr>
      </w:pPr>
      <w:r>
        <w:rPr>
          <w:rFonts w:hint="eastAsia"/>
          <w:sz w:val="24"/>
        </w:rPr>
        <w:t>4.8、控制系统及控制软件</w:t>
      </w:r>
    </w:p>
    <w:p w14:paraId="7C1EEAC7">
      <w:pPr>
        <w:spacing w:line="360" w:lineRule="auto"/>
        <w:rPr>
          <w:sz w:val="24"/>
        </w:rPr>
      </w:pPr>
      <w:r>
        <w:rPr>
          <w:rFonts w:hint="eastAsia"/>
          <w:sz w:val="24"/>
        </w:rPr>
        <w:t>4.8.1 22寸或以上高分辨显示屏的高性能计算机，计算机各种硬件配置(图像、数据储存介质)齐全、可靠和稳定。</w:t>
      </w:r>
    </w:p>
    <w:p w14:paraId="4921C31D">
      <w:pPr>
        <w:spacing w:line="360" w:lineRule="auto"/>
        <w:rPr>
          <w:sz w:val="24"/>
        </w:rPr>
      </w:pPr>
      <w:r>
        <w:rPr>
          <w:rFonts w:hint="eastAsia"/>
          <w:sz w:val="24"/>
        </w:rPr>
        <w:t>4.8.2在图型界面人机交互系统上运行的最新的用于电子顺磁共振实验的谱仪控制、数据采集及谱图处理、拟合的全套软件。控制软件应至少具有如下功能：</w:t>
      </w:r>
    </w:p>
    <w:p w14:paraId="2F46FBE3">
      <w:pPr>
        <w:spacing w:line="360" w:lineRule="auto"/>
        <w:rPr>
          <w:sz w:val="24"/>
        </w:rPr>
      </w:pPr>
      <w:r>
        <w:rPr>
          <w:rFonts w:hint="eastAsia"/>
          <w:sz w:val="24"/>
        </w:rPr>
        <w:t>4.8.2.1  EPR参数设置</w:t>
      </w:r>
    </w:p>
    <w:p w14:paraId="513A10D3">
      <w:pPr>
        <w:spacing w:line="360" w:lineRule="auto"/>
        <w:rPr>
          <w:sz w:val="24"/>
        </w:rPr>
      </w:pPr>
      <w:r>
        <w:rPr>
          <w:rFonts w:hint="eastAsia"/>
          <w:sz w:val="24"/>
        </w:rPr>
        <w:t>4.8.2.2  g值显示</w:t>
      </w:r>
    </w:p>
    <w:p w14:paraId="3BA454EE">
      <w:pPr>
        <w:spacing w:line="360" w:lineRule="auto"/>
        <w:rPr>
          <w:sz w:val="24"/>
        </w:rPr>
      </w:pPr>
      <w:r>
        <w:rPr>
          <w:rFonts w:hint="eastAsia"/>
          <w:sz w:val="24"/>
        </w:rPr>
        <w:t>*4.8.2.3 无需标样的绝对自旋量子数计算（误差不高于10%）。</w:t>
      </w:r>
    </w:p>
    <w:p w14:paraId="2A5B05FB">
      <w:pPr>
        <w:spacing w:line="360" w:lineRule="auto"/>
        <w:rPr>
          <w:sz w:val="24"/>
        </w:rPr>
      </w:pPr>
      <w:r>
        <w:rPr>
          <w:rFonts w:hint="eastAsia"/>
          <w:sz w:val="24"/>
        </w:rPr>
        <w:t>#4.8.2.4  自旋拟合功能，带有自旋捕获数据库（提供具有各向同性谱和各向异性谱拟合功能和数据库的软件界面截图为证据）。</w:t>
      </w:r>
    </w:p>
    <w:p w14:paraId="010127A8">
      <w:pPr>
        <w:spacing w:line="360" w:lineRule="auto"/>
        <w:rPr>
          <w:sz w:val="24"/>
        </w:rPr>
      </w:pPr>
      <w:r>
        <w:rPr>
          <w:rFonts w:hint="eastAsia"/>
          <w:sz w:val="24"/>
        </w:rPr>
        <w:t xml:space="preserve">4.8.2.5  在线帮助功能 </w:t>
      </w:r>
    </w:p>
    <w:p w14:paraId="245B17B9">
      <w:pPr>
        <w:spacing w:line="360" w:lineRule="auto"/>
        <w:rPr>
          <w:sz w:val="24"/>
        </w:rPr>
      </w:pPr>
      <w:r>
        <w:rPr>
          <w:rFonts w:hint="eastAsia"/>
          <w:sz w:val="24"/>
        </w:rPr>
        <w:t>4.8.2.6 数据处理功能：拾峰；积分、微分；谱图的数学处理；多项式和指数拟合； 高斯线型、洛仑兹线型或混合线型的线性拟合；复合的基线拟合；滤波；饱和效应的P1/2 拟合分析等。</w:t>
      </w:r>
    </w:p>
    <w:p w14:paraId="55A9D6D2">
      <w:pPr>
        <w:spacing w:line="360" w:lineRule="auto"/>
        <w:rPr>
          <w:sz w:val="24"/>
        </w:rPr>
      </w:pPr>
      <w:r>
        <w:rPr>
          <w:rFonts w:hint="eastAsia"/>
          <w:sz w:val="24"/>
        </w:rPr>
        <w:t>4.2.2.7 图形界面：一维谱图的线、点、数字、距离和柱状图显示；二维谱图的栈图，等高线、密度显示；三维栈图显示；峰位置，幅度，距离和g-值的显示。</w:t>
      </w:r>
    </w:p>
    <w:p w14:paraId="6FA3079F">
      <w:pPr>
        <w:spacing w:line="360" w:lineRule="auto"/>
        <w:rPr>
          <w:sz w:val="24"/>
        </w:rPr>
      </w:pPr>
    </w:p>
    <w:p w14:paraId="5C68524D">
      <w:pPr>
        <w:spacing w:line="360" w:lineRule="auto"/>
        <w:jc w:val="left"/>
        <w:rPr>
          <w:sz w:val="24"/>
        </w:rPr>
      </w:pPr>
      <w:r>
        <w:rPr>
          <w:rFonts w:hint="eastAsia"/>
          <w:sz w:val="24"/>
        </w:rPr>
        <w:t>4.10附件（必须含有以下所有附件）：</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412"/>
        <w:gridCol w:w="2441"/>
        <w:gridCol w:w="722"/>
        <w:gridCol w:w="1913"/>
      </w:tblGrid>
      <w:tr w14:paraId="7999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292A316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序号</w:t>
            </w:r>
          </w:p>
        </w:tc>
        <w:tc>
          <w:tcPr>
            <w:tcW w:w="2412" w:type="dxa"/>
          </w:tcPr>
          <w:p w14:paraId="52B65007">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配置</w:t>
            </w:r>
          </w:p>
        </w:tc>
        <w:tc>
          <w:tcPr>
            <w:tcW w:w="2441" w:type="dxa"/>
          </w:tcPr>
          <w:p w14:paraId="3728EFF0">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具体要求</w:t>
            </w:r>
          </w:p>
        </w:tc>
        <w:tc>
          <w:tcPr>
            <w:tcW w:w="722" w:type="dxa"/>
          </w:tcPr>
          <w:p w14:paraId="3889AA65">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数量</w:t>
            </w:r>
          </w:p>
        </w:tc>
        <w:tc>
          <w:tcPr>
            <w:tcW w:w="1913" w:type="dxa"/>
          </w:tcPr>
          <w:p w14:paraId="145AC73A">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备注</w:t>
            </w:r>
          </w:p>
        </w:tc>
      </w:tr>
      <w:tr w14:paraId="1BE8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171E88FA">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w:t>
            </w:r>
          </w:p>
        </w:tc>
        <w:tc>
          <w:tcPr>
            <w:tcW w:w="2412" w:type="dxa"/>
          </w:tcPr>
          <w:p w14:paraId="09798BDB">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液氮变温单元</w:t>
            </w:r>
          </w:p>
        </w:tc>
        <w:tc>
          <w:tcPr>
            <w:tcW w:w="2441" w:type="dxa"/>
          </w:tcPr>
          <w:p w14:paraId="16F70A68">
            <w:pPr>
              <w:spacing w:line="360" w:lineRule="auto"/>
              <w:jc w:val="center"/>
              <w:rPr>
                <w:rFonts w:ascii="Times New Roman" w:hAnsi="Times New Roman" w:eastAsia="宋体" w:cstheme="minorBidi"/>
                <w:sz w:val="24"/>
              </w:rPr>
            </w:pPr>
            <w:r>
              <w:rPr>
                <w:rFonts w:ascii="Times New Roman" w:hAnsi="Times New Roman" w:eastAsia="宋体" w:cstheme="minorBidi"/>
                <w:sz w:val="24"/>
              </w:rPr>
              <w:t>温度范围至少包含</w:t>
            </w:r>
            <w:r>
              <w:rPr>
                <w:rFonts w:hint="eastAsia" w:ascii="Times New Roman" w:hAnsi="Times New Roman" w:eastAsia="宋体" w:cstheme="minorBidi"/>
                <w:sz w:val="24"/>
              </w:rPr>
              <w:t>100K-600K</w:t>
            </w:r>
            <w:r>
              <w:rPr>
                <w:rFonts w:ascii="Times New Roman" w:hAnsi="Times New Roman" w:eastAsia="宋体" w:cstheme="minorBidi"/>
                <w:sz w:val="24"/>
              </w:rPr>
              <w:t>，</w:t>
            </w:r>
            <w:r>
              <w:rPr>
                <w:rFonts w:hint="eastAsia" w:ascii="Times New Roman" w:hAnsi="Times New Roman" w:eastAsia="宋体" w:cstheme="minorBidi"/>
                <w:sz w:val="24"/>
              </w:rPr>
              <w:t>稳定性≤±</w:t>
            </w:r>
            <w:r>
              <w:rPr>
                <w:rFonts w:ascii="Times New Roman" w:hAnsi="Times New Roman" w:eastAsia="宋体" w:cstheme="minorBidi"/>
                <w:sz w:val="24"/>
              </w:rPr>
              <w:t xml:space="preserve"> 0.</w:t>
            </w:r>
            <w:r>
              <w:rPr>
                <w:rFonts w:hint="eastAsia" w:ascii="Times New Roman" w:hAnsi="Times New Roman" w:eastAsia="宋体" w:cstheme="minorBidi"/>
                <w:sz w:val="24"/>
              </w:rPr>
              <w:t>1</w:t>
            </w:r>
            <w:r>
              <w:rPr>
                <w:rFonts w:ascii="Times New Roman" w:hAnsi="Times New Roman" w:eastAsia="宋体" w:cstheme="minorBidi"/>
                <w:sz w:val="24"/>
              </w:rPr>
              <w:t>K</w:t>
            </w:r>
            <w:r>
              <w:rPr>
                <w:rFonts w:hint="eastAsia" w:ascii="Times New Roman" w:hAnsi="Times New Roman" w:eastAsia="宋体" w:cstheme="minorBidi"/>
                <w:sz w:val="24"/>
              </w:rPr>
              <w:t>。</w:t>
            </w:r>
            <w:r>
              <w:rPr>
                <w:rFonts w:ascii="Times New Roman" w:hAnsi="Times New Roman" w:eastAsia="宋体" w:cstheme="minorBidi"/>
                <w:sz w:val="24"/>
              </w:rPr>
              <w:t>25L液氮罐，金属传输线/液氮蒸发器组合，加热丝和电热偶组合，插入式杜瓦，</w:t>
            </w:r>
            <w:r>
              <w:rPr>
                <w:rFonts w:hint="eastAsia" w:ascii="Times New Roman" w:hAnsi="Times New Roman" w:eastAsia="宋体" w:cstheme="minorBidi"/>
                <w:sz w:val="24"/>
              </w:rPr>
              <w:t>冷却设备（用于400K-600K范围内的变温实验）。</w:t>
            </w:r>
          </w:p>
        </w:tc>
        <w:tc>
          <w:tcPr>
            <w:tcW w:w="722" w:type="dxa"/>
          </w:tcPr>
          <w:p w14:paraId="1E56F3F3">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08D985A6">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要求提供附件照片和在采集软件界面上显示使用液氮变温系统时样品温度达到了</w:t>
            </w:r>
            <w:r>
              <w:rPr>
                <w:rFonts w:ascii="Times New Roman" w:hAnsi="Times New Roman" w:eastAsia="宋体" w:cstheme="minorBidi"/>
                <w:sz w:val="24"/>
              </w:rPr>
              <w:t>100K和600K的截图为依据</w:t>
            </w:r>
            <w:r>
              <w:rPr>
                <w:rFonts w:hint="eastAsia" w:ascii="Times New Roman" w:hAnsi="Times New Roman" w:eastAsia="宋体" w:cstheme="minorBidi"/>
                <w:sz w:val="24"/>
              </w:rPr>
              <w:t>。</w:t>
            </w:r>
          </w:p>
        </w:tc>
      </w:tr>
      <w:tr w14:paraId="2B3E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53A5BB6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3</w:t>
            </w:r>
          </w:p>
        </w:tc>
        <w:tc>
          <w:tcPr>
            <w:tcW w:w="2412" w:type="dxa"/>
          </w:tcPr>
          <w:p w14:paraId="18138463">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极性溶液样品池</w:t>
            </w:r>
          </w:p>
        </w:tc>
        <w:tc>
          <w:tcPr>
            <w:tcW w:w="2441" w:type="dxa"/>
          </w:tcPr>
          <w:p w14:paraId="3FCA8A41">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用于信号弱，极性溶剂中样品的检测，可进行连续流动进样测量，无需特殊支架。</w:t>
            </w:r>
          </w:p>
        </w:tc>
        <w:tc>
          <w:tcPr>
            <w:tcW w:w="722" w:type="dxa"/>
          </w:tcPr>
          <w:p w14:paraId="5826B39B">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5FC532E6">
            <w:pPr>
              <w:spacing w:line="360" w:lineRule="auto"/>
              <w:jc w:val="center"/>
              <w:rPr>
                <w:rFonts w:ascii="Times New Roman" w:hAnsi="Times New Roman" w:eastAsia="宋体" w:cstheme="minorBidi"/>
                <w:sz w:val="24"/>
              </w:rPr>
            </w:pPr>
            <w:r>
              <w:rPr>
                <w:rFonts w:ascii="Times New Roman" w:hAnsi="Times New Roman" w:eastAsia="宋体" w:cstheme="minorBidi"/>
                <w:sz w:val="24"/>
              </w:rPr>
              <w:t>要求提供</w:t>
            </w:r>
            <w:r>
              <w:rPr>
                <w:rFonts w:hint="eastAsia" w:ascii="Times New Roman" w:hAnsi="Times New Roman" w:eastAsia="宋体" w:cstheme="minorBidi"/>
                <w:sz w:val="24"/>
              </w:rPr>
              <w:t>附件照片和进行连续流量测量使用时的照片。</w:t>
            </w:r>
          </w:p>
        </w:tc>
      </w:tr>
      <w:tr w14:paraId="23E5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192D0B0D">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4</w:t>
            </w:r>
          </w:p>
        </w:tc>
        <w:tc>
          <w:tcPr>
            <w:tcW w:w="2412" w:type="dxa"/>
          </w:tcPr>
          <w:p w14:paraId="700DC39E">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石英样品管</w:t>
            </w:r>
          </w:p>
        </w:tc>
        <w:tc>
          <w:tcPr>
            <w:tcW w:w="2441" w:type="dxa"/>
          </w:tcPr>
          <w:p w14:paraId="5B1672B1">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外径5 mm/内径4 mm</w:t>
            </w:r>
          </w:p>
        </w:tc>
        <w:tc>
          <w:tcPr>
            <w:tcW w:w="722" w:type="dxa"/>
          </w:tcPr>
          <w:p w14:paraId="073AD888">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50支</w:t>
            </w:r>
          </w:p>
        </w:tc>
        <w:tc>
          <w:tcPr>
            <w:tcW w:w="1913" w:type="dxa"/>
          </w:tcPr>
          <w:p w14:paraId="77917FEB">
            <w:pPr>
              <w:spacing w:line="360" w:lineRule="auto"/>
              <w:jc w:val="center"/>
              <w:rPr>
                <w:rFonts w:ascii="Times New Roman" w:hAnsi="Times New Roman" w:eastAsia="宋体" w:cstheme="minorBidi"/>
                <w:sz w:val="24"/>
              </w:rPr>
            </w:pPr>
          </w:p>
        </w:tc>
      </w:tr>
      <w:tr w14:paraId="452E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2D277550">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5</w:t>
            </w:r>
          </w:p>
        </w:tc>
        <w:tc>
          <w:tcPr>
            <w:tcW w:w="2412" w:type="dxa"/>
          </w:tcPr>
          <w:p w14:paraId="5DCC38CE">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石英样品管</w:t>
            </w:r>
          </w:p>
        </w:tc>
        <w:tc>
          <w:tcPr>
            <w:tcW w:w="2441" w:type="dxa"/>
          </w:tcPr>
          <w:p w14:paraId="7EAC2042">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外径4 mm/内径3 mm</w:t>
            </w:r>
          </w:p>
        </w:tc>
        <w:tc>
          <w:tcPr>
            <w:tcW w:w="722" w:type="dxa"/>
          </w:tcPr>
          <w:p w14:paraId="2C5E739F">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50支</w:t>
            </w:r>
          </w:p>
        </w:tc>
        <w:tc>
          <w:tcPr>
            <w:tcW w:w="1913" w:type="dxa"/>
          </w:tcPr>
          <w:p w14:paraId="3E86671D">
            <w:pPr>
              <w:spacing w:line="360" w:lineRule="auto"/>
              <w:jc w:val="center"/>
              <w:rPr>
                <w:rFonts w:ascii="Times New Roman" w:hAnsi="Times New Roman" w:eastAsia="宋体" w:cstheme="minorBidi"/>
                <w:sz w:val="24"/>
              </w:rPr>
            </w:pPr>
          </w:p>
        </w:tc>
      </w:tr>
      <w:tr w14:paraId="28F3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28DF5778">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6</w:t>
            </w:r>
          </w:p>
        </w:tc>
        <w:tc>
          <w:tcPr>
            <w:tcW w:w="2412" w:type="dxa"/>
          </w:tcPr>
          <w:p w14:paraId="1B2B6E1D">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玻璃毛细管样品管</w:t>
            </w:r>
          </w:p>
        </w:tc>
        <w:tc>
          <w:tcPr>
            <w:tcW w:w="2441" w:type="dxa"/>
          </w:tcPr>
          <w:p w14:paraId="6C2C0801">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容量为50μl</w:t>
            </w:r>
          </w:p>
        </w:tc>
        <w:tc>
          <w:tcPr>
            <w:tcW w:w="722" w:type="dxa"/>
          </w:tcPr>
          <w:p w14:paraId="703BF46A">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2000支</w:t>
            </w:r>
          </w:p>
        </w:tc>
        <w:tc>
          <w:tcPr>
            <w:tcW w:w="1913" w:type="dxa"/>
          </w:tcPr>
          <w:p w14:paraId="471C6FA2">
            <w:pPr>
              <w:spacing w:line="360" w:lineRule="auto"/>
              <w:jc w:val="center"/>
              <w:rPr>
                <w:rFonts w:ascii="Times New Roman" w:hAnsi="Times New Roman" w:eastAsia="宋体" w:cstheme="minorBidi"/>
                <w:sz w:val="24"/>
              </w:rPr>
            </w:pPr>
          </w:p>
        </w:tc>
      </w:tr>
      <w:tr w14:paraId="2A14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1DC42952">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7</w:t>
            </w:r>
          </w:p>
        </w:tc>
        <w:tc>
          <w:tcPr>
            <w:tcW w:w="2412" w:type="dxa"/>
          </w:tcPr>
          <w:p w14:paraId="0971F89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紫外光照单元</w:t>
            </w:r>
          </w:p>
        </w:tc>
        <w:tc>
          <w:tcPr>
            <w:tcW w:w="2441" w:type="dxa"/>
          </w:tcPr>
          <w:p w14:paraId="745AB5D5">
            <w:pPr>
              <w:spacing w:line="360" w:lineRule="auto"/>
              <w:jc w:val="center"/>
              <w:rPr>
                <w:rFonts w:ascii="Times New Roman" w:hAnsi="Times New Roman" w:eastAsia="宋体" w:cstheme="minorBidi"/>
                <w:sz w:val="24"/>
              </w:rPr>
            </w:pPr>
            <w:r>
              <w:rPr>
                <w:rFonts w:ascii="Times New Roman" w:hAnsi="Times New Roman" w:eastAsia="宋体" w:cstheme="minorBidi"/>
                <w:sz w:val="24"/>
              </w:rPr>
              <w:t>100W高压汞灯，波长范围200-2000 nm，聚焦装置，电源等</w:t>
            </w:r>
            <w:r>
              <w:rPr>
                <w:rFonts w:hint="eastAsia" w:ascii="Times New Roman" w:hAnsi="Times New Roman" w:eastAsia="宋体" w:cstheme="minorBidi"/>
                <w:sz w:val="24"/>
              </w:rPr>
              <w:t>。</w:t>
            </w:r>
          </w:p>
        </w:tc>
        <w:tc>
          <w:tcPr>
            <w:tcW w:w="722" w:type="dxa"/>
          </w:tcPr>
          <w:p w14:paraId="56FEABAE">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030D236E">
            <w:pPr>
              <w:spacing w:line="360" w:lineRule="auto"/>
              <w:jc w:val="center"/>
              <w:rPr>
                <w:rFonts w:ascii="Times New Roman" w:hAnsi="Times New Roman" w:eastAsia="宋体" w:cstheme="minorBidi"/>
                <w:sz w:val="24"/>
              </w:rPr>
            </w:pPr>
          </w:p>
        </w:tc>
      </w:tr>
      <w:tr w14:paraId="4971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017CA9F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8</w:t>
            </w:r>
          </w:p>
        </w:tc>
        <w:tc>
          <w:tcPr>
            <w:tcW w:w="2412" w:type="dxa"/>
          </w:tcPr>
          <w:p w14:paraId="2691761F">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工作站及软件</w:t>
            </w:r>
          </w:p>
        </w:tc>
        <w:tc>
          <w:tcPr>
            <w:tcW w:w="2441" w:type="dxa"/>
          </w:tcPr>
          <w:p w14:paraId="356D53BD">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英文版</w:t>
            </w:r>
          </w:p>
        </w:tc>
        <w:tc>
          <w:tcPr>
            <w:tcW w:w="722" w:type="dxa"/>
          </w:tcPr>
          <w:p w14:paraId="3E323BC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282C6025">
            <w:pPr>
              <w:spacing w:line="360" w:lineRule="auto"/>
              <w:jc w:val="center"/>
              <w:rPr>
                <w:rFonts w:ascii="Times New Roman" w:hAnsi="Times New Roman" w:eastAsia="宋体" w:cstheme="minorBidi"/>
                <w:sz w:val="24"/>
              </w:rPr>
            </w:pPr>
          </w:p>
        </w:tc>
      </w:tr>
      <w:tr w14:paraId="50530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142EE9DF">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9</w:t>
            </w:r>
          </w:p>
        </w:tc>
        <w:tc>
          <w:tcPr>
            <w:tcW w:w="2412" w:type="dxa"/>
          </w:tcPr>
          <w:p w14:paraId="66CEDE03">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循环水冷机</w:t>
            </w:r>
          </w:p>
        </w:tc>
        <w:tc>
          <w:tcPr>
            <w:tcW w:w="2441" w:type="dxa"/>
          </w:tcPr>
          <w:p w14:paraId="2927F64D">
            <w:pPr>
              <w:spacing w:line="360" w:lineRule="auto"/>
              <w:jc w:val="center"/>
              <w:rPr>
                <w:rFonts w:ascii="Times New Roman" w:hAnsi="Times New Roman" w:eastAsia="宋体" w:cstheme="minorBidi"/>
                <w:sz w:val="24"/>
              </w:rPr>
            </w:pPr>
            <w:r>
              <w:rPr>
                <w:rFonts w:ascii="Times New Roman" w:hAnsi="Times New Roman" w:eastAsia="宋体" w:cstheme="minorBidi"/>
                <w:sz w:val="24"/>
              </w:rPr>
              <w:t>制冷功率8 kW</w:t>
            </w:r>
          </w:p>
        </w:tc>
        <w:tc>
          <w:tcPr>
            <w:tcW w:w="722" w:type="dxa"/>
          </w:tcPr>
          <w:p w14:paraId="7D20C04F">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1台</w:t>
            </w:r>
          </w:p>
        </w:tc>
        <w:tc>
          <w:tcPr>
            <w:tcW w:w="1913" w:type="dxa"/>
          </w:tcPr>
          <w:p w14:paraId="6C7E9CD2">
            <w:pPr>
              <w:spacing w:line="360" w:lineRule="auto"/>
              <w:jc w:val="center"/>
              <w:rPr>
                <w:rFonts w:ascii="Times New Roman" w:hAnsi="Times New Roman" w:eastAsia="宋体" w:cstheme="minorBidi"/>
                <w:sz w:val="24"/>
              </w:rPr>
            </w:pPr>
          </w:p>
        </w:tc>
      </w:tr>
      <w:tr w14:paraId="0174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1BBB006D">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10</w:t>
            </w:r>
          </w:p>
        </w:tc>
        <w:tc>
          <w:tcPr>
            <w:tcW w:w="2412" w:type="dxa"/>
          </w:tcPr>
          <w:p w14:paraId="700C19C8">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台式EPR电子顺磁共振波谱仪</w:t>
            </w:r>
          </w:p>
        </w:tc>
        <w:tc>
          <w:tcPr>
            <w:tcW w:w="2441" w:type="dxa"/>
          </w:tcPr>
          <w:p w14:paraId="1B45F2BD">
            <w:pPr>
              <w:spacing w:line="360" w:lineRule="auto"/>
              <w:jc w:val="left"/>
              <w:rPr>
                <w:rFonts w:ascii="Times New Roman" w:hAnsi="Times New Roman" w:eastAsia="宋体" w:cstheme="minorBidi"/>
                <w:sz w:val="24"/>
              </w:rPr>
            </w:pPr>
            <w:r>
              <w:rPr>
                <w:rFonts w:hint="eastAsia" w:ascii="Times New Roman" w:hAnsi="Times New Roman" w:eastAsia="宋体" w:cstheme="minorBidi"/>
                <w:sz w:val="24"/>
              </w:rPr>
              <w:t>1）CW X波段（</w:t>
            </w:r>
            <w:r>
              <w:rPr>
                <w:rFonts w:ascii="Times New Roman" w:hAnsi="Times New Roman" w:eastAsia="宋体" w:cstheme="minorBidi"/>
                <w:sz w:val="24"/>
              </w:rPr>
              <w:t>9.2-9.6</w:t>
            </w:r>
            <w:r>
              <w:rPr>
                <w:rFonts w:hint="eastAsia" w:ascii="Times New Roman" w:hAnsi="Times New Roman" w:eastAsia="宋体" w:cstheme="minorBidi"/>
                <w:sz w:val="24"/>
              </w:rPr>
              <w:t xml:space="preserve"> </w:t>
            </w:r>
            <w:r>
              <w:rPr>
                <w:rFonts w:ascii="Times New Roman" w:hAnsi="Times New Roman" w:eastAsia="宋体" w:cstheme="minorBidi"/>
                <w:sz w:val="24"/>
              </w:rPr>
              <w:t>GHz</w:t>
            </w:r>
            <w:r>
              <w:rPr>
                <w:rFonts w:hint="eastAsia" w:ascii="Times New Roman" w:hAnsi="Times New Roman" w:eastAsia="宋体" w:cstheme="minorBidi"/>
                <w:sz w:val="24"/>
              </w:rPr>
              <w:t>）。2）绝对自旋数目灵敏度</w:t>
            </w:r>
            <w:r>
              <w:rPr>
                <w:rFonts w:ascii="Times New Roman" w:hAnsi="Times New Roman" w:eastAsia="宋体" w:cstheme="minorBidi"/>
                <w:sz w:val="24"/>
              </w:rPr>
              <w:t>5×10^9 spins/G线宽</w:t>
            </w:r>
            <w:r>
              <w:rPr>
                <w:rFonts w:hint="eastAsia" w:ascii="Times New Roman" w:hAnsi="Times New Roman" w:eastAsia="宋体" w:cstheme="minorBidi"/>
                <w:sz w:val="24"/>
              </w:rPr>
              <w:t>，浓度灵敏度≤</w:t>
            </w:r>
            <w:r>
              <w:rPr>
                <w:rFonts w:ascii="Times New Roman" w:hAnsi="Times New Roman" w:eastAsia="宋体" w:cstheme="minorBidi"/>
                <w:sz w:val="24"/>
              </w:rPr>
              <w:t>30 pM</w:t>
            </w:r>
            <w:r>
              <w:rPr>
                <w:rFonts w:hint="eastAsia" w:ascii="Times New Roman" w:hAnsi="Times New Roman" w:eastAsia="宋体" w:cstheme="minorBidi"/>
                <w:sz w:val="24"/>
              </w:rPr>
              <w:t>。3）信噪比≥</w:t>
            </w:r>
            <w:r>
              <w:rPr>
                <w:rFonts w:ascii="Times New Roman" w:hAnsi="Times New Roman" w:eastAsia="宋体" w:cstheme="minorBidi"/>
                <w:sz w:val="24"/>
              </w:rPr>
              <w:t>600：1</w:t>
            </w:r>
            <w:r>
              <w:rPr>
                <w:rFonts w:hint="eastAsia" w:ascii="Times New Roman" w:hAnsi="Times New Roman" w:eastAsia="宋体" w:cstheme="minorBidi"/>
                <w:sz w:val="24"/>
              </w:rPr>
              <w:t>（以确定标准浓度的</w:t>
            </w:r>
            <w:r>
              <w:rPr>
                <w:rFonts w:ascii="Times New Roman" w:hAnsi="Times New Roman" w:eastAsia="宋体" w:cstheme="minorBidi"/>
                <w:sz w:val="24"/>
              </w:rPr>
              <w:t>Tempol样品为标样，在功率100mW下，检测噪音</w:t>
            </w:r>
            <w:r>
              <w:rPr>
                <w:rFonts w:hint="eastAsia" w:ascii="Times New Roman" w:hAnsi="Times New Roman" w:eastAsia="宋体" w:cstheme="minorBidi"/>
                <w:sz w:val="24"/>
              </w:rPr>
              <w:t>。）。4）</w:t>
            </w:r>
            <w:r>
              <w:rPr>
                <w:rFonts w:ascii="Times New Roman" w:hAnsi="Times New Roman" w:eastAsia="宋体" w:cstheme="minorBidi"/>
                <w:sz w:val="24"/>
              </w:rPr>
              <w:t>全自动调谐</w:t>
            </w:r>
            <w:r>
              <w:rPr>
                <w:rFonts w:hint="eastAsia" w:ascii="Times New Roman" w:hAnsi="Times New Roman" w:eastAsia="宋体" w:cstheme="minorBidi"/>
                <w:sz w:val="24"/>
              </w:rPr>
              <w:t>，</w:t>
            </w:r>
            <w:r>
              <w:rPr>
                <w:rFonts w:ascii="Times New Roman" w:hAnsi="Times New Roman" w:eastAsia="宋体" w:cstheme="minorBidi"/>
                <w:sz w:val="24"/>
              </w:rPr>
              <w:t>无需点开调谐窗口，直接点击开始按钮，软件可自行自动调谐，完成后自动开始检测数据</w:t>
            </w:r>
            <w:r>
              <w:rPr>
                <w:rFonts w:hint="eastAsia" w:ascii="Times New Roman" w:hAnsi="Times New Roman" w:eastAsia="宋体" w:cstheme="minorBidi"/>
                <w:sz w:val="24"/>
              </w:rPr>
              <w:t>；</w:t>
            </w:r>
            <w:r>
              <w:rPr>
                <w:rFonts w:ascii="Times New Roman" w:hAnsi="Times New Roman" w:eastAsia="宋体" w:cstheme="minorBidi"/>
                <w:sz w:val="24"/>
              </w:rPr>
              <w:t>自动调谐时间≤ 1 min (标样及一般非介电样品</w:t>
            </w:r>
            <w:r>
              <w:rPr>
                <w:rFonts w:hint="eastAsia" w:ascii="Times New Roman" w:hAnsi="Times New Roman" w:eastAsia="宋体" w:cstheme="minorBidi"/>
                <w:sz w:val="24"/>
              </w:rPr>
              <w:t>。</w:t>
            </w:r>
            <w:r>
              <w:rPr>
                <w:rFonts w:ascii="Times New Roman" w:hAnsi="Times New Roman" w:eastAsia="宋体" w:cstheme="minorBidi"/>
                <w:sz w:val="24"/>
              </w:rPr>
              <w:t>)</w:t>
            </w:r>
            <w:r>
              <w:rPr>
                <w:rFonts w:hint="eastAsia" w:ascii="Times New Roman" w:hAnsi="Times New Roman" w:eastAsia="宋体" w:cstheme="minorBidi"/>
                <w:sz w:val="24"/>
              </w:rPr>
              <w:t>。5）磁场扫描范围≤6500 Gauss，样品区域磁场均匀性≤50 mG，稳定性优于</w:t>
            </w:r>
            <w:r>
              <w:rPr>
                <w:rFonts w:ascii="Times New Roman" w:hAnsi="Times New Roman" w:eastAsia="宋体" w:cstheme="minorBidi"/>
                <w:sz w:val="24"/>
              </w:rPr>
              <w:t>1µT/h</w:t>
            </w:r>
            <w:r>
              <w:rPr>
                <w:rFonts w:hint="eastAsia" w:ascii="Times New Roman" w:hAnsi="Times New Roman" w:eastAsia="宋体" w:cstheme="minorBidi"/>
                <w:sz w:val="24"/>
              </w:rPr>
              <w:t xml:space="preserve">。6）前方具有窗口，能用于光照系统，特别是流动体系（需要提供相关照片作为依据）。 </w:t>
            </w:r>
          </w:p>
        </w:tc>
        <w:tc>
          <w:tcPr>
            <w:tcW w:w="722" w:type="dxa"/>
          </w:tcPr>
          <w:p w14:paraId="657DF17C">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1台</w:t>
            </w:r>
          </w:p>
        </w:tc>
        <w:tc>
          <w:tcPr>
            <w:tcW w:w="1913" w:type="dxa"/>
          </w:tcPr>
          <w:p w14:paraId="2BA5FE0F">
            <w:pPr>
              <w:spacing w:line="360" w:lineRule="auto"/>
              <w:jc w:val="center"/>
              <w:rPr>
                <w:rFonts w:ascii="Times New Roman" w:hAnsi="Times New Roman" w:eastAsia="宋体" w:cstheme="minorBidi"/>
                <w:sz w:val="24"/>
              </w:rPr>
            </w:pPr>
          </w:p>
          <w:p w14:paraId="1A106164">
            <w:pPr>
              <w:spacing w:line="360" w:lineRule="auto"/>
              <w:jc w:val="center"/>
              <w:rPr>
                <w:rFonts w:ascii="Times New Roman" w:hAnsi="Times New Roman" w:eastAsia="宋体" w:cstheme="minorBidi"/>
                <w:sz w:val="24"/>
              </w:rPr>
            </w:pPr>
          </w:p>
        </w:tc>
      </w:tr>
      <w:tr w14:paraId="3D06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7CF294E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11</w:t>
            </w:r>
          </w:p>
        </w:tc>
        <w:tc>
          <w:tcPr>
            <w:tcW w:w="2412" w:type="dxa"/>
          </w:tcPr>
          <w:p w14:paraId="0147ADBA">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用于台式EPR的液氮变温单元</w:t>
            </w:r>
          </w:p>
        </w:tc>
        <w:tc>
          <w:tcPr>
            <w:tcW w:w="2441" w:type="dxa"/>
          </w:tcPr>
          <w:p w14:paraId="35E079FC">
            <w:pPr>
              <w:spacing w:line="360" w:lineRule="auto"/>
              <w:jc w:val="center"/>
              <w:rPr>
                <w:rFonts w:ascii="Times New Roman" w:hAnsi="Times New Roman" w:eastAsia="宋体" w:cstheme="minorBidi"/>
                <w:sz w:val="24"/>
              </w:rPr>
            </w:pPr>
            <w:r>
              <w:rPr>
                <w:rFonts w:ascii="Times New Roman" w:hAnsi="Times New Roman" w:eastAsia="宋体" w:cstheme="minorBidi"/>
                <w:sz w:val="24"/>
              </w:rPr>
              <w:t>温度范围至少包含:</w:t>
            </w:r>
            <w:r>
              <w:rPr>
                <w:rFonts w:hint="eastAsia" w:ascii="Times New Roman" w:hAnsi="Times New Roman" w:eastAsia="宋体" w:cstheme="minorBidi"/>
                <w:sz w:val="24"/>
              </w:rPr>
              <w:t xml:space="preserve"> 93K</w:t>
            </w:r>
            <w:r>
              <w:rPr>
                <w:rFonts w:ascii="Times New Roman" w:hAnsi="Times New Roman" w:eastAsia="宋体" w:cstheme="minorBidi"/>
                <w:sz w:val="24"/>
              </w:rPr>
              <w:t>-</w:t>
            </w:r>
            <w:r>
              <w:rPr>
                <w:rFonts w:hint="eastAsia" w:ascii="Times New Roman" w:hAnsi="Times New Roman" w:eastAsia="宋体" w:cstheme="minorBidi"/>
                <w:sz w:val="24"/>
              </w:rPr>
              <w:t>473</w:t>
            </w:r>
            <w:r>
              <w:rPr>
                <w:rFonts w:ascii="Times New Roman" w:hAnsi="Times New Roman" w:eastAsia="宋体" w:cstheme="minorBidi"/>
                <w:sz w:val="24"/>
              </w:rPr>
              <w:t>K</w:t>
            </w:r>
          </w:p>
        </w:tc>
        <w:tc>
          <w:tcPr>
            <w:tcW w:w="722" w:type="dxa"/>
          </w:tcPr>
          <w:p w14:paraId="7FB481F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4AEB396C">
            <w:pPr>
              <w:spacing w:line="360" w:lineRule="auto"/>
              <w:jc w:val="center"/>
              <w:rPr>
                <w:rFonts w:ascii="Times New Roman" w:hAnsi="Times New Roman" w:eastAsia="宋体" w:cstheme="minorBidi"/>
                <w:sz w:val="24"/>
              </w:rPr>
            </w:pPr>
          </w:p>
        </w:tc>
      </w:tr>
      <w:tr w14:paraId="006F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48771C66">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12</w:t>
            </w:r>
          </w:p>
        </w:tc>
        <w:tc>
          <w:tcPr>
            <w:tcW w:w="2412" w:type="dxa"/>
          </w:tcPr>
          <w:p w14:paraId="1C8957BD">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用于台式EPR的指状杜瓦及其支撑架</w:t>
            </w:r>
          </w:p>
        </w:tc>
        <w:tc>
          <w:tcPr>
            <w:tcW w:w="2441" w:type="dxa"/>
          </w:tcPr>
          <w:p w14:paraId="5BF7A99A">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1）50mL。2）使用液氮控温（77K）。</w:t>
            </w:r>
          </w:p>
        </w:tc>
        <w:tc>
          <w:tcPr>
            <w:tcW w:w="722" w:type="dxa"/>
          </w:tcPr>
          <w:p w14:paraId="47325EC6">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726AA5FF">
            <w:pPr>
              <w:spacing w:line="360" w:lineRule="auto"/>
              <w:jc w:val="center"/>
              <w:rPr>
                <w:rFonts w:ascii="Times New Roman" w:hAnsi="Times New Roman" w:eastAsia="宋体" w:cstheme="minorBidi"/>
                <w:sz w:val="24"/>
              </w:rPr>
            </w:pPr>
          </w:p>
        </w:tc>
      </w:tr>
      <w:tr w14:paraId="13D05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 w:type="dxa"/>
          </w:tcPr>
          <w:p w14:paraId="4233020B">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13</w:t>
            </w:r>
          </w:p>
        </w:tc>
        <w:tc>
          <w:tcPr>
            <w:tcW w:w="2412" w:type="dxa"/>
          </w:tcPr>
          <w:p w14:paraId="39E23EB5">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用于台式EPR的工作站及软件</w:t>
            </w:r>
          </w:p>
        </w:tc>
        <w:tc>
          <w:tcPr>
            <w:tcW w:w="2441" w:type="dxa"/>
          </w:tcPr>
          <w:p w14:paraId="378C7B79">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1）英文版。2）</w:t>
            </w:r>
            <w:r>
              <w:rPr>
                <w:rFonts w:ascii="Times New Roman" w:hAnsi="Times New Roman" w:eastAsia="宋体" w:cstheme="minorBidi"/>
                <w:sz w:val="24"/>
              </w:rPr>
              <w:t>对于2D数据，可自动给出第二维度指标的变量图，如功率曲线。（投标文件中提供软件截图</w:t>
            </w:r>
            <w:r>
              <w:rPr>
                <w:rFonts w:hint="eastAsia" w:ascii="Times New Roman" w:hAnsi="Times New Roman" w:eastAsia="宋体" w:cstheme="minorBidi"/>
                <w:sz w:val="24"/>
              </w:rPr>
              <w:t>。</w:t>
            </w:r>
            <w:r>
              <w:rPr>
                <w:rFonts w:ascii="Times New Roman" w:hAnsi="Times New Roman" w:eastAsia="宋体" w:cstheme="minorBidi"/>
                <w:sz w:val="24"/>
              </w:rPr>
              <w:t>）</w:t>
            </w:r>
          </w:p>
        </w:tc>
        <w:tc>
          <w:tcPr>
            <w:tcW w:w="722" w:type="dxa"/>
          </w:tcPr>
          <w:p w14:paraId="2369A301">
            <w:pPr>
              <w:spacing w:line="360" w:lineRule="auto"/>
              <w:jc w:val="center"/>
              <w:rPr>
                <w:rFonts w:ascii="Times New Roman" w:hAnsi="Times New Roman" w:eastAsia="宋体" w:cstheme="minorBidi"/>
                <w:sz w:val="24"/>
              </w:rPr>
            </w:pPr>
            <w:r>
              <w:rPr>
                <w:rFonts w:hint="eastAsia" w:ascii="Times New Roman" w:hAnsi="Times New Roman" w:eastAsia="宋体" w:cstheme="minorBidi"/>
                <w:sz w:val="24"/>
              </w:rPr>
              <w:t>1套</w:t>
            </w:r>
          </w:p>
        </w:tc>
        <w:tc>
          <w:tcPr>
            <w:tcW w:w="1913" w:type="dxa"/>
          </w:tcPr>
          <w:p w14:paraId="447D3E6B">
            <w:pPr>
              <w:spacing w:line="360" w:lineRule="auto"/>
              <w:jc w:val="center"/>
              <w:rPr>
                <w:rFonts w:ascii="Times New Roman" w:hAnsi="Times New Roman" w:eastAsia="宋体" w:cstheme="minorBidi"/>
                <w:sz w:val="24"/>
              </w:rPr>
            </w:pPr>
          </w:p>
        </w:tc>
      </w:tr>
    </w:tbl>
    <w:p w14:paraId="3B7954DF">
      <w:pPr>
        <w:spacing w:line="360" w:lineRule="auto"/>
        <w:rPr>
          <w:sz w:val="24"/>
        </w:rPr>
      </w:pPr>
    </w:p>
    <w:p w14:paraId="38B9B598">
      <w:pPr>
        <w:spacing w:line="360" w:lineRule="auto"/>
        <w:jc w:val="left"/>
        <w:rPr>
          <w:sz w:val="24"/>
        </w:rPr>
      </w:pPr>
    </w:p>
    <w:p w14:paraId="4778661B">
      <w:pPr>
        <w:spacing w:line="360" w:lineRule="auto"/>
        <w:jc w:val="left"/>
        <w:rPr>
          <w:sz w:val="24"/>
        </w:rPr>
      </w:pPr>
    </w:p>
    <w:p w14:paraId="70F1E423">
      <w:pPr>
        <w:spacing w:line="360" w:lineRule="auto"/>
        <w:jc w:val="left"/>
        <w:rPr>
          <w:b/>
          <w:sz w:val="24"/>
        </w:rPr>
      </w:pPr>
      <w:r>
        <w:rPr>
          <w:rFonts w:hint="eastAsia"/>
          <w:b/>
          <w:sz w:val="24"/>
        </w:rPr>
        <w:t>5</w:t>
      </w:r>
      <w:r>
        <w:rPr>
          <w:b/>
          <w:sz w:val="24"/>
        </w:rPr>
        <w:t>服务要求:</w:t>
      </w:r>
    </w:p>
    <w:p w14:paraId="0AC9F3C0">
      <w:pPr>
        <w:spacing w:line="360" w:lineRule="auto"/>
        <w:jc w:val="left"/>
        <w:rPr>
          <w:sz w:val="24"/>
        </w:rPr>
      </w:pPr>
      <w:r>
        <w:rPr>
          <w:sz w:val="24"/>
        </w:rPr>
        <w:t>1. 供货期:签订合同之日起,300个日历日内货到甲方指定地点</w:t>
      </w:r>
      <w:r>
        <w:rPr>
          <w:rFonts w:hint="eastAsia"/>
          <w:sz w:val="24"/>
        </w:rPr>
        <w:t>：</w:t>
      </w:r>
      <w:r>
        <w:rPr>
          <w:sz w:val="24"/>
        </w:rPr>
        <w:t>甘肃省兰州市天水中路18号中国科学院兰州化学物理研究所。</w:t>
      </w:r>
    </w:p>
    <w:p w14:paraId="0098C8EC">
      <w:pPr>
        <w:spacing w:line="360" w:lineRule="auto"/>
        <w:jc w:val="left"/>
        <w:rPr>
          <w:sz w:val="24"/>
        </w:rPr>
      </w:pPr>
      <w:r>
        <w:rPr>
          <w:sz w:val="24"/>
        </w:rPr>
        <w:t>2. 设备安装、调试和验收:</w:t>
      </w:r>
    </w:p>
    <w:p w14:paraId="0060B3BF">
      <w:pPr>
        <w:spacing w:line="360" w:lineRule="auto"/>
        <w:jc w:val="left"/>
        <w:rPr>
          <w:sz w:val="24"/>
        </w:rPr>
      </w:pPr>
      <w:r>
        <w:rPr>
          <w:sz w:val="24"/>
        </w:rPr>
        <w:t>2.1 仪器到达最终用户现场后,在接到用户通知一周内,卖方安排有经验的工程技术人员到用户现场安装、调试,按验收指标逐项测试至到达到验收要求; 仪器的安装调试需在接到用户通知后 60 日内完成。</w:t>
      </w:r>
    </w:p>
    <w:p w14:paraId="18DC47BC">
      <w:pPr>
        <w:spacing w:line="360" w:lineRule="auto"/>
        <w:jc w:val="left"/>
        <w:rPr>
          <w:sz w:val="24"/>
        </w:rPr>
      </w:pPr>
      <w:r>
        <w:rPr>
          <w:sz w:val="24"/>
        </w:rPr>
        <w:t>2.2 技术培训:</w:t>
      </w:r>
      <w:r>
        <w:rPr>
          <w:rFonts w:hint="eastAsia"/>
          <w:b/>
          <w:color w:val="0432FF"/>
          <w:sz w:val="24"/>
        </w:rPr>
        <w:t xml:space="preserve"> </w:t>
      </w:r>
    </w:p>
    <w:p w14:paraId="55B8AFC1">
      <w:pPr>
        <w:spacing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2.2.1 安装工程师的现场培训。仪器安装完成后,卖方工程师在现场对用户 进行培训,培训内容包括仪器的使用,参数的设置,仪器的日常维护,简单故障的排除等。</w:t>
      </w:r>
    </w:p>
    <w:p w14:paraId="293B52E3">
      <w:pPr>
        <w:spacing w:line="360" w:lineRule="auto"/>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2.2.2 使用一段时间后,卖方应安排应用工程师不少于三天的现场培训,此外供应商还需提供2次讲座,可以分2次完成。应用工程师的培训内容主要分为 EPR 理论介绍,上机操作和解谱培训。</w:t>
      </w:r>
    </w:p>
    <w:p w14:paraId="63E784C9">
      <w:pPr>
        <w:spacing w:line="360" w:lineRule="auto"/>
        <w:jc w:val="left"/>
        <w:rPr>
          <w:sz w:val="24"/>
        </w:rPr>
      </w:pPr>
      <w:r>
        <w:rPr>
          <w:color w:val="000000" w:themeColor="text1"/>
          <w:sz w:val="24"/>
          <w14:textFill>
            <w14:solidFill>
              <w14:schemeClr w14:val="tx1"/>
            </w14:solidFill>
          </w14:textFill>
        </w:rPr>
        <w:t>2.2.3 卖方还应该提供</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人次的免费应用培训班名额。</w:t>
      </w:r>
      <w:r>
        <w:rPr>
          <w:sz w:val="24"/>
        </w:rPr>
        <w:t xml:space="preserve"> </w:t>
      </w:r>
    </w:p>
    <w:p w14:paraId="43DE074F">
      <w:pPr>
        <w:spacing w:line="360" w:lineRule="auto"/>
        <w:jc w:val="left"/>
        <w:rPr>
          <w:sz w:val="24"/>
        </w:rPr>
      </w:pPr>
      <w:r>
        <w:rPr>
          <w:sz w:val="24"/>
        </w:rPr>
        <w:t>3 维修服务:</w:t>
      </w:r>
    </w:p>
    <w:p w14:paraId="37CB37F1">
      <w:pPr>
        <w:spacing w:line="360" w:lineRule="auto"/>
        <w:jc w:val="left"/>
        <w:rPr>
          <w:sz w:val="24"/>
        </w:rPr>
      </w:pPr>
      <w:r>
        <w:rPr>
          <w:sz w:val="24"/>
        </w:rPr>
        <w:t>3.1 维修响应时间:卖方应在24小时内对用户的服务要求作出响应,如果需要上门服务,保证在72小时内内到达用户现场。</w:t>
      </w:r>
    </w:p>
    <w:p w14:paraId="0A2DF504">
      <w:pPr>
        <w:spacing w:line="360" w:lineRule="auto"/>
        <w:jc w:val="left"/>
        <w:rPr>
          <w:sz w:val="24"/>
        </w:rPr>
      </w:pPr>
      <w:r>
        <w:rPr>
          <w:sz w:val="24"/>
        </w:rPr>
        <w:t>3.2 质保期:货到采购方指定地点安装调试验收合格之日起,免费质保不低于1年,终身维修并保证零配件供应。</w:t>
      </w:r>
    </w:p>
    <w:p w14:paraId="201D537A">
      <w:pPr>
        <w:spacing w:line="360" w:lineRule="auto"/>
        <w:jc w:val="left"/>
        <w:rPr>
          <w:sz w:val="24"/>
        </w:rPr>
      </w:pPr>
      <w:r>
        <w:rPr>
          <w:sz w:val="24"/>
        </w:rPr>
        <w:t xml:space="preserve">  注:质保期自货物安装调试结束双方签署验收报告的次日起开始计算。</w:t>
      </w:r>
    </w:p>
    <w:p w14:paraId="18FA8BE3">
      <w:pPr>
        <w:spacing w:line="360" w:lineRule="auto"/>
        <w:jc w:val="left"/>
        <w:rPr>
          <w:sz w:val="24"/>
        </w:rPr>
      </w:pPr>
      <w:r>
        <w:rPr>
          <w:sz w:val="24"/>
        </w:rPr>
        <w:t xml:space="preserve">3.3 </w:t>
      </w:r>
      <w:r>
        <w:rPr>
          <w:rFonts w:hint="eastAsia"/>
          <w:color w:val="000000" w:themeColor="text1"/>
          <w:sz w:val="24"/>
          <w14:textFill>
            <w14:solidFill>
              <w14:schemeClr w14:val="tx1"/>
            </w14:solidFill>
          </w14:textFill>
        </w:rPr>
        <w:t>提供中英文双语使用手册</w:t>
      </w:r>
      <w:r>
        <w:rPr>
          <w:sz w:val="24"/>
        </w:rPr>
        <w:t>、专用工具和备品备件</w:t>
      </w:r>
      <w:r>
        <w:rPr>
          <w:rFonts w:hint="eastAsia"/>
          <w:sz w:val="24"/>
        </w:rPr>
        <w:t>。</w:t>
      </w:r>
    </w:p>
    <w:p w14:paraId="7487EBF9"/>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19F57">
    <w:pPr>
      <w:pStyle w:val="4"/>
      <w:jc w:val="center"/>
    </w:pPr>
    <w:r>
      <w:fldChar w:fldCharType="begin"/>
    </w:r>
    <w:r>
      <w:instrText xml:space="preserve">PAGE   \* MERGEFORMAT</w:instrText>
    </w:r>
    <w:r>
      <w:fldChar w:fldCharType="separate"/>
    </w:r>
    <w:r>
      <w:rPr>
        <w:lang w:val="zh-CN"/>
      </w:rP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E6F14">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C1210">
    <w:pPr>
      <w:pStyle w:val="5"/>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0"/>
        </w:tabs>
        <w:ind w:left="1896" w:hanging="396"/>
      </w:pPr>
      <w:rPr>
        <w:rFonts w:hint="eastAsia" w:eastAsia="仿宋_GB2312"/>
        <w:b w:val="0"/>
        <w:i w:val="0"/>
        <w:color w:val="auto"/>
      </w:rPr>
    </w:lvl>
    <w:lvl w:ilvl="1" w:tentative="0">
      <w:start w:val="8"/>
      <w:numFmt w:val="japaneseCounting"/>
      <w:lvlText w:val="第%2章"/>
      <w:lvlJc w:val="left"/>
      <w:pPr>
        <w:tabs>
          <w:tab w:val="left" w:pos="0"/>
        </w:tabs>
        <w:ind w:left="1935" w:hanging="1515"/>
      </w:pPr>
      <w:rPr>
        <w:rFonts w:hint="default"/>
      </w:rPr>
    </w:lvl>
    <w:lvl w:ilvl="2" w:tentative="0">
      <w:start w:val="1"/>
      <w:numFmt w:val="japaneseCounting"/>
      <w:lvlText w:val="%3、"/>
      <w:lvlJc w:val="left"/>
      <w:pPr>
        <w:tabs>
          <w:tab w:val="left" w:pos="0"/>
        </w:tabs>
        <w:ind w:left="1560" w:hanging="720"/>
      </w:pPr>
      <w:rPr>
        <w:rFonts w:hint="default"/>
      </w:r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06DF4D9C"/>
    <w:rsid w:val="06DF4D9C"/>
    <w:rsid w:val="59B92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200" w:leftChars="200"/>
    </w:pPr>
  </w:style>
  <w:style w:type="paragraph" w:styleId="3">
    <w:name w:val="Plain Text"/>
    <w:basedOn w:val="1"/>
    <w:qFormat/>
    <w:uiPriority w:val="0"/>
    <w:rPr>
      <w:rFonts w:ascii="宋体"/>
      <w:szCs w:val="20"/>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rPr>
      <w:rFonts w:asciiTheme="minorHAnsi" w:hAnsiTheme="minorHAnsi" w:eastAsiaTheme="minorEastAsia" w:cstheme="minorBidi"/>
      <w:kern w:val="2"/>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4974</Words>
  <Characters>5798</Characters>
  <Lines>0</Lines>
  <Paragraphs>0</Paragraphs>
  <TotalTime>0</TotalTime>
  <ScaleCrop>false</ScaleCrop>
  <LinksUpToDate>false</LinksUpToDate>
  <CharactersWithSpaces>6006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2024-09-20T11:41:00Z</dcterms:created>
  <dc:creator>Robin</dc:creator>
  <cp:lastModifiedBy>清</cp:lastModifiedBy>
  <dcterms:modified xsi:type="dcterms:W3CDTF">2024-09-21T01:37:56Z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80D7DB5009FA42A9A21522BDFE2E31EF_13</vt:lpwstr>
  </property>
</Properties>
</file>