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945907">
      <w:pPr>
        <w:numPr>
          <w:ilvl w:val="2"/>
          <w:numId w:val="1"/>
        </w:numPr>
        <w:adjustRightInd w:val="0"/>
        <w:snapToGrid w:val="0"/>
        <w:ind w:left="720" w:hangingChars="343"/>
        <w:jc w:val="center"/>
        <w:rPr>
          <w:color w:val="000000"/>
          <w:szCs w:val="21"/>
        </w:rPr>
      </w:pPr>
      <w:bookmarkStart w:id="1" w:name="_GoBack"/>
      <w:bookmarkEnd w:id="1"/>
      <w:bookmarkStart w:id="0" w:name="_Hlk177197926"/>
      <w:r>
        <w:rPr>
          <w:color w:val="000000"/>
          <w:szCs w:val="21"/>
        </w:rPr>
        <w:t>货物需求一览表</w:t>
      </w:r>
    </w:p>
    <w:p w14:paraId="53282F18">
      <w:pPr>
        <w:adjustRightInd w:val="0"/>
        <w:snapToGrid w:val="0"/>
        <w:jc w:val="center"/>
        <w:rPr>
          <w:color w:val="000000"/>
          <w:szCs w:val="21"/>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
        <w:gridCol w:w="846"/>
        <w:gridCol w:w="486"/>
        <w:gridCol w:w="2843"/>
        <w:gridCol w:w="1360"/>
        <w:gridCol w:w="666"/>
        <w:gridCol w:w="1451"/>
        <w:gridCol w:w="1376"/>
      </w:tblGrid>
      <w:tr w14:paraId="5BCC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47A3857C">
            <w:pPr>
              <w:jc w:val="center"/>
              <w:rPr>
                <w:rFonts w:hint="eastAsia" w:ascii="宋体" w:hAnsi="宋体"/>
                <w:color w:val="000000"/>
                <w:szCs w:val="21"/>
              </w:rPr>
            </w:pPr>
            <w:r>
              <w:rPr>
                <w:rFonts w:hint="eastAsia" w:ascii="宋体" w:hAnsi="宋体"/>
                <w:color w:val="000000"/>
                <w:szCs w:val="21"/>
              </w:rPr>
              <w:t>包号</w:t>
            </w:r>
          </w:p>
        </w:tc>
        <w:tc>
          <w:tcPr>
            <w:tcW w:w="0" w:type="auto"/>
            <w:tcBorders>
              <w:top w:val="single" w:color="auto" w:sz="4" w:space="0"/>
              <w:left w:val="single" w:color="auto" w:sz="4" w:space="0"/>
              <w:bottom w:val="single" w:color="auto" w:sz="4" w:space="0"/>
              <w:right w:val="single" w:color="auto" w:sz="4" w:space="0"/>
            </w:tcBorders>
            <w:vAlign w:val="center"/>
          </w:tcPr>
          <w:p w14:paraId="6744B0C0">
            <w:pPr>
              <w:jc w:val="center"/>
              <w:rPr>
                <w:rFonts w:hint="eastAsia" w:ascii="宋体" w:hAnsi="宋体"/>
                <w:color w:val="000000"/>
                <w:szCs w:val="21"/>
              </w:rPr>
            </w:pPr>
            <w:r>
              <w:rPr>
                <w:rFonts w:hint="eastAsia" w:ascii="宋体" w:hAnsi="宋体"/>
                <w:color w:val="000000"/>
                <w:szCs w:val="21"/>
              </w:rPr>
              <w:t>设备</w:t>
            </w:r>
          </w:p>
          <w:p w14:paraId="513D9343">
            <w:pPr>
              <w:jc w:val="center"/>
              <w:rPr>
                <w:rFonts w:hint="eastAsia" w:ascii="宋体" w:hAnsi="宋体"/>
                <w:color w:val="000000"/>
                <w:szCs w:val="21"/>
              </w:rPr>
            </w:pPr>
            <w:r>
              <w:rPr>
                <w:rFonts w:hint="eastAsia" w:ascii="宋体" w:hAnsi="宋体"/>
                <w:color w:val="000000"/>
                <w:szCs w:val="21"/>
              </w:rPr>
              <w:t>名称</w:t>
            </w:r>
          </w:p>
        </w:tc>
        <w:tc>
          <w:tcPr>
            <w:tcW w:w="0" w:type="auto"/>
            <w:tcBorders>
              <w:top w:val="single" w:color="auto" w:sz="4" w:space="0"/>
              <w:left w:val="single" w:color="auto" w:sz="4" w:space="0"/>
              <w:bottom w:val="single" w:color="auto" w:sz="4" w:space="0"/>
              <w:right w:val="single" w:color="auto" w:sz="4" w:space="0"/>
            </w:tcBorders>
            <w:vAlign w:val="center"/>
          </w:tcPr>
          <w:p w14:paraId="42473F31">
            <w:pPr>
              <w:jc w:val="center"/>
              <w:rPr>
                <w:rFonts w:hint="eastAsia" w:ascii="宋体" w:hAnsi="宋体"/>
                <w:color w:val="000000"/>
                <w:szCs w:val="21"/>
              </w:rPr>
            </w:pPr>
            <w:r>
              <w:rPr>
                <w:rFonts w:hint="eastAsia" w:ascii="宋体" w:hAnsi="宋体"/>
                <w:color w:val="000000"/>
                <w:szCs w:val="21"/>
              </w:rPr>
              <w:t>数量</w:t>
            </w:r>
          </w:p>
        </w:tc>
        <w:tc>
          <w:tcPr>
            <w:tcW w:w="2843" w:type="dxa"/>
            <w:tcBorders>
              <w:top w:val="single" w:color="auto" w:sz="4" w:space="0"/>
              <w:left w:val="single" w:color="auto" w:sz="4" w:space="0"/>
              <w:bottom w:val="single" w:color="auto" w:sz="4" w:space="0"/>
              <w:right w:val="single" w:color="auto" w:sz="4" w:space="0"/>
            </w:tcBorders>
            <w:vAlign w:val="center"/>
          </w:tcPr>
          <w:p w14:paraId="42500A13">
            <w:pPr>
              <w:jc w:val="center"/>
              <w:rPr>
                <w:rFonts w:hint="eastAsia" w:ascii="宋体" w:hAnsi="宋体"/>
                <w:color w:val="000000"/>
                <w:szCs w:val="21"/>
              </w:rPr>
            </w:pPr>
            <w:r>
              <w:rPr>
                <w:rFonts w:hint="eastAsia" w:ascii="宋体" w:hAnsi="宋体"/>
                <w:color w:val="000000"/>
                <w:szCs w:val="21"/>
              </w:rPr>
              <w:t>简要用途</w:t>
            </w:r>
          </w:p>
        </w:tc>
        <w:tc>
          <w:tcPr>
            <w:tcW w:w="1360" w:type="dxa"/>
            <w:tcBorders>
              <w:top w:val="single" w:color="auto" w:sz="4" w:space="0"/>
              <w:left w:val="single" w:color="auto" w:sz="4" w:space="0"/>
              <w:bottom w:val="single" w:color="auto" w:sz="4" w:space="0"/>
              <w:right w:val="single" w:color="auto" w:sz="4" w:space="0"/>
            </w:tcBorders>
            <w:vAlign w:val="center"/>
          </w:tcPr>
          <w:p w14:paraId="139F5B7D">
            <w:pPr>
              <w:jc w:val="center"/>
              <w:rPr>
                <w:rFonts w:hint="eastAsia" w:ascii="宋体" w:hAnsi="宋体"/>
                <w:color w:val="000000"/>
                <w:szCs w:val="21"/>
              </w:rPr>
            </w:pPr>
            <w:r>
              <w:rPr>
                <w:rFonts w:hint="eastAsia" w:ascii="宋体" w:hAnsi="宋体"/>
                <w:color w:val="000000"/>
                <w:szCs w:val="21"/>
              </w:rPr>
              <w:t>交货期</w:t>
            </w:r>
          </w:p>
        </w:tc>
        <w:tc>
          <w:tcPr>
            <w:tcW w:w="0" w:type="auto"/>
            <w:tcBorders>
              <w:top w:val="single" w:color="auto" w:sz="4" w:space="0"/>
              <w:left w:val="single" w:color="auto" w:sz="4" w:space="0"/>
              <w:bottom w:val="single" w:color="auto" w:sz="4" w:space="0"/>
              <w:right w:val="single" w:color="auto" w:sz="4" w:space="0"/>
            </w:tcBorders>
            <w:vAlign w:val="center"/>
          </w:tcPr>
          <w:p w14:paraId="6385830E">
            <w:pPr>
              <w:jc w:val="center"/>
              <w:rPr>
                <w:rFonts w:hint="eastAsia" w:ascii="宋体" w:hAnsi="宋体"/>
                <w:color w:val="000000"/>
                <w:szCs w:val="21"/>
              </w:rPr>
            </w:pPr>
            <w:r>
              <w:rPr>
                <w:rFonts w:hint="eastAsia" w:ascii="宋体" w:hAnsi="宋体"/>
                <w:color w:val="000000"/>
                <w:szCs w:val="21"/>
              </w:rPr>
              <w:t>预算</w:t>
            </w:r>
          </w:p>
        </w:tc>
        <w:tc>
          <w:tcPr>
            <w:tcW w:w="1451" w:type="dxa"/>
            <w:tcBorders>
              <w:top w:val="single" w:color="auto" w:sz="4" w:space="0"/>
              <w:left w:val="single" w:color="auto" w:sz="4" w:space="0"/>
              <w:bottom w:val="single" w:color="auto" w:sz="4" w:space="0"/>
              <w:right w:val="single" w:color="auto" w:sz="4" w:space="0"/>
            </w:tcBorders>
            <w:vAlign w:val="center"/>
          </w:tcPr>
          <w:p w14:paraId="14019637">
            <w:pPr>
              <w:jc w:val="center"/>
              <w:rPr>
                <w:rFonts w:hint="eastAsia" w:ascii="宋体" w:hAnsi="宋体"/>
                <w:color w:val="000000"/>
                <w:szCs w:val="21"/>
              </w:rPr>
            </w:pPr>
            <w:r>
              <w:rPr>
                <w:rFonts w:hint="eastAsia" w:ascii="宋体" w:hAnsi="宋体"/>
                <w:color w:val="000000"/>
                <w:szCs w:val="21"/>
              </w:rPr>
              <w:t>交货地点</w:t>
            </w:r>
          </w:p>
        </w:tc>
        <w:tc>
          <w:tcPr>
            <w:tcW w:w="1376" w:type="dxa"/>
            <w:tcBorders>
              <w:top w:val="single" w:color="auto" w:sz="4" w:space="0"/>
              <w:left w:val="single" w:color="auto" w:sz="4" w:space="0"/>
              <w:bottom w:val="single" w:color="auto" w:sz="4" w:space="0"/>
              <w:right w:val="single" w:color="auto" w:sz="4" w:space="0"/>
            </w:tcBorders>
            <w:vAlign w:val="center"/>
          </w:tcPr>
          <w:p w14:paraId="1BEC8590">
            <w:pPr>
              <w:jc w:val="center"/>
              <w:rPr>
                <w:rFonts w:hint="eastAsia" w:ascii="宋体" w:hAnsi="宋体"/>
                <w:color w:val="000000"/>
                <w:szCs w:val="21"/>
              </w:rPr>
            </w:pPr>
            <w:r>
              <w:rPr>
                <w:rFonts w:hint="eastAsia" w:ascii="宋体" w:hAnsi="宋体"/>
                <w:color w:val="000000"/>
                <w:szCs w:val="21"/>
              </w:rPr>
              <w:t>是否允许采购进口产品</w:t>
            </w:r>
          </w:p>
        </w:tc>
      </w:tr>
      <w:tr w14:paraId="2953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5530767B">
            <w:pPr>
              <w:jc w:val="center"/>
              <w:rPr>
                <w:rFonts w:hint="eastAsia" w:ascii="宋体" w:hAnsi="宋体"/>
                <w:color w:val="000000"/>
                <w:szCs w:val="21"/>
              </w:rPr>
            </w:pPr>
            <w:r>
              <w:rPr>
                <w:rFonts w:hint="eastAsia" w:ascii="宋体" w:hAnsi="宋体"/>
                <w:color w:val="000000"/>
                <w:szCs w:val="21"/>
              </w:rPr>
              <w:t>1</w:t>
            </w:r>
          </w:p>
        </w:tc>
        <w:tc>
          <w:tcPr>
            <w:tcW w:w="0" w:type="auto"/>
            <w:tcBorders>
              <w:top w:val="single" w:color="auto" w:sz="4" w:space="0"/>
              <w:left w:val="single" w:color="auto" w:sz="4" w:space="0"/>
              <w:bottom w:val="single" w:color="auto" w:sz="4" w:space="0"/>
              <w:right w:val="single" w:color="auto" w:sz="4" w:space="0"/>
            </w:tcBorders>
            <w:vAlign w:val="center"/>
          </w:tcPr>
          <w:p w14:paraId="3F3E3CB4">
            <w:pPr>
              <w:jc w:val="left"/>
              <w:rPr>
                <w:rFonts w:hint="eastAsia" w:ascii="宋体" w:hAnsi="宋体"/>
                <w:color w:val="000000"/>
                <w:szCs w:val="21"/>
              </w:rPr>
            </w:pPr>
            <w:r>
              <w:rPr>
                <w:rFonts w:hint="eastAsia" w:ascii="宋体" w:hAnsi="宋体"/>
                <w:color w:val="000000"/>
                <w:szCs w:val="21"/>
              </w:rPr>
              <w:t>三重四极杆质谱仪</w:t>
            </w:r>
          </w:p>
        </w:tc>
        <w:tc>
          <w:tcPr>
            <w:tcW w:w="0" w:type="auto"/>
            <w:tcBorders>
              <w:top w:val="single" w:color="auto" w:sz="4" w:space="0"/>
              <w:left w:val="single" w:color="auto" w:sz="4" w:space="0"/>
              <w:bottom w:val="single" w:color="auto" w:sz="4" w:space="0"/>
              <w:right w:val="single" w:color="auto" w:sz="4" w:space="0"/>
            </w:tcBorders>
            <w:vAlign w:val="center"/>
          </w:tcPr>
          <w:p w14:paraId="51AB8E12">
            <w:pPr>
              <w:jc w:val="center"/>
              <w:rPr>
                <w:rFonts w:hint="eastAsia" w:ascii="宋体" w:hAnsi="宋体"/>
                <w:color w:val="000000"/>
                <w:szCs w:val="21"/>
              </w:rPr>
            </w:pPr>
            <w:r>
              <w:rPr>
                <w:rFonts w:hint="eastAsia" w:ascii="宋体" w:hAnsi="宋体"/>
                <w:color w:val="000000"/>
                <w:szCs w:val="21"/>
              </w:rPr>
              <w:t>1套</w:t>
            </w:r>
          </w:p>
        </w:tc>
        <w:tc>
          <w:tcPr>
            <w:tcW w:w="2843" w:type="dxa"/>
            <w:tcBorders>
              <w:top w:val="single" w:color="auto" w:sz="4" w:space="0"/>
              <w:left w:val="single" w:color="auto" w:sz="4" w:space="0"/>
              <w:bottom w:val="single" w:color="auto" w:sz="4" w:space="0"/>
              <w:right w:val="single" w:color="auto" w:sz="4" w:space="0"/>
            </w:tcBorders>
            <w:vAlign w:val="center"/>
          </w:tcPr>
          <w:p w14:paraId="3D7629B9">
            <w:pPr>
              <w:spacing w:line="276" w:lineRule="auto"/>
              <w:rPr>
                <w:rFonts w:hint="eastAsia" w:ascii="宋体" w:hAnsi="宋体"/>
                <w:color w:val="000000"/>
                <w:szCs w:val="21"/>
              </w:rPr>
            </w:pPr>
            <w:r>
              <w:rPr>
                <w:rFonts w:hint="eastAsia" w:ascii="宋体" w:hAnsi="宋体"/>
                <w:color w:val="000000"/>
                <w:szCs w:val="21"/>
              </w:rPr>
              <w:t>本设备主要配合高分辨质谱，进行代谢物鉴定和代谢组学研究。</w:t>
            </w:r>
          </w:p>
        </w:tc>
        <w:tc>
          <w:tcPr>
            <w:tcW w:w="1360" w:type="dxa"/>
            <w:tcBorders>
              <w:top w:val="single" w:color="auto" w:sz="4" w:space="0"/>
              <w:left w:val="single" w:color="auto" w:sz="4" w:space="0"/>
              <w:bottom w:val="single" w:color="auto" w:sz="4" w:space="0"/>
              <w:right w:val="single" w:color="auto" w:sz="4" w:space="0"/>
            </w:tcBorders>
            <w:vAlign w:val="center"/>
          </w:tcPr>
          <w:p w14:paraId="792B683C">
            <w:pPr>
              <w:jc w:val="left"/>
              <w:rPr>
                <w:rFonts w:hint="eastAsia" w:ascii="宋体" w:hAnsi="宋体"/>
                <w:color w:val="000000"/>
                <w:szCs w:val="21"/>
              </w:rPr>
            </w:pPr>
            <w:r>
              <w:rPr>
                <w:rFonts w:ascii="宋体" w:hAnsi="宋体"/>
                <w:color w:val="000000"/>
                <w:szCs w:val="21"/>
              </w:rPr>
              <w:t>收到信用证后4个月内</w:t>
            </w:r>
          </w:p>
        </w:tc>
        <w:tc>
          <w:tcPr>
            <w:tcW w:w="0" w:type="auto"/>
            <w:tcBorders>
              <w:top w:val="single" w:color="auto" w:sz="4" w:space="0"/>
              <w:left w:val="single" w:color="auto" w:sz="4" w:space="0"/>
              <w:bottom w:val="single" w:color="auto" w:sz="4" w:space="0"/>
              <w:right w:val="single" w:color="auto" w:sz="4" w:space="0"/>
            </w:tcBorders>
            <w:vAlign w:val="center"/>
          </w:tcPr>
          <w:p w14:paraId="114AB152">
            <w:pPr>
              <w:jc w:val="center"/>
              <w:rPr>
                <w:rFonts w:hint="eastAsia" w:ascii="宋体" w:hAnsi="宋体"/>
                <w:color w:val="000000"/>
                <w:szCs w:val="21"/>
              </w:rPr>
            </w:pPr>
            <w:r>
              <w:rPr>
                <w:rFonts w:hint="eastAsia" w:ascii="宋体" w:hAnsi="宋体"/>
                <w:color w:val="000000"/>
                <w:szCs w:val="21"/>
              </w:rPr>
              <w:t>240万元</w:t>
            </w:r>
          </w:p>
        </w:tc>
        <w:tc>
          <w:tcPr>
            <w:tcW w:w="1451" w:type="dxa"/>
            <w:tcBorders>
              <w:top w:val="single" w:color="auto" w:sz="4" w:space="0"/>
              <w:left w:val="single" w:color="auto" w:sz="4" w:space="0"/>
              <w:bottom w:val="single" w:color="auto" w:sz="4" w:space="0"/>
              <w:right w:val="single" w:color="auto" w:sz="4" w:space="0"/>
            </w:tcBorders>
            <w:vAlign w:val="center"/>
          </w:tcPr>
          <w:p w14:paraId="79816370">
            <w:pPr>
              <w:jc w:val="center"/>
              <w:rPr>
                <w:rFonts w:hint="eastAsia" w:ascii="宋体" w:hAnsi="宋体"/>
                <w:color w:val="000000"/>
                <w:szCs w:val="21"/>
              </w:rPr>
            </w:pPr>
            <w:r>
              <w:rPr>
                <w:rFonts w:hint="eastAsia" w:ascii="宋体" w:hAnsi="宋体"/>
                <w:color w:val="000000"/>
                <w:szCs w:val="21"/>
              </w:rPr>
              <w:t>中国科学院长春应用化学研究所</w:t>
            </w:r>
          </w:p>
        </w:tc>
        <w:tc>
          <w:tcPr>
            <w:tcW w:w="1376" w:type="dxa"/>
            <w:tcBorders>
              <w:top w:val="single" w:color="auto" w:sz="4" w:space="0"/>
              <w:left w:val="single" w:color="auto" w:sz="4" w:space="0"/>
              <w:bottom w:val="single" w:color="auto" w:sz="4" w:space="0"/>
              <w:right w:val="single" w:color="auto" w:sz="4" w:space="0"/>
            </w:tcBorders>
            <w:vAlign w:val="center"/>
          </w:tcPr>
          <w:p w14:paraId="73D0B8EB">
            <w:pPr>
              <w:jc w:val="center"/>
              <w:rPr>
                <w:rFonts w:hint="eastAsia" w:ascii="宋体" w:hAnsi="宋体"/>
                <w:color w:val="000000"/>
                <w:szCs w:val="21"/>
              </w:rPr>
            </w:pPr>
            <w:r>
              <w:rPr>
                <w:rFonts w:hint="eastAsia" w:ascii="宋体" w:hAnsi="宋体"/>
                <w:color w:val="000000"/>
                <w:szCs w:val="21"/>
              </w:rPr>
              <w:t>是</w:t>
            </w:r>
          </w:p>
        </w:tc>
      </w:tr>
    </w:tbl>
    <w:p w14:paraId="71F3D2DF">
      <w:pPr>
        <w:adjustRightInd w:val="0"/>
        <w:snapToGrid w:val="0"/>
        <w:jc w:val="center"/>
        <w:rPr>
          <w:color w:val="000000"/>
          <w:szCs w:val="21"/>
        </w:rPr>
      </w:pPr>
    </w:p>
    <w:p w14:paraId="31EDABD9">
      <w:pPr>
        <w:adjustRightInd w:val="0"/>
        <w:snapToGrid w:val="0"/>
        <w:jc w:val="center"/>
        <w:rPr>
          <w:color w:val="000000"/>
          <w:szCs w:val="21"/>
        </w:rPr>
      </w:pPr>
    </w:p>
    <w:p w14:paraId="05E680F9">
      <w:pPr>
        <w:rPr>
          <w:color w:val="000000"/>
          <w:szCs w:val="21"/>
        </w:rPr>
      </w:pPr>
      <w:r>
        <w:rPr>
          <w:color w:val="000000"/>
          <w:szCs w:val="21"/>
        </w:rPr>
        <w:t>注：投标人须对上述投标内容中完整的一包或几包进行投标，不完整的投标将视为非响应性投标予以拒绝。</w:t>
      </w:r>
    </w:p>
    <w:p w14:paraId="76EE7B76">
      <w:pPr>
        <w:adjustRightInd w:val="0"/>
        <w:snapToGrid w:val="0"/>
        <w:rPr>
          <w:color w:val="000000"/>
          <w:szCs w:val="21"/>
        </w:rPr>
      </w:pPr>
    </w:p>
    <w:p w14:paraId="3603681C">
      <w:pPr>
        <w:adjustRightInd w:val="0"/>
        <w:snapToGrid w:val="0"/>
        <w:rPr>
          <w:color w:val="000000"/>
          <w:szCs w:val="21"/>
        </w:rPr>
      </w:pPr>
    </w:p>
    <w:p w14:paraId="3BBDD8F5">
      <w:pPr>
        <w:adjustRightInd w:val="0"/>
        <w:snapToGrid w:val="0"/>
        <w:rPr>
          <w:color w:val="000000"/>
          <w:szCs w:val="21"/>
        </w:rPr>
      </w:pPr>
    </w:p>
    <w:p w14:paraId="7D390039">
      <w:pPr>
        <w:adjustRightInd w:val="0"/>
        <w:snapToGrid w:val="0"/>
        <w:rPr>
          <w:color w:val="000000"/>
          <w:szCs w:val="21"/>
        </w:rPr>
      </w:pPr>
    </w:p>
    <w:p w14:paraId="0ECA8704">
      <w:pPr>
        <w:adjustRightInd w:val="0"/>
        <w:snapToGrid w:val="0"/>
        <w:rPr>
          <w:color w:val="000000"/>
          <w:szCs w:val="21"/>
        </w:rPr>
      </w:pPr>
    </w:p>
    <w:p w14:paraId="0AAA651F">
      <w:pPr>
        <w:adjustRightInd w:val="0"/>
        <w:snapToGrid w:val="0"/>
        <w:rPr>
          <w:color w:val="000000"/>
          <w:szCs w:val="21"/>
        </w:rPr>
      </w:pPr>
    </w:p>
    <w:p w14:paraId="45F6005F">
      <w:pPr>
        <w:adjustRightInd w:val="0"/>
        <w:snapToGrid w:val="0"/>
        <w:rPr>
          <w:color w:val="000000"/>
          <w:szCs w:val="21"/>
        </w:rPr>
      </w:pPr>
    </w:p>
    <w:p w14:paraId="09791980">
      <w:pPr>
        <w:adjustRightInd w:val="0"/>
        <w:snapToGrid w:val="0"/>
        <w:rPr>
          <w:color w:val="000000"/>
          <w:szCs w:val="21"/>
        </w:rPr>
      </w:pPr>
    </w:p>
    <w:p w14:paraId="05D406F0">
      <w:pPr>
        <w:adjustRightInd w:val="0"/>
        <w:snapToGrid w:val="0"/>
        <w:rPr>
          <w:rFonts w:hint="eastAsia" w:ascii="宋体" w:hAnsi="宋体"/>
          <w:color w:val="000000"/>
          <w:szCs w:val="21"/>
        </w:rPr>
      </w:pPr>
      <w:r>
        <w:rPr>
          <w:color w:val="000000"/>
          <w:szCs w:val="21"/>
        </w:rPr>
        <w:br w:type="page"/>
      </w:r>
      <w:r>
        <w:rPr>
          <w:rFonts w:ascii="宋体" w:hAnsi="宋体"/>
          <w:color w:val="000000"/>
          <w:szCs w:val="21"/>
        </w:rPr>
        <w:t>二、总  则</w:t>
      </w:r>
    </w:p>
    <w:p w14:paraId="321AEAF2">
      <w:pPr>
        <w:spacing w:line="360" w:lineRule="auto"/>
        <w:ind w:firstLine="420" w:firstLineChars="200"/>
        <w:rPr>
          <w:rFonts w:hint="eastAsia" w:ascii="宋体" w:hAnsi="宋体"/>
          <w:color w:val="000000"/>
          <w:szCs w:val="21"/>
        </w:rPr>
      </w:pPr>
      <w:r>
        <w:rPr>
          <w:rFonts w:ascii="宋体" w:hAnsi="宋体"/>
          <w:color w:val="000000"/>
          <w:szCs w:val="21"/>
        </w:rPr>
        <w:t>投标方应遵守项目的标准规范和本文件的要求。投标方应对所报价的技术与设计、设备和材料的供货以及施工安装等承担全部责任。</w:t>
      </w:r>
    </w:p>
    <w:p w14:paraId="4DB423E0">
      <w:pPr>
        <w:adjustRightInd w:val="0"/>
        <w:snapToGrid w:val="0"/>
        <w:spacing w:line="360" w:lineRule="auto"/>
        <w:ind w:left="601" w:hanging="601"/>
        <w:rPr>
          <w:rFonts w:hint="eastAsia" w:ascii="宋体" w:hAnsi="宋体"/>
          <w:color w:val="000000"/>
          <w:szCs w:val="21"/>
        </w:rPr>
      </w:pPr>
      <w:r>
        <w:rPr>
          <w:rFonts w:ascii="宋体" w:hAnsi="宋体"/>
          <w:color w:val="000000"/>
          <w:szCs w:val="21"/>
        </w:rPr>
        <w:t>1、</w:t>
      </w:r>
      <w:r>
        <w:rPr>
          <w:rFonts w:hint="eastAsia" w:ascii="宋体" w:hAnsi="宋体"/>
          <w:color w:val="000000"/>
          <w:szCs w:val="21"/>
        </w:rPr>
        <w:t>投标要求</w:t>
      </w:r>
    </w:p>
    <w:p w14:paraId="12D119AD">
      <w:pPr>
        <w:adjustRightInd w:val="0"/>
        <w:snapToGrid w:val="0"/>
        <w:spacing w:line="360" w:lineRule="auto"/>
        <w:ind w:left="485" w:hanging="485" w:hangingChars="231"/>
        <w:rPr>
          <w:rFonts w:hint="eastAsia" w:ascii="宋体" w:hAnsi="宋体"/>
          <w:color w:val="000000"/>
          <w:szCs w:val="21"/>
        </w:rPr>
      </w:pPr>
      <w:r>
        <w:rPr>
          <w:rFonts w:ascii="宋体" w:hAnsi="宋体"/>
          <w:color w:val="000000"/>
          <w:szCs w:val="21"/>
        </w:rPr>
        <w:t xml:space="preserve">1.1 </w:t>
      </w:r>
      <w:r>
        <w:rPr>
          <w:rFonts w:hint="eastAsia" w:ascii="宋体" w:hAnsi="宋体"/>
          <w:color w:val="000000"/>
          <w:szCs w:val="21"/>
        </w:rPr>
        <w:t xml:space="preserve"> 投标人在准备投标书时，务必在所提供的商品的技术规格文件中，标明型号、商标名称、目录号。</w:t>
      </w:r>
    </w:p>
    <w:p w14:paraId="7AD2B864">
      <w:pPr>
        <w:adjustRightInd w:val="0"/>
        <w:snapToGrid w:val="0"/>
        <w:spacing w:line="360" w:lineRule="auto"/>
        <w:ind w:left="485" w:hanging="485" w:hangingChars="231"/>
        <w:rPr>
          <w:rFonts w:hint="eastAsia" w:ascii="宋体" w:hAnsi="宋体"/>
          <w:color w:val="000000"/>
          <w:szCs w:val="21"/>
        </w:rPr>
      </w:pPr>
      <w:r>
        <w:rPr>
          <w:rFonts w:hint="eastAsia" w:ascii="宋体" w:hAnsi="宋体"/>
          <w:color w:val="000000"/>
          <w:szCs w:val="21"/>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0F8DD87">
      <w:pPr>
        <w:adjustRightInd w:val="0"/>
        <w:snapToGrid w:val="0"/>
        <w:spacing w:line="360" w:lineRule="auto"/>
        <w:ind w:left="485" w:hanging="485" w:hangingChars="231"/>
        <w:rPr>
          <w:rFonts w:hint="eastAsia" w:ascii="宋体" w:hAnsi="宋体"/>
          <w:color w:val="000000"/>
          <w:szCs w:val="21"/>
        </w:rPr>
      </w:pPr>
      <w:r>
        <w:rPr>
          <w:rFonts w:hint="eastAsia" w:ascii="宋体" w:hAnsi="宋体"/>
          <w:color w:val="000000"/>
          <w:szCs w:val="21"/>
        </w:rPr>
        <w:t>1.3  投标人提供的产品样本，必须是“原件”而非复印件，图表、简图、电路图以及印刷电路板图等都应清晰易读。买方有权不付任何附加费用复制这些资料以供参考。</w:t>
      </w:r>
    </w:p>
    <w:p w14:paraId="665727A2">
      <w:pPr>
        <w:adjustRightInd w:val="0"/>
        <w:snapToGrid w:val="0"/>
        <w:spacing w:line="360" w:lineRule="auto"/>
        <w:ind w:left="601" w:hanging="601"/>
        <w:rPr>
          <w:rFonts w:hint="eastAsia" w:ascii="宋体" w:hAnsi="宋体"/>
          <w:color w:val="000000"/>
          <w:szCs w:val="21"/>
        </w:rPr>
      </w:pPr>
      <w:r>
        <w:rPr>
          <w:rFonts w:hint="eastAsia" w:ascii="宋体" w:hAnsi="宋体"/>
          <w:color w:val="000000"/>
          <w:szCs w:val="21"/>
        </w:rPr>
        <w:t>2、评标标准</w:t>
      </w:r>
    </w:p>
    <w:p w14:paraId="38985668">
      <w:pPr>
        <w:adjustRightInd w:val="0"/>
        <w:snapToGrid w:val="0"/>
        <w:spacing w:line="360" w:lineRule="auto"/>
        <w:ind w:left="485" w:hanging="485" w:hangingChars="231"/>
        <w:rPr>
          <w:rFonts w:hint="eastAsia" w:ascii="宋体" w:hAnsi="宋体"/>
          <w:color w:val="000000"/>
          <w:szCs w:val="21"/>
        </w:rPr>
      </w:pPr>
      <w:r>
        <w:rPr>
          <w:rFonts w:ascii="宋体" w:hAnsi="宋体"/>
          <w:color w:val="000000"/>
          <w:szCs w:val="21"/>
        </w:rPr>
        <w:t>2.</w:t>
      </w:r>
      <w:r>
        <w:rPr>
          <w:rFonts w:hint="eastAsia" w:ascii="宋体" w:hAnsi="宋体"/>
          <w:color w:val="000000"/>
          <w:szCs w:val="21"/>
        </w:rPr>
        <w:t>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4737AFF1">
      <w:pPr>
        <w:adjustRightInd w:val="0"/>
        <w:snapToGrid w:val="0"/>
        <w:spacing w:line="360" w:lineRule="auto"/>
        <w:ind w:left="485" w:hanging="485" w:hangingChars="231"/>
        <w:rPr>
          <w:rFonts w:hint="eastAsia" w:ascii="宋体" w:hAnsi="宋体"/>
          <w:color w:val="000000"/>
          <w:szCs w:val="21"/>
        </w:rPr>
      </w:pPr>
      <w:r>
        <w:rPr>
          <w:rFonts w:hint="eastAsia" w:ascii="宋体" w:hAnsi="宋体"/>
          <w:color w:val="000000"/>
          <w:szCs w:val="21"/>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3E659A6D">
      <w:pPr>
        <w:adjustRightInd w:val="0"/>
        <w:snapToGrid w:val="0"/>
        <w:spacing w:line="360" w:lineRule="auto"/>
        <w:ind w:left="485" w:hanging="485" w:hangingChars="231"/>
        <w:rPr>
          <w:rFonts w:hint="eastAsia" w:ascii="宋体" w:hAnsi="宋体"/>
          <w:color w:val="000000"/>
          <w:szCs w:val="21"/>
        </w:rPr>
      </w:pPr>
      <w:r>
        <w:rPr>
          <w:rFonts w:hint="eastAsia" w:ascii="宋体" w:hAnsi="宋体"/>
          <w:color w:val="000000"/>
          <w:szCs w:val="21"/>
        </w:rPr>
        <w:t>2.3  为便于用户进行接收仪器的准备工作，卖方应在合同生效后60天内向用户提供一套完整的使用说明书、操作手册、维修及安装说明等文件。另一套完整上述资料应在交货时随货包装提供给用户，这些费用应计入投标价中。</w:t>
      </w:r>
    </w:p>
    <w:p w14:paraId="5AE21453">
      <w:pPr>
        <w:adjustRightInd w:val="0"/>
        <w:snapToGrid w:val="0"/>
        <w:spacing w:line="360" w:lineRule="auto"/>
        <w:ind w:left="485" w:hanging="485" w:hangingChars="231"/>
        <w:rPr>
          <w:rFonts w:hint="eastAsia" w:ascii="宋体" w:hAnsi="宋体"/>
          <w:color w:val="000000"/>
          <w:szCs w:val="21"/>
        </w:rPr>
      </w:pP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4</w:t>
      </w:r>
      <w:r>
        <w:rPr>
          <w:rFonts w:ascii="宋体" w:hAnsi="宋体"/>
          <w:color w:val="000000"/>
          <w:szCs w:val="21"/>
        </w:rPr>
        <w:t xml:space="preserve"> </w:t>
      </w:r>
      <w:r>
        <w:rPr>
          <w:rFonts w:hint="eastAsia" w:ascii="宋体" w:hAnsi="宋体"/>
          <w:color w:val="000000"/>
          <w:szCs w:val="21"/>
        </w:rPr>
        <w:t xml:space="preserve"> 关于设备的安装调试，如果有必要的安装准备条件，卖方应在合同生效后一个月内向买方提出详细的要求或计划。安装调试的费用应计入投标价中，并应单独列出，供评标使用。</w:t>
      </w:r>
    </w:p>
    <w:p w14:paraId="2E328DFE">
      <w:pPr>
        <w:adjustRightInd w:val="0"/>
        <w:snapToGrid w:val="0"/>
        <w:spacing w:line="360" w:lineRule="auto"/>
        <w:ind w:left="485" w:hanging="485" w:hangingChars="231"/>
        <w:rPr>
          <w:rFonts w:hint="eastAsia" w:ascii="宋体" w:hAnsi="宋体"/>
          <w:color w:val="000000"/>
          <w:szCs w:val="21"/>
        </w:rPr>
      </w:pPr>
      <w:r>
        <w:rPr>
          <w:rFonts w:ascii="宋体" w:hAnsi="宋体"/>
          <w:color w:val="000000"/>
          <w:szCs w:val="21"/>
        </w:rPr>
        <w:t>2.</w:t>
      </w:r>
      <w:r>
        <w:rPr>
          <w:rFonts w:hint="eastAsia" w:ascii="宋体" w:hAnsi="宋体"/>
          <w:color w:val="000000"/>
          <w:szCs w:val="21"/>
        </w:rPr>
        <w:t>5  制造厂家提供的培训指的是涉及货物的基本原理、操作使用和保养维修等有关内容的培训。培训教员的培训费、旅费、食宿费等费用和培训场地费及培训资料费均应由卖方支付。</w:t>
      </w:r>
    </w:p>
    <w:p w14:paraId="647E1AF2">
      <w:pPr>
        <w:adjustRightInd w:val="0"/>
        <w:snapToGrid w:val="0"/>
        <w:spacing w:line="360" w:lineRule="auto"/>
        <w:ind w:left="485" w:hanging="485" w:hangingChars="231"/>
        <w:rPr>
          <w:rFonts w:hint="eastAsia" w:ascii="宋体" w:hAnsi="宋体"/>
          <w:color w:val="000000"/>
          <w:szCs w:val="21"/>
        </w:rPr>
      </w:pP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6  在评标过程中，买方有权向投标人索取任何与评标有关的资料，投标人务必在接到此类要求后，在规定时间内予以答复。对于无答复的投标人，买方有权拒绝其投标。</w:t>
      </w:r>
    </w:p>
    <w:p w14:paraId="54DC8F4D">
      <w:pPr>
        <w:pStyle w:val="2"/>
        <w:adjustRightInd w:val="0"/>
        <w:snapToGrid w:val="0"/>
        <w:spacing w:line="360" w:lineRule="auto"/>
        <w:ind w:left="357" w:hanging="357" w:hangingChars="170"/>
        <w:rPr>
          <w:rFonts w:hint="eastAsia" w:hAnsi="宋体"/>
          <w:color w:val="000000"/>
          <w:szCs w:val="21"/>
        </w:rPr>
      </w:pPr>
      <w:r>
        <w:rPr>
          <w:rFonts w:hint="eastAsia" w:hAnsi="宋体"/>
          <w:color w:val="000000"/>
          <w:szCs w:val="21"/>
        </w:rPr>
        <w:t>3、本技术规格书中标注“★”号的为关键技术参数，对这些关键技术参数的任何负偏离将导致废标。</w:t>
      </w:r>
    </w:p>
    <w:p w14:paraId="2C727190">
      <w:pPr>
        <w:spacing w:before="156" w:beforeLines="50" w:after="156" w:afterLines="50" w:line="360" w:lineRule="auto"/>
        <w:ind w:left="601" w:hanging="601"/>
        <w:rPr>
          <w:rFonts w:hint="eastAsia" w:ascii="宋体" w:hAnsi="宋体"/>
          <w:color w:val="000000"/>
          <w:szCs w:val="21"/>
        </w:rPr>
      </w:pPr>
      <w:r>
        <w:rPr>
          <w:rFonts w:hint="eastAsia" w:ascii="宋体" w:hAnsi="宋体"/>
          <w:color w:val="000000"/>
          <w:szCs w:val="21"/>
        </w:rPr>
        <w:t>4、如在具体技术规格中有本总则不一致之处，以具体技术规格中的要求为准。</w:t>
      </w:r>
    </w:p>
    <w:p w14:paraId="3D7B6D11">
      <w:pPr>
        <w:spacing w:after="156" w:afterLines="50"/>
        <w:ind w:left="601" w:hanging="601"/>
        <w:rPr>
          <w:rFonts w:hint="eastAsia" w:ascii="宋体" w:hAnsi="宋体"/>
          <w:b/>
          <w:color w:val="000000"/>
          <w:sz w:val="28"/>
        </w:rPr>
      </w:pPr>
      <w:r>
        <w:rPr>
          <w:rFonts w:ascii="宋体" w:hAnsi="宋体"/>
          <w:color w:val="000000"/>
          <w:szCs w:val="21"/>
        </w:rPr>
        <w:br w:type="page"/>
      </w:r>
      <w:r>
        <w:rPr>
          <w:rFonts w:ascii="宋体" w:hAnsi="宋体"/>
          <w:color w:val="000000"/>
        </w:rPr>
        <w:t xml:space="preserve"> </w:t>
      </w:r>
      <w:r>
        <w:rPr>
          <w:rFonts w:ascii="宋体" w:hAnsi="宋体"/>
          <w:b/>
          <w:color w:val="000000"/>
          <w:sz w:val="28"/>
        </w:rPr>
        <w:t>三、具体技术规格</w:t>
      </w:r>
    </w:p>
    <w:p w14:paraId="4313F127">
      <w:pPr>
        <w:spacing w:line="360" w:lineRule="auto"/>
        <w:ind w:left="120"/>
        <w:jc w:val="center"/>
        <w:rPr>
          <w:rFonts w:hint="eastAsia" w:ascii="宋体" w:hAnsi="宋体"/>
          <w:color w:val="000000"/>
          <w:kern w:val="0"/>
          <w:szCs w:val="21"/>
        </w:rPr>
      </w:pPr>
      <w:r>
        <w:rPr>
          <w:rFonts w:hint="eastAsia" w:ascii="宋体" w:hAnsi="宋体"/>
          <w:color w:val="000000"/>
          <w:szCs w:val="21"/>
        </w:rPr>
        <w:t xml:space="preserve">第一包  </w:t>
      </w:r>
      <w:r>
        <w:rPr>
          <w:rFonts w:hint="eastAsia" w:ascii="宋体" w:hAnsi="宋体"/>
          <w:color w:val="000000"/>
          <w:kern w:val="0"/>
          <w:szCs w:val="21"/>
        </w:rPr>
        <w:t>三重四极杆质谱仪</w:t>
      </w:r>
    </w:p>
    <w:p w14:paraId="6F17460C">
      <w:pPr>
        <w:spacing w:line="360" w:lineRule="auto"/>
        <w:rPr>
          <w:rFonts w:hint="eastAsia" w:ascii="宋体" w:hAnsi="宋体"/>
          <w:color w:val="000000"/>
          <w:szCs w:val="21"/>
        </w:rPr>
      </w:pPr>
      <w:r>
        <w:rPr>
          <w:rFonts w:ascii="宋体" w:hAnsi="宋体"/>
          <w:b/>
          <w:bCs/>
          <w:color w:val="000000"/>
          <w:szCs w:val="21"/>
        </w:rPr>
        <w:t>一、</w:t>
      </w:r>
      <w:r>
        <w:rPr>
          <w:rFonts w:ascii="宋体" w:hAnsi="宋体"/>
          <w:color w:val="000000"/>
          <w:szCs w:val="21"/>
        </w:rPr>
        <w:t>综述：</w:t>
      </w:r>
    </w:p>
    <w:p w14:paraId="6AE7353D">
      <w:pPr>
        <w:spacing w:line="360" w:lineRule="auto"/>
        <w:rPr>
          <w:rFonts w:hint="eastAsia" w:ascii="宋体" w:hAnsi="宋体"/>
          <w:color w:val="000000"/>
          <w:szCs w:val="21"/>
        </w:rPr>
      </w:pPr>
      <w:r>
        <w:rPr>
          <w:rFonts w:ascii="宋体" w:hAnsi="宋体"/>
          <w:color w:val="000000"/>
          <w:szCs w:val="21"/>
        </w:rPr>
        <w:t>名称：</w:t>
      </w:r>
      <w:r>
        <w:rPr>
          <w:rFonts w:hint="eastAsia" w:ascii="宋体" w:hAnsi="宋体"/>
          <w:color w:val="000000"/>
          <w:szCs w:val="21"/>
        </w:rPr>
        <w:t>三重四极杆质谱仪</w:t>
      </w:r>
    </w:p>
    <w:p w14:paraId="42F2612B">
      <w:pPr>
        <w:spacing w:line="360" w:lineRule="auto"/>
        <w:rPr>
          <w:rFonts w:hint="eastAsia" w:ascii="宋体" w:hAnsi="宋体"/>
          <w:color w:val="000000"/>
          <w:szCs w:val="21"/>
        </w:rPr>
      </w:pPr>
      <w:r>
        <w:rPr>
          <w:rFonts w:ascii="宋体" w:hAnsi="宋体"/>
          <w:color w:val="000000"/>
          <w:szCs w:val="21"/>
        </w:rPr>
        <w:t>数量：1套</w:t>
      </w:r>
    </w:p>
    <w:p w14:paraId="678679C6">
      <w:pPr>
        <w:spacing w:line="360" w:lineRule="auto"/>
        <w:rPr>
          <w:rFonts w:hint="eastAsia" w:ascii="宋体" w:hAnsi="宋体"/>
          <w:color w:val="000000"/>
          <w:szCs w:val="21"/>
        </w:rPr>
      </w:pPr>
      <w:r>
        <w:rPr>
          <w:rFonts w:ascii="宋体" w:hAnsi="宋体"/>
          <w:color w:val="000000"/>
          <w:szCs w:val="21"/>
        </w:rPr>
        <w:t>交货期：</w:t>
      </w:r>
      <w:r>
        <w:rPr>
          <w:rFonts w:hint="eastAsia" w:ascii="宋体" w:hAnsi="宋体"/>
          <w:color w:val="000000"/>
          <w:szCs w:val="21"/>
        </w:rPr>
        <w:t>收到信用证后4个月内到货或签订合同后4个月内到货。</w:t>
      </w:r>
    </w:p>
    <w:p w14:paraId="2CFA81E3">
      <w:pPr>
        <w:spacing w:line="360" w:lineRule="auto"/>
        <w:rPr>
          <w:rFonts w:hint="eastAsia" w:ascii="宋体" w:hAnsi="宋体"/>
          <w:color w:val="000000"/>
          <w:szCs w:val="21"/>
        </w:rPr>
      </w:pPr>
    </w:p>
    <w:p w14:paraId="2155BCF4">
      <w:pPr>
        <w:spacing w:line="360" w:lineRule="auto"/>
        <w:rPr>
          <w:rFonts w:hint="eastAsia" w:ascii="宋体" w:hAnsi="宋体"/>
          <w:color w:val="000000"/>
          <w:szCs w:val="21"/>
        </w:rPr>
      </w:pPr>
      <w:r>
        <w:rPr>
          <w:rFonts w:ascii="宋体" w:hAnsi="宋体"/>
          <w:color w:val="000000"/>
          <w:szCs w:val="21"/>
        </w:rPr>
        <w:t>二、功能：</w:t>
      </w:r>
    </w:p>
    <w:p w14:paraId="713EAE29">
      <w:pPr>
        <w:spacing w:line="360" w:lineRule="auto"/>
        <w:rPr>
          <w:rFonts w:hint="eastAsia" w:ascii="宋体" w:hAnsi="宋体"/>
          <w:color w:val="000000"/>
          <w:szCs w:val="21"/>
        </w:rPr>
      </w:pPr>
      <w:r>
        <w:rPr>
          <w:rFonts w:hint="eastAsia" w:ascii="宋体" w:hAnsi="宋体"/>
          <w:color w:val="000000"/>
          <w:szCs w:val="21"/>
        </w:rPr>
        <w:t>本设备主要配合高分辨质谱，进行代谢物鉴定和代谢组学研究。</w:t>
      </w:r>
    </w:p>
    <w:p w14:paraId="0CAC4CB7">
      <w:pPr>
        <w:spacing w:line="360" w:lineRule="auto"/>
        <w:rPr>
          <w:rFonts w:hint="eastAsia" w:ascii="宋体" w:hAnsi="宋体"/>
          <w:color w:val="000000"/>
          <w:szCs w:val="21"/>
        </w:rPr>
      </w:pPr>
    </w:p>
    <w:p w14:paraId="4907B8A9">
      <w:pPr>
        <w:spacing w:line="360" w:lineRule="auto"/>
        <w:rPr>
          <w:rFonts w:hint="eastAsia" w:ascii="宋体" w:hAnsi="宋体"/>
          <w:color w:val="000000"/>
          <w:szCs w:val="21"/>
        </w:rPr>
      </w:pPr>
      <w:r>
        <w:rPr>
          <w:rFonts w:ascii="宋体" w:hAnsi="宋体"/>
          <w:color w:val="000000"/>
          <w:szCs w:val="21"/>
        </w:rPr>
        <w:t>三、技术要求：</w:t>
      </w:r>
    </w:p>
    <w:p w14:paraId="4843FD5E">
      <w:pPr>
        <w:spacing w:line="360" w:lineRule="auto"/>
        <w:rPr>
          <w:rFonts w:hint="eastAsia" w:ascii="宋体" w:hAnsi="宋体"/>
          <w:color w:val="000000"/>
          <w:szCs w:val="21"/>
        </w:rPr>
      </w:pPr>
      <w:r>
        <w:rPr>
          <w:rFonts w:ascii="宋体" w:hAnsi="宋体"/>
          <w:color w:val="000000"/>
          <w:szCs w:val="21"/>
        </w:rPr>
        <w:t>1. 工作条件</w:t>
      </w:r>
    </w:p>
    <w:p w14:paraId="735BCE0C">
      <w:pPr>
        <w:spacing w:line="360" w:lineRule="auto"/>
        <w:rPr>
          <w:rFonts w:hint="eastAsia" w:ascii="宋体" w:hAnsi="宋体"/>
          <w:color w:val="000000"/>
          <w:szCs w:val="21"/>
        </w:rPr>
      </w:pPr>
      <w:r>
        <w:rPr>
          <w:rFonts w:ascii="宋体" w:hAnsi="宋体"/>
          <w:color w:val="000000"/>
          <w:szCs w:val="21"/>
        </w:rPr>
        <w:t>1.1.1电源电压：230V±10%， 50/60Hz， 16A</w:t>
      </w:r>
    </w:p>
    <w:p w14:paraId="23FC8677">
      <w:pPr>
        <w:spacing w:line="360" w:lineRule="auto"/>
        <w:rPr>
          <w:rFonts w:hint="eastAsia" w:ascii="宋体" w:hAnsi="宋体"/>
          <w:color w:val="000000"/>
          <w:szCs w:val="21"/>
        </w:rPr>
      </w:pPr>
      <w:r>
        <w:rPr>
          <w:rFonts w:ascii="宋体" w:hAnsi="宋体"/>
          <w:color w:val="000000"/>
          <w:szCs w:val="21"/>
        </w:rPr>
        <w:t>1.1.2环境温度：15-27℃（最优：18~21℃）</w:t>
      </w:r>
    </w:p>
    <w:p w14:paraId="29BF507C">
      <w:pPr>
        <w:spacing w:line="360" w:lineRule="auto"/>
        <w:rPr>
          <w:rFonts w:hint="eastAsia" w:ascii="宋体" w:hAnsi="宋体"/>
          <w:color w:val="000000"/>
          <w:szCs w:val="21"/>
        </w:rPr>
      </w:pPr>
      <w:r>
        <w:rPr>
          <w:rFonts w:ascii="宋体" w:hAnsi="宋体"/>
          <w:color w:val="000000"/>
          <w:szCs w:val="21"/>
        </w:rPr>
        <w:t xml:space="preserve">1.1.3相对湿度：20-80% </w:t>
      </w:r>
    </w:p>
    <w:p w14:paraId="2B7F62F0">
      <w:pPr>
        <w:spacing w:line="360" w:lineRule="auto"/>
        <w:rPr>
          <w:rFonts w:hint="eastAsia" w:ascii="宋体" w:hAnsi="宋体"/>
          <w:color w:val="000000"/>
          <w:szCs w:val="21"/>
        </w:rPr>
      </w:pPr>
      <w:r>
        <w:rPr>
          <w:rFonts w:ascii="宋体" w:hAnsi="宋体"/>
          <w:color w:val="000000"/>
          <w:szCs w:val="21"/>
        </w:rPr>
        <w:t>1.1.4气体需求： 雾化气N2：纯（99%纯度）N2， 碰撞气Ar：超高纯Ar或N2（99.999%）</w:t>
      </w:r>
    </w:p>
    <w:p w14:paraId="51036C60">
      <w:pPr>
        <w:spacing w:line="360" w:lineRule="auto"/>
        <w:rPr>
          <w:rFonts w:hint="eastAsia" w:ascii="宋体" w:hAnsi="宋体"/>
          <w:color w:val="000000"/>
          <w:szCs w:val="21"/>
        </w:rPr>
      </w:pPr>
      <w:r>
        <w:rPr>
          <w:rFonts w:ascii="宋体" w:hAnsi="宋体"/>
          <w:color w:val="000000"/>
          <w:szCs w:val="21"/>
        </w:rPr>
        <w:t>2. 质谱部分技术性能</w:t>
      </w:r>
    </w:p>
    <w:p w14:paraId="0B617AE4">
      <w:pPr>
        <w:spacing w:line="360" w:lineRule="auto"/>
        <w:rPr>
          <w:rFonts w:hint="eastAsia" w:ascii="宋体" w:hAnsi="宋体"/>
          <w:color w:val="000000"/>
          <w:szCs w:val="21"/>
        </w:rPr>
      </w:pPr>
      <w:r>
        <w:rPr>
          <w:rFonts w:ascii="宋体" w:hAnsi="宋体"/>
          <w:color w:val="000000"/>
          <w:szCs w:val="21"/>
        </w:rPr>
        <w:t>2.1 离子源</w:t>
      </w:r>
    </w:p>
    <w:p w14:paraId="35B43267">
      <w:pPr>
        <w:spacing w:line="360" w:lineRule="auto"/>
        <w:rPr>
          <w:rFonts w:hint="eastAsia" w:ascii="宋体" w:hAnsi="宋体"/>
          <w:color w:val="000000"/>
          <w:szCs w:val="21"/>
        </w:rPr>
      </w:pPr>
      <w:r>
        <w:rPr>
          <w:rFonts w:hint="eastAsia" w:ascii="宋体" w:hAnsi="宋体"/>
          <w:color w:val="000000"/>
          <w:szCs w:val="21"/>
        </w:rPr>
        <w:t>#</w:t>
      </w:r>
      <w:r>
        <w:rPr>
          <w:rFonts w:ascii="宋体" w:hAnsi="宋体"/>
          <w:color w:val="000000"/>
          <w:szCs w:val="21"/>
        </w:rPr>
        <w:t>2.1.1离子源：独立的可加热电喷雾离子源（ESI源）和大气压化学电离源（APCI源），安装离子源时可实现气路电路自动识别</w:t>
      </w:r>
      <w:r>
        <w:rPr>
          <w:rFonts w:hint="eastAsia" w:ascii="宋体" w:hAnsi="宋体"/>
          <w:color w:val="000000"/>
          <w:szCs w:val="21"/>
        </w:rPr>
        <w:t>，自动</w:t>
      </w:r>
      <w:r>
        <w:rPr>
          <w:rFonts w:ascii="宋体" w:hAnsi="宋体"/>
          <w:color w:val="000000"/>
          <w:szCs w:val="21"/>
        </w:rPr>
        <w:t>连接，</w:t>
      </w:r>
      <w:r>
        <w:rPr>
          <w:rFonts w:hint="eastAsia" w:ascii="宋体" w:hAnsi="宋体"/>
          <w:color w:val="000000"/>
          <w:szCs w:val="21"/>
        </w:rPr>
        <w:t>可保障</w:t>
      </w:r>
      <w:r>
        <w:rPr>
          <w:rFonts w:ascii="宋体" w:hAnsi="宋体"/>
          <w:color w:val="000000"/>
          <w:szCs w:val="21"/>
        </w:rPr>
        <w:t>零误操作；</w:t>
      </w:r>
    </w:p>
    <w:p w14:paraId="5CFE6E63">
      <w:pPr>
        <w:spacing w:line="360" w:lineRule="auto"/>
        <w:rPr>
          <w:rFonts w:hint="eastAsia" w:ascii="宋体" w:hAnsi="宋体"/>
          <w:color w:val="000000"/>
          <w:szCs w:val="21"/>
        </w:rPr>
      </w:pPr>
      <w:r>
        <w:rPr>
          <w:rFonts w:ascii="宋体" w:hAnsi="宋体"/>
          <w:color w:val="000000"/>
          <w:szCs w:val="21"/>
        </w:rPr>
        <w:t>2.1.2 ESI与APCI切换无需拆卸离子源；</w:t>
      </w:r>
    </w:p>
    <w:p w14:paraId="27DDA50E">
      <w:pPr>
        <w:spacing w:line="360" w:lineRule="auto"/>
        <w:rPr>
          <w:rFonts w:hint="eastAsia" w:ascii="宋体" w:hAnsi="宋体"/>
          <w:color w:val="000000"/>
          <w:szCs w:val="21"/>
        </w:rPr>
      </w:pPr>
      <w:r>
        <w:rPr>
          <w:rFonts w:hint="eastAsia" w:ascii="宋体" w:hAnsi="宋体"/>
          <w:color w:val="000000"/>
          <w:szCs w:val="21"/>
        </w:rPr>
        <w:t>#</w:t>
      </w:r>
      <w:r>
        <w:rPr>
          <w:rFonts w:ascii="宋体" w:hAnsi="宋体"/>
          <w:color w:val="000000"/>
          <w:szCs w:val="21"/>
        </w:rPr>
        <w:t>2.1.3探针</w:t>
      </w:r>
      <w:r>
        <w:rPr>
          <w:rFonts w:hint="eastAsia" w:ascii="宋体" w:hAnsi="宋体"/>
          <w:color w:val="000000"/>
          <w:szCs w:val="21"/>
        </w:rPr>
        <w:t>需可以应对复杂样品时质谱信号的便利优化。</w:t>
      </w:r>
      <w:r>
        <w:rPr>
          <w:rFonts w:ascii="宋体" w:hAnsi="宋体"/>
          <w:color w:val="000000"/>
          <w:szCs w:val="21"/>
        </w:rPr>
        <w:t>提供具体实现方式说明。</w:t>
      </w:r>
    </w:p>
    <w:p w14:paraId="7D11E2CC">
      <w:pPr>
        <w:spacing w:line="360" w:lineRule="auto"/>
        <w:rPr>
          <w:rFonts w:hint="eastAsia" w:ascii="宋体" w:hAnsi="宋体"/>
          <w:color w:val="000000"/>
          <w:szCs w:val="21"/>
        </w:rPr>
      </w:pPr>
      <w:r>
        <w:rPr>
          <w:rFonts w:ascii="宋体" w:hAnsi="宋体"/>
          <w:color w:val="000000"/>
          <w:szCs w:val="21"/>
        </w:rPr>
        <w:t xml:space="preserve">2.1.4 </w:t>
      </w:r>
      <w:r>
        <w:rPr>
          <w:rFonts w:hint="eastAsia" w:ascii="宋体" w:hAnsi="宋体"/>
          <w:color w:val="000000"/>
          <w:szCs w:val="21"/>
        </w:rPr>
        <w:t>离子源可以</w:t>
      </w:r>
      <w:r>
        <w:rPr>
          <w:rFonts w:ascii="宋体" w:hAnsi="宋体"/>
          <w:color w:val="000000"/>
          <w:szCs w:val="21"/>
        </w:rPr>
        <w:t>降低化学噪音；提供具体实现方式说明。</w:t>
      </w:r>
    </w:p>
    <w:p w14:paraId="3236AEB6">
      <w:pPr>
        <w:spacing w:line="360" w:lineRule="auto"/>
        <w:rPr>
          <w:rFonts w:hint="eastAsia" w:ascii="宋体" w:hAnsi="宋体"/>
          <w:color w:val="000000"/>
          <w:szCs w:val="21"/>
        </w:rPr>
      </w:pPr>
      <w:r>
        <w:rPr>
          <w:rFonts w:ascii="宋体" w:hAnsi="宋体"/>
          <w:color w:val="000000"/>
          <w:szCs w:val="21"/>
        </w:rPr>
        <w:t>2.1.5 具有雾化气、辅助雾化气、可调式吹扫气（0-15L/min可调），进一步提高雾化效率和稳定性；</w:t>
      </w:r>
    </w:p>
    <w:p w14:paraId="76D946AB">
      <w:pPr>
        <w:spacing w:line="360" w:lineRule="auto"/>
        <w:rPr>
          <w:rFonts w:hint="eastAsia" w:ascii="宋体" w:hAnsi="宋体"/>
          <w:color w:val="000000"/>
          <w:szCs w:val="21"/>
        </w:rPr>
      </w:pPr>
      <w:r>
        <w:rPr>
          <w:rFonts w:ascii="宋体" w:hAnsi="宋体"/>
          <w:color w:val="000000"/>
          <w:szCs w:val="21"/>
        </w:rPr>
        <w:t>2.1.6在高灵敏度的情况下</w:t>
      </w:r>
      <w:r>
        <w:rPr>
          <w:rFonts w:hint="eastAsia" w:ascii="宋体" w:hAnsi="宋体"/>
          <w:color w:val="000000"/>
          <w:szCs w:val="21"/>
        </w:rPr>
        <w:t>具有高耐用性；</w:t>
      </w:r>
      <w:r>
        <w:rPr>
          <w:rFonts w:ascii="宋体" w:hAnsi="宋体"/>
          <w:color w:val="000000"/>
          <w:szCs w:val="21"/>
        </w:rPr>
        <w:t>提供具体实现方式说明。</w:t>
      </w:r>
    </w:p>
    <w:p w14:paraId="08790410">
      <w:pPr>
        <w:spacing w:line="360" w:lineRule="auto"/>
        <w:rPr>
          <w:rFonts w:hint="eastAsia" w:ascii="宋体" w:hAnsi="宋体"/>
          <w:color w:val="000000"/>
          <w:szCs w:val="21"/>
        </w:rPr>
      </w:pPr>
      <w:r>
        <w:rPr>
          <w:rFonts w:ascii="宋体" w:hAnsi="宋体"/>
          <w:color w:val="000000"/>
          <w:szCs w:val="21"/>
        </w:rPr>
        <w:t>2.1.7 ESI源</w:t>
      </w:r>
      <w:r>
        <w:rPr>
          <w:rFonts w:hint="eastAsia" w:ascii="宋体" w:hAnsi="宋体"/>
          <w:color w:val="000000"/>
          <w:szCs w:val="21"/>
        </w:rPr>
        <w:t>：</w:t>
      </w:r>
      <w:r>
        <w:rPr>
          <w:rFonts w:ascii="宋体" w:hAnsi="宋体"/>
          <w:color w:val="000000"/>
          <w:szCs w:val="21"/>
        </w:rPr>
        <w:t>加热温度最高</w:t>
      </w:r>
      <w:r>
        <w:rPr>
          <w:rFonts w:hint="eastAsia" w:ascii="宋体" w:hAnsi="宋体"/>
          <w:color w:val="000000"/>
          <w:szCs w:val="21"/>
        </w:rPr>
        <w:t>≥</w:t>
      </w:r>
      <w:r>
        <w:rPr>
          <w:rFonts w:ascii="宋体" w:hAnsi="宋体"/>
          <w:color w:val="000000"/>
          <w:szCs w:val="21"/>
        </w:rPr>
        <w:t>550℃，流速</w:t>
      </w:r>
      <w:r>
        <w:rPr>
          <w:rFonts w:hint="eastAsia" w:ascii="宋体" w:hAnsi="宋体"/>
          <w:color w:val="000000"/>
          <w:szCs w:val="21"/>
        </w:rPr>
        <w:t>范围≥</w:t>
      </w:r>
      <w:r>
        <w:rPr>
          <w:rFonts w:ascii="宋体" w:hAnsi="宋体"/>
          <w:color w:val="000000"/>
          <w:szCs w:val="21"/>
        </w:rPr>
        <w:t>1ul-2000</w:t>
      </w:r>
      <w:r>
        <w:rPr>
          <w:rFonts w:hint="eastAsia" w:ascii="宋体" w:hAnsi="宋体"/>
          <w:color w:val="000000"/>
          <w:szCs w:val="21"/>
        </w:rPr>
        <w:t>m</w:t>
      </w:r>
      <w:r>
        <w:rPr>
          <w:rFonts w:ascii="宋体" w:hAnsi="宋体"/>
          <w:color w:val="000000"/>
          <w:szCs w:val="21"/>
        </w:rPr>
        <w:t xml:space="preserve">l/min； </w:t>
      </w:r>
    </w:p>
    <w:p w14:paraId="259D89B2">
      <w:pPr>
        <w:spacing w:line="360" w:lineRule="auto"/>
        <w:rPr>
          <w:rFonts w:hint="eastAsia" w:ascii="宋体" w:hAnsi="宋体"/>
          <w:color w:val="000000"/>
          <w:szCs w:val="21"/>
        </w:rPr>
      </w:pPr>
      <w:r>
        <w:rPr>
          <w:rFonts w:ascii="宋体" w:hAnsi="宋体"/>
          <w:color w:val="000000"/>
          <w:szCs w:val="21"/>
        </w:rPr>
        <w:t>2.1.8</w:t>
      </w:r>
      <w:r>
        <w:rPr>
          <w:rFonts w:hint="eastAsia" w:ascii="宋体" w:hAnsi="宋体"/>
          <w:color w:val="000000"/>
          <w:szCs w:val="21"/>
        </w:rPr>
        <w:t xml:space="preserve"> </w:t>
      </w:r>
      <w:r>
        <w:rPr>
          <w:rFonts w:ascii="宋体" w:hAnsi="宋体"/>
          <w:color w:val="000000"/>
          <w:szCs w:val="21"/>
        </w:rPr>
        <w:t>APCI源：加热温度最高</w:t>
      </w:r>
      <w:r>
        <w:rPr>
          <w:rFonts w:hint="eastAsia" w:ascii="宋体" w:hAnsi="宋体"/>
          <w:color w:val="000000"/>
          <w:szCs w:val="21"/>
        </w:rPr>
        <w:t>≥</w:t>
      </w:r>
      <w:r>
        <w:rPr>
          <w:rFonts w:ascii="宋体" w:hAnsi="宋体"/>
          <w:color w:val="000000"/>
          <w:szCs w:val="21"/>
        </w:rPr>
        <w:t>550℃，流速</w:t>
      </w:r>
      <w:r>
        <w:rPr>
          <w:rFonts w:hint="eastAsia" w:ascii="宋体" w:hAnsi="宋体"/>
          <w:color w:val="000000"/>
          <w:szCs w:val="21"/>
        </w:rPr>
        <w:t>范围≥</w:t>
      </w:r>
      <w:r>
        <w:rPr>
          <w:rFonts w:ascii="宋体" w:hAnsi="宋体"/>
          <w:color w:val="000000"/>
          <w:szCs w:val="21"/>
        </w:rPr>
        <w:t>50ul-2000</w:t>
      </w:r>
      <w:r>
        <w:rPr>
          <w:rFonts w:hint="eastAsia" w:ascii="宋体" w:hAnsi="宋体"/>
          <w:color w:val="000000"/>
          <w:szCs w:val="21"/>
        </w:rPr>
        <w:t>m</w:t>
      </w:r>
      <w:r>
        <w:rPr>
          <w:rFonts w:ascii="宋体" w:hAnsi="宋体"/>
          <w:color w:val="000000"/>
          <w:szCs w:val="21"/>
        </w:rPr>
        <w:t>l/min；</w:t>
      </w:r>
    </w:p>
    <w:p w14:paraId="27B827C4">
      <w:pPr>
        <w:spacing w:line="360" w:lineRule="auto"/>
        <w:rPr>
          <w:rFonts w:hint="eastAsia" w:ascii="宋体" w:hAnsi="宋体"/>
          <w:color w:val="000000"/>
          <w:szCs w:val="21"/>
        </w:rPr>
      </w:pPr>
      <w:r>
        <w:rPr>
          <w:rFonts w:ascii="宋体" w:hAnsi="宋体"/>
          <w:color w:val="000000"/>
          <w:szCs w:val="21"/>
        </w:rPr>
        <w:t>2.1.9</w:t>
      </w:r>
      <w:r>
        <w:rPr>
          <w:rFonts w:hint="eastAsia" w:ascii="宋体" w:hAnsi="宋体"/>
          <w:color w:val="000000"/>
          <w:szCs w:val="21"/>
        </w:rPr>
        <w:t>可</w:t>
      </w:r>
      <w:r>
        <w:rPr>
          <w:rFonts w:ascii="宋体" w:hAnsi="宋体"/>
          <w:color w:val="000000"/>
          <w:szCs w:val="21"/>
        </w:rPr>
        <w:t>实现质谱直接进样，自动调谐和校正，可通过软件和通过操作面板自动设置；</w:t>
      </w:r>
    </w:p>
    <w:p w14:paraId="5EDA4339">
      <w:pPr>
        <w:spacing w:line="360" w:lineRule="auto"/>
        <w:rPr>
          <w:rFonts w:hint="eastAsia" w:ascii="宋体" w:hAnsi="宋体"/>
          <w:color w:val="000000"/>
          <w:szCs w:val="21"/>
        </w:rPr>
      </w:pPr>
      <w:r>
        <w:rPr>
          <w:rFonts w:ascii="宋体" w:hAnsi="宋体"/>
          <w:color w:val="000000"/>
          <w:szCs w:val="21"/>
        </w:rPr>
        <w:t>2.1.10质谱配置软件具备实时监控反馈喷雾稳定性功能；</w:t>
      </w:r>
    </w:p>
    <w:p w14:paraId="7651C44F">
      <w:pPr>
        <w:spacing w:line="360" w:lineRule="auto"/>
        <w:rPr>
          <w:rFonts w:hint="eastAsia" w:ascii="宋体" w:hAnsi="宋体"/>
          <w:color w:val="000000"/>
          <w:szCs w:val="21"/>
        </w:rPr>
      </w:pPr>
      <w:r>
        <w:rPr>
          <w:rFonts w:ascii="宋体" w:hAnsi="宋体"/>
          <w:color w:val="000000"/>
          <w:szCs w:val="21"/>
        </w:rPr>
        <w:t>2.1.11离子源腔体可以直接观察喷雾效果</w:t>
      </w:r>
      <w:r>
        <w:rPr>
          <w:rFonts w:hint="eastAsia" w:ascii="宋体" w:hAnsi="宋体"/>
          <w:color w:val="000000"/>
          <w:szCs w:val="21"/>
        </w:rPr>
        <w:t>，以便在实验出现问题时方便排查故障原因</w:t>
      </w:r>
      <w:r>
        <w:rPr>
          <w:rFonts w:ascii="宋体" w:hAnsi="宋体"/>
          <w:color w:val="000000"/>
          <w:szCs w:val="21"/>
        </w:rPr>
        <w:t xml:space="preserve">； </w:t>
      </w:r>
    </w:p>
    <w:p w14:paraId="39E50C67">
      <w:pPr>
        <w:spacing w:line="360" w:lineRule="auto"/>
        <w:rPr>
          <w:rFonts w:hint="eastAsia" w:ascii="宋体" w:hAnsi="宋体"/>
          <w:color w:val="000000"/>
          <w:szCs w:val="21"/>
        </w:rPr>
      </w:pPr>
      <w:r>
        <w:rPr>
          <w:rFonts w:ascii="宋体" w:hAnsi="宋体"/>
          <w:color w:val="000000"/>
          <w:szCs w:val="21"/>
        </w:rPr>
        <w:t>2.1.12离子源所有可调节部件具备防烫伤功能，保证操作人员安全。</w:t>
      </w:r>
    </w:p>
    <w:p w14:paraId="23198F15">
      <w:pPr>
        <w:spacing w:line="360" w:lineRule="auto"/>
        <w:rPr>
          <w:rFonts w:hint="eastAsia" w:ascii="宋体" w:hAnsi="宋体"/>
          <w:color w:val="000000"/>
          <w:szCs w:val="21"/>
        </w:rPr>
      </w:pPr>
      <w:r>
        <w:rPr>
          <w:rFonts w:ascii="宋体" w:hAnsi="宋体"/>
          <w:color w:val="000000"/>
          <w:szCs w:val="21"/>
        </w:rPr>
        <w:t>2.2 离子传输系统</w:t>
      </w:r>
    </w:p>
    <w:p w14:paraId="2692CCEE">
      <w:pPr>
        <w:spacing w:line="360" w:lineRule="auto"/>
        <w:rPr>
          <w:rFonts w:hint="eastAsia" w:ascii="宋体" w:hAnsi="宋体"/>
          <w:color w:val="000000"/>
          <w:szCs w:val="21"/>
        </w:rPr>
      </w:pPr>
      <w:r>
        <w:rPr>
          <w:rFonts w:ascii="宋体" w:hAnsi="宋体"/>
          <w:color w:val="000000"/>
          <w:szCs w:val="21"/>
        </w:rPr>
        <w:t>2.2.1 离子传输系统</w:t>
      </w:r>
      <w:r>
        <w:rPr>
          <w:rFonts w:hint="eastAsia" w:ascii="宋体" w:hAnsi="宋体"/>
          <w:color w:val="000000"/>
          <w:szCs w:val="21"/>
        </w:rPr>
        <w:t>采用</w:t>
      </w:r>
      <w:r>
        <w:rPr>
          <w:rFonts w:ascii="宋体" w:hAnsi="宋体"/>
          <w:color w:val="000000"/>
          <w:szCs w:val="21"/>
        </w:rPr>
        <w:t>离子传输管</w:t>
      </w:r>
      <w:r>
        <w:rPr>
          <w:rFonts w:hint="eastAsia" w:ascii="宋体" w:hAnsi="宋体"/>
          <w:color w:val="000000"/>
          <w:szCs w:val="21"/>
        </w:rPr>
        <w:t>或锥孔设计</w:t>
      </w:r>
    </w:p>
    <w:p w14:paraId="68CC980E">
      <w:pPr>
        <w:spacing w:line="360" w:lineRule="auto"/>
        <w:rPr>
          <w:rFonts w:hint="eastAsia" w:ascii="宋体" w:hAnsi="宋体"/>
          <w:color w:val="000000"/>
          <w:szCs w:val="21"/>
        </w:rPr>
      </w:pPr>
      <w:r>
        <w:rPr>
          <w:rFonts w:hint="eastAsia" w:ascii="宋体" w:hAnsi="宋体"/>
          <w:color w:val="000000"/>
          <w:szCs w:val="21"/>
        </w:rPr>
        <w:t>★</w:t>
      </w:r>
      <w:r>
        <w:rPr>
          <w:rFonts w:ascii="宋体" w:hAnsi="宋体"/>
          <w:color w:val="000000"/>
          <w:szCs w:val="21"/>
        </w:rPr>
        <w:t xml:space="preserve">2.2.2在移去、清洗离子传输部件时，不需破坏真空即可实现快速更换, 待机时不需要消耗氮气； </w:t>
      </w:r>
    </w:p>
    <w:p w14:paraId="0BF249E0">
      <w:pPr>
        <w:spacing w:line="360" w:lineRule="auto"/>
        <w:rPr>
          <w:rFonts w:hint="eastAsia" w:ascii="宋体" w:hAnsi="宋体"/>
          <w:color w:val="000000"/>
          <w:szCs w:val="21"/>
        </w:rPr>
      </w:pPr>
      <w:r>
        <w:rPr>
          <w:rFonts w:ascii="宋体" w:hAnsi="宋体"/>
          <w:color w:val="000000"/>
          <w:szCs w:val="21"/>
        </w:rPr>
        <w:t>2.2.3</w:t>
      </w:r>
      <w:r>
        <w:rPr>
          <w:rFonts w:hint="eastAsia" w:ascii="宋体" w:hAnsi="宋体"/>
          <w:color w:val="000000"/>
          <w:szCs w:val="21"/>
        </w:rPr>
        <w:t>离子聚焦技术</w:t>
      </w:r>
      <w:r>
        <w:rPr>
          <w:rFonts w:ascii="宋体" w:hAnsi="宋体"/>
          <w:color w:val="000000"/>
          <w:szCs w:val="21"/>
        </w:rPr>
        <w:t xml:space="preserve">：有效捕获离子并聚焦 </w:t>
      </w:r>
    </w:p>
    <w:p w14:paraId="6908C25B">
      <w:pPr>
        <w:spacing w:line="360" w:lineRule="auto"/>
        <w:rPr>
          <w:rFonts w:hint="eastAsia" w:ascii="宋体" w:hAnsi="宋体"/>
          <w:color w:val="000000"/>
          <w:szCs w:val="21"/>
        </w:rPr>
      </w:pPr>
      <w:r>
        <w:rPr>
          <w:rFonts w:ascii="宋体" w:hAnsi="宋体"/>
          <w:color w:val="000000"/>
          <w:szCs w:val="21"/>
        </w:rPr>
        <w:t>2.3 四极杆质量分析器</w:t>
      </w:r>
    </w:p>
    <w:p w14:paraId="10150ECE">
      <w:pPr>
        <w:spacing w:line="360" w:lineRule="auto"/>
        <w:rPr>
          <w:rFonts w:hint="eastAsia" w:ascii="宋体" w:hAnsi="宋体"/>
          <w:color w:val="000000"/>
          <w:szCs w:val="21"/>
        </w:rPr>
      </w:pPr>
      <w:r>
        <w:rPr>
          <w:rFonts w:ascii="宋体" w:hAnsi="宋体"/>
          <w:color w:val="000000"/>
          <w:szCs w:val="21"/>
        </w:rPr>
        <w:t>★2.3.1 Q1和Q3均采用金属钼四极杆，</w:t>
      </w:r>
      <w:r>
        <w:rPr>
          <w:rFonts w:hint="eastAsia" w:ascii="宋体" w:hAnsi="宋体"/>
          <w:color w:val="000000"/>
          <w:szCs w:val="21"/>
        </w:rPr>
        <w:t>以方便频繁清洗易残留的合成材料</w:t>
      </w:r>
      <w:r>
        <w:rPr>
          <w:rFonts w:ascii="宋体" w:hAnsi="宋体"/>
          <w:color w:val="000000"/>
          <w:szCs w:val="21"/>
        </w:rPr>
        <w:t>，提高耐用性，</w:t>
      </w:r>
      <w:r>
        <w:rPr>
          <w:rFonts w:hint="eastAsia" w:ascii="宋体" w:hAnsi="宋体"/>
          <w:color w:val="000000"/>
          <w:szCs w:val="21"/>
        </w:rPr>
        <w:t>降低后期使用成本。</w:t>
      </w:r>
    </w:p>
    <w:p w14:paraId="12E59DFA">
      <w:pPr>
        <w:spacing w:line="360" w:lineRule="auto"/>
        <w:rPr>
          <w:rFonts w:hint="eastAsia" w:ascii="宋体" w:hAnsi="宋体"/>
          <w:color w:val="000000"/>
          <w:szCs w:val="21"/>
        </w:rPr>
      </w:pPr>
      <w:r>
        <w:rPr>
          <w:rFonts w:ascii="宋体" w:hAnsi="宋体"/>
          <w:color w:val="000000"/>
          <w:szCs w:val="21"/>
        </w:rPr>
        <w:t>★2.3.2四极杆质量分析器</w:t>
      </w:r>
      <w:r>
        <w:rPr>
          <w:rFonts w:hint="eastAsia" w:ascii="宋体" w:hAnsi="宋体"/>
          <w:color w:val="000000"/>
          <w:szCs w:val="21"/>
        </w:rPr>
        <w:t>最高分辨率能达到</w:t>
      </w:r>
      <w:r>
        <w:rPr>
          <w:rFonts w:ascii="宋体" w:hAnsi="宋体"/>
          <w:color w:val="000000"/>
          <w:szCs w:val="21"/>
        </w:rPr>
        <w:t>0.2amu</w:t>
      </w:r>
      <w:r>
        <w:rPr>
          <w:rFonts w:hint="eastAsia" w:ascii="宋体" w:hAnsi="宋体"/>
          <w:color w:val="000000"/>
          <w:szCs w:val="21"/>
        </w:rPr>
        <w:t>或更高（质量窗口数值越低分辨率越高），以满足代谢物鉴定实验对高分辨率的要求</w:t>
      </w:r>
      <w:r>
        <w:rPr>
          <w:rFonts w:ascii="宋体" w:hAnsi="宋体"/>
          <w:color w:val="000000"/>
          <w:szCs w:val="21"/>
        </w:rPr>
        <w:t>；</w:t>
      </w:r>
    </w:p>
    <w:p w14:paraId="0DEA2896">
      <w:pPr>
        <w:spacing w:line="360" w:lineRule="auto"/>
        <w:rPr>
          <w:rFonts w:hint="eastAsia" w:ascii="宋体" w:hAnsi="宋体"/>
          <w:color w:val="000000"/>
          <w:szCs w:val="21"/>
        </w:rPr>
      </w:pPr>
      <w:r>
        <w:rPr>
          <w:rFonts w:ascii="宋体" w:hAnsi="宋体"/>
          <w:color w:val="000000"/>
          <w:szCs w:val="21"/>
        </w:rPr>
        <w:t>★2.3.3</w:t>
      </w:r>
      <w:r>
        <w:rPr>
          <w:rFonts w:hint="eastAsia" w:ascii="宋体" w:hAnsi="宋体"/>
          <w:color w:val="000000"/>
          <w:szCs w:val="21"/>
        </w:rPr>
        <w:t>碰撞池采用</w:t>
      </w:r>
      <w:r>
        <w:rPr>
          <w:rFonts w:ascii="宋体" w:hAnsi="宋体"/>
          <w:color w:val="000000"/>
          <w:szCs w:val="21"/>
        </w:rPr>
        <w:t>弯曲设计</w:t>
      </w:r>
      <w:r>
        <w:rPr>
          <w:rFonts w:hint="eastAsia" w:ascii="宋体" w:hAnsi="宋体"/>
          <w:color w:val="000000"/>
          <w:szCs w:val="21"/>
        </w:rPr>
        <w:t>，以</w:t>
      </w:r>
      <w:r>
        <w:rPr>
          <w:rFonts w:ascii="宋体" w:hAnsi="宋体"/>
          <w:color w:val="000000"/>
          <w:szCs w:val="21"/>
        </w:rPr>
        <w:t>阻挡中性粒子和高速分子团，保持离子传输通道的清洁，减少噪音，提高耐用性</w:t>
      </w:r>
      <w:r>
        <w:rPr>
          <w:rFonts w:hint="eastAsia" w:ascii="宋体" w:hAnsi="宋体"/>
          <w:color w:val="000000"/>
          <w:szCs w:val="21"/>
        </w:rPr>
        <w:t xml:space="preserve">； </w:t>
      </w:r>
    </w:p>
    <w:p w14:paraId="6B23AEC6">
      <w:pPr>
        <w:spacing w:line="360" w:lineRule="auto"/>
        <w:rPr>
          <w:rFonts w:hint="eastAsia" w:ascii="宋体" w:hAnsi="宋体"/>
          <w:color w:val="000000"/>
          <w:szCs w:val="21"/>
        </w:rPr>
      </w:pPr>
      <w:r>
        <w:rPr>
          <w:rFonts w:ascii="宋体" w:hAnsi="宋体"/>
          <w:color w:val="000000"/>
          <w:szCs w:val="21"/>
        </w:rPr>
        <w:t>2.3.4 碰撞气为高纯高惰性氩气或氮气，确保母离子碎裂效率；</w:t>
      </w:r>
    </w:p>
    <w:p w14:paraId="52F4C92E">
      <w:pPr>
        <w:spacing w:line="360" w:lineRule="auto"/>
        <w:rPr>
          <w:rFonts w:hint="eastAsia" w:ascii="宋体" w:hAnsi="宋体"/>
          <w:color w:val="000000"/>
          <w:szCs w:val="21"/>
        </w:rPr>
      </w:pPr>
      <w:r>
        <w:rPr>
          <w:rFonts w:ascii="宋体" w:hAnsi="宋体"/>
          <w:color w:val="000000"/>
          <w:szCs w:val="21"/>
        </w:rPr>
        <w:t>2.3.</w:t>
      </w:r>
      <w:r>
        <w:rPr>
          <w:rFonts w:hint="eastAsia" w:ascii="宋体" w:hAnsi="宋体"/>
          <w:color w:val="000000"/>
          <w:szCs w:val="21"/>
        </w:rPr>
        <w:t>5</w:t>
      </w:r>
      <w:r>
        <w:rPr>
          <w:rFonts w:ascii="宋体" w:hAnsi="宋体"/>
          <w:color w:val="000000"/>
          <w:szCs w:val="21"/>
        </w:rPr>
        <w:t>质量数范围：5-2000，高端质量数不高于2000amu，Q1和Q3均可以达到；</w:t>
      </w:r>
    </w:p>
    <w:p w14:paraId="13D6CF3E">
      <w:pPr>
        <w:spacing w:line="360" w:lineRule="auto"/>
        <w:rPr>
          <w:rFonts w:hint="eastAsia" w:ascii="宋体" w:hAnsi="宋体"/>
          <w:color w:val="000000"/>
          <w:szCs w:val="21"/>
        </w:rPr>
      </w:pPr>
      <w:r>
        <w:rPr>
          <w:rFonts w:ascii="宋体" w:hAnsi="宋体"/>
          <w:color w:val="000000"/>
          <w:szCs w:val="21"/>
        </w:rPr>
        <w:t>2.3.</w:t>
      </w:r>
      <w:r>
        <w:rPr>
          <w:rFonts w:hint="eastAsia" w:ascii="宋体" w:hAnsi="宋体"/>
          <w:color w:val="000000"/>
          <w:szCs w:val="21"/>
        </w:rPr>
        <w:t>6</w:t>
      </w:r>
      <w:r>
        <w:rPr>
          <w:rFonts w:ascii="宋体" w:hAnsi="宋体"/>
          <w:color w:val="000000"/>
          <w:szCs w:val="21"/>
        </w:rPr>
        <w:t>质量轴稳定性：≤0.05amu/24小时 (全质量数范围)；</w:t>
      </w:r>
    </w:p>
    <w:p w14:paraId="32D935B9">
      <w:pPr>
        <w:spacing w:line="360" w:lineRule="auto"/>
        <w:rPr>
          <w:rFonts w:hint="eastAsia" w:ascii="宋体" w:hAnsi="宋体"/>
          <w:color w:val="000000"/>
          <w:szCs w:val="21"/>
        </w:rPr>
      </w:pPr>
      <w:r>
        <w:rPr>
          <w:rFonts w:ascii="宋体" w:hAnsi="宋体"/>
          <w:color w:val="000000"/>
          <w:szCs w:val="21"/>
        </w:rPr>
        <w:t>2.3.</w:t>
      </w:r>
      <w:r>
        <w:rPr>
          <w:rFonts w:hint="eastAsia" w:ascii="宋体" w:hAnsi="宋体"/>
          <w:color w:val="000000"/>
          <w:szCs w:val="21"/>
        </w:rPr>
        <w:t>7</w:t>
      </w:r>
      <w:r>
        <w:rPr>
          <w:rFonts w:ascii="宋体" w:hAnsi="宋体"/>
          <w:color w:val="000000"/>
          <w:szCs w:val="21"/>
        </w:rPr>
        <w:t>质量准确度：全质量轴范围内≤0.1 amu；</w:t>
      </w:r>
    </w:p>
    <w:p w14:paraId="51EEB686">
      <w:pPr>
        <w:spacing w:line="360" w:lineRule="auto"/>
        <w:rPr>
          <w:rFonts w:hint="eastAsia" w:ascii="宋体" w:hAnsi="宋体"/>
          <w:color w:val="000000"/>
          <w:szCs w:val="21"/>
        </w:rPr>
      </w:pPr>
      <w:r>
        <w:rPr>
          <w:rFonts w:ascii="宋体" w:hAnsi="宋体"/>
          <w:color w:val="000000"/>
          <w:szCs w:val="21"/>
        </w:rPr>
        <w:t>2.3.</w:t>
      </w:r>
      <w:r>
        <w:rPr>
          <w:rFonts w:hint="eastAsia" w:ascii="宋体" w:hAnsi="宋体"/>
          <w:color w:val="000000"/>
          <w:szCs w:val="21"/>
        </w:rPr>
        <w:t>8 M</w:t>
      </w:r>
      <w:r>
        <w:rPr>
          <w:rFonts w:ascii="宋体" w:hAnsi="宋体"/>
          <w:color w:val="000000"/>
          <w:szCs w:val="21"/>
        </w:rPr>
        <w:t>RM最小驻留时间：≤ 1ms；</w:t>
      </w:r>
    </w:p>
    <w:p w14:paraId="4DDD14FC">
      <w:pPr>
        <w:spacing w:line="360" w:lineRule="auto"/>
        <w:rPr>
          <w:rFonts w:hint="eastAsia" w:ascii="宋体" w:hAnsi="宋体"/>
          <w:color w:val="000000"/>
          <w:szCs w:val="21"/>
        </w:rPr>
      </w:pPr>
      <w:r>
        <w:rPr>
          <w:rFonts w:ascii="宋体" w:hAnsi="宋体"/>
          <w:color w:val="000000"/>
          <w:szCs w:val="21"/>
        </w:rPr>
        <w:t>2.3.</w:t>
      </w:r>
      <w:r>
        <w:rPr>
          <w:rFonts w:hint="eastAsia" w:ascii="宋体" w:hAnsi="宋体"/>
          <w:color w:val="000000"/>
          <w:szCs w:val="21"/>
        </w:rPr>
        <w:t>9</w:t>
      </w:r>
      <w:r>
        <w:rPr>
          <w:rFonts w:ascii="宋体" w:hAnsi="宋体"/>
          <w:color w:val="000000"/>
          <w:szCs w:val="21"/>
        </w:rPr>
        <w:t>共轭双曲面四极杆扫描速度：≥15000amu/s；</w:t>
      </w:r>
    </w:p>
    <w:p w14:paraId="357AED60">
      <w:pPr>
        <w:spacing w:line="360" w:lineRule="auto"/>
        <w:rPr>
          <w:rFonts w:hint="eastAsia" w:ascii="宋体" w:hAnsi="宋体"/>
          <w:color w:val="000000"/>
          <w:szCs w:val="21"/>
        </w:rPr>
      </w:pPr>
      <w:r>
        <w:rPr>
          <w:rFonts w:ascii="宋体" w:hAnsi="宋体"/>
          <w:color w:val="000000"/>
          <w:szCs w:val="21"/>
        </w:rPr>
        <w:t>★2.3.1</w:t>
      </w:r>
      <w:r>
        <w:rPr>
          <w:rFonts w:hint="eastAsia" w:ascii="宋体" w:hAnsi="宋体"/>
          <w:color w:val="000000"/>
          <w:szCs w:val="21"/>
        </w:rPr>
        <w:t>0 M</w:t>
      </w:r>
      <w:r>
        <w:rPr>
          <w:rFonts w:ascii="宋体" w:hAnsi="宋体"/>
          <w:color w:val="000000"/>
          <w:szCs w:val="21"/>
        </w:rPr>
        <w:t>RM扫描速度：</w:t>
      </w:r>
      <w:r>
        <w:rPr>
          <w:rFonts w:hint="eastAsia" w:ascii="宋体" w:hAnsi="宋体"/>
          <w:color w:val="000000"/>
          <w:szCs w:val="21"/>
        </w:rPr>
        <w:t>在多组分同时检测时</w:t>
      </w:r>
      <w:r>
        <w:rPr>
          <w:rFonts w:ascii="宋体" w:hAnsi="宋体"/>
          <w:color w:val="000000"/>
          <w:szCs w:val="21"/>
        </w:rPr>
        <w:t>最大可达600 MRMs/秒</w:t>
      </w:r>
      <w:r>
        <w:rPr>
          <w:rFonts w:hint="eastAsia" w:ascii="宋体" w:hAnsi="宋体"/>
          <w:color w:val="000000"/>
          <w:szCs w:val="21"/>
        </w:rPr>
        <w:t>或更快</w:t>
      </w:r>
      <w:r>
        <w:rPr>
          <w:rFonts w:ascii="宋体" w:hAnsi="宋体"/>
          <w:color w:val="000000"/>
          <w:szCs w:val="21"/>
        </w:rPr>
        <w:t>，并确保无交叉污染；</w:t>
      </w:r>
    </w:p>
    <w:p w14:paraId="47F14FF2">
      <w:pPr>
        <w:spacing w:line="360" w:lineRule="auto"/>
        <w:rPr>
          <w:rFonts w:hint="eastAsia" w:ascii="宋体" w:hAnsi="宋体"/>
          <w:color w:val="000000"/>
          <w:szCs w:val="21"/>
        </w:rPr>
      </w:pPr>
      <w:r>
        <w:rPr>
          <w:rFonts w:ascii="宋体" w:hAnsi="宋体"/>
          <w:color w:val="000000"/>
          <w:szCs w:val="21"/>
        </w:rPr>
        <w:t>★2.3.1</w:t>
      </w:r>
      <w:r>
        <w:rPr>
          <w:rFonts w:hint="eastAsia" w:ascii="宋体" w:hAnsi="宋体"/>
          <w:color w:val="000000"/>
          <w:szCs w:val="21"/>
        </w:rPr>
        <w:t>1</w:t>
      </w:r>
      <w:r>
        <w:rPr>
          <w:rFonts w:ascii="宋体" w:hAnsi="宋体"/>
          <w:color w:val="000000"/>
          <w:szCs w:val="21"/>
        </w:rPr>
        <w:t xml:space="preserve">采用1ppb去甲基地西泮作为标准物质，要求出示1ppb去甲基地西泮在10、20、50、100、500 </w:t>
      </w:r>
      <w:r>
        <w:rPr>
          <w:rFonts w:hint="eastAsia" w:ascii="宋体" w:hAnsi="宋体"/>
          <w:color w:val="000000"/>
          <w:szCs w:val="21"/>
        </w:rPr>
        <w:t>M</w:t>
      </w:r>
      <w:r>
        <w:rPr>
          <w:rFonts w:ascii="宋体" w:hAnsi="宋体"/>
          <w:color w:val="000000"/>
          <w:szCs w:val="21"/>
        </w:rPr>
        <w:t>RMs/s时对应的响应峰面积的图谱，要求5个采集速率的峰面积数据的偏差≤10%；</w:t>
      </w:r>
    </w:p>
    <w:p w14:paraId="0F94C91D">
      <w:pPr>
        <w:spacing w:line="360" w:lineRule="auto"/>
        <w:rPr>
          <w:rFonts w:hint="eastAsia" w:ascii="宋体" w:hAnsi="宋体"/>
          <w:color w:val="000000"/>
          <w:szCs w:val="21"/>
        </w:rPr>
      </w:pPr>
      <w:r>
        <w:rPr>
          <w:rFonts w:ascii="宋体" w:hAnsi="宋体"/>
          <w:color w:val="000000"/>
          <w:szCs w:val="21"/>
        </w:rPr>
        <w:t>2.3.1</w:t>
      </w:r>
      <w:r>
        <w:rPr>
          <w:rFonts w:hint="eastAsia" w:ascii="宋体" w:hAnsi="宋体"/>
          <w:color w:val="000000"/>
          <w:szCs w:val="21"/>
        </w:rPr>
        <w:t>2</w:t>
      </w:r>
      <w:r>
        <w:rPr>
          <w:rFonts w:ascii="宋体" w:hAnsi="宋体"/>
          <w:color w:val="000000"/>
          <w:szCs w:val="21"/>
        </w:rPr>
        <w:t>一次分析最多可执行30000对</w:t>
      </w:r>
      <w:r>
        <w:rPr>
          <w:rFonts w:hint="eastAsia" w:ascii="宋体" w:hAnsi="宋体"/>
          <w:color w:val="000000"/>
          <w:szCs w:val="21"/>
        </w:rPr>
        <w:t>M</w:t>
      </w:r>
      <w:r>
        <w:rPr>
          <w:rFonts w:ascii="宋体" w:hAnsi="宋体"/>
          <w:color w:val="000000"/>
          <w:szCs w:val="21"/>
        </w:rPr>
        <w:t>RM分析；</w:t>
      </w:r>
    </w:p>
    <w:p w14:paraId="59F41AFA">
      <w:pPr>
        <w:spacing w:line="360" w:lineRule="auto"/>
        <w:rPr>
          <w:rFonts w:hint="eastAsia" w:ascii="宋体" w:hAnsi="宋体"/>
          <w:color w:val="000000"/>
          <w:szCs w:val="21"/>
        </w:rPr>
      </w:pPr>
      <w:r>
        <w:rPr>
          <w:rFonts w:ascii="宋体" w:hAnsi="宋体"/>
          <w:color w:val="000000"/>
          <w:szCs w:val="21"/>
        </w:rPr>
        <w:t>★2.3.1</w:t>
      </w:r>
      <w:r>
        <w:rPr>
          <w:rFonts w:hint="eastAsia" w:ascii="宋体" w:hAnsi="宋体"/>
          <w:color w:val="000000"/>
          <w:szCs w:val="21"/>
        </w:rPr>
        <w:t>3</w:t>
      </w:r>
      <w:r>
        <w:rPr>
          <w:rFonts w:ascii="宋体" w:hAnsi="宋体"/>
          <w:color w:val="000000"/>
          <w:szCs w:val="21"/>
        </w:rPr>
        <w:t>正负离子切换速度：≤5ms(含切换时间和稳定时间)</w:t>
      </w:r>
    </w:p>
    <w:p w14:paraId="04BBC091">
      <w:pPr>
        <w:spacing w:line="360" w:lineRule="auto"/>
        <w:rPr>
          <w:rFonts w:hint="eastAsia" w:ascii="宋体" w:hAnsi="宋体"/>
          <w:color w:val="000000"/>
          <w:szCs w:val="21"/>
        </w:rPr>
      </w:pPr>
      <w:r>
        <w:rPr>
          <w:rFonts w:ascii="宋体" w:hAnsi="宋体"/>
          <w:color w:val="000000"/>
          <w:szCs w:val="21"/>
        </w:rPr>
        <w:t>2.3.1</w:t>
      </w:r>
      <w:r>
        <w:rPr>
          <w:rFonts w:hint="eastAsia" w:ascii="宋体" w:hAnsi="宋体"/>
          <w:color w:val="000000"/>
          <w:szCs w:val="21"/>
        </w:rPr>
        <w:t>4</w:t>
      </w:r>
      <w:r>
        <w:rPr>
          <w:rFonts w:ascii="宋体" w:hAnsi="宋体"/>
          <w:color w:val="000000"/>
          <w:szCs w:val="21"/>
        </w:rPr>
        <w:t>扫描功能：全扫描、选择离子扫描、选择反应监测、高选择性反应监测、时间选择反应监测子离子扫描、母离子扫描、中性丢失扫描、反向能量归一化扫描。</w:t>
      </w:r>
    </w:p>
    <w:p w14:paraId="31D722B0">
      <w:pPr>
        <w:spacing w:line="360" w:lineRule="auto"/>
        <w:rPr>
          <w:rFonts w:hint="eastAsia" w:ascii="宋体" w:hAnsi="宋体"/>
          <w:color w:val="000000"/>
          <w:szCs w:val="21"/>
        </w:rPr>
      </w:pPr>
      <w:r>
        <w:rPr>
          <w:rFonts w:ascii="宋体" w:hAnsi="宋体"/>
          <w:color w:val="000000"/>
          <w:szCs w:val="21"/>
        </w:rPr>
        <w:t>2.4 检测器</w:t>
      </w:r>
    </w:p>
    <w:p w14:paraId="255A93A1">
      <w:pPr>
        <w:spacing w:line="360" w:lineRule="auto"/>
        <w:rPr>
          <w:rFonts w:hint="eastAsia" w:ascii="宋体" w:hAnsi="宋体"/>
          <w:color w:val="000000"/>
          <w:szCs w:val="21"/>
        </w:rPr>
      </w:pPr>
      <w:r>
        <w:rPr>
          <w:rFonts w:ascii="宋体" w:hAnsi="宋体"/>
          <w:color w:val="000000"/>
          <w:szCs w:val="21"/>
        </w:rPr>
        <w:t>2.4.1检测器</w:t>
      </w:r>
      <w:r>
        <w:rPr>
          <w:rFonts w:hint="eastAsia" w:ascii="宋体" w:hAnsi="宋体"/>
          <w:color w:val="000000"/>
          <w:szCs w:val="21"/>
        </w:rPr>
        <w:t>可以同时满足代谢组学实验对</w:t>
      </w:r>
      <w:r>
        <w:rPr>
          <w:rFonts w:ascii="宋体" w:hAnsi="宋体"/>
          <w:color w:val="000000"/>
          <w:szCs w:val="21"/>
        </w:rPr>
        <w:t>高灵敏度和</w:t>
      </w:r>
      <w:r>
        <w:rPr>
          <w:rFonts w:hint="eastAsia" w:ascii="宋体" w:hAnsi="宋体"/>
          <w:color w:val="000000"/>
          <w:szCs w:val="21"/>
        </w:rPr>
        <w:t>宽</w:t>
      </w:r>
      <w:r>
        <w:rPr>
          <w:rFonts w:ascii="宋体" w:hAnsi="宋体"/>
          <w:color w:val="000000"/>
          <w:szCs w:val="21"/>
        </w:rPr>
        <w:t>动态线性范围（10</w:t>
      </w:r>
      <w:r>
        <w:rPr>
          <w:rFonts w:ascii="宋体" w:hAnsi="宋体"/>
          <w:color w:val="000000"/>
          <w:szCs w:val="21"/>
          <w:vertAlign w:val="superscript"/>
        </w:rPr>
        <w:t>6</w:t>
      </w:r>
      <w:r>
        <w:rPr>
          <w:rFonts w:ascii="宋体" w:hAnsi="宋体"/>
          <w:color w:val="000000"/>
          <w:szCs w:val="21"/>
        </w:rPr>
        <w:t>）</w:t>
      </w:r>
      <w:r>
        <w:rPr>
          <w:rFonts w:hint="eastAsia" w:ascii="宋体" w:hAnsi="宋体"/>
          <w:color w:val="000000"/>
          <w:szCs w:val="21"/>
        </w:rPr>
        <w:t>的要求；</w:t>
      </w:r>
    </w:p>
    <w:p w14:paraId="1EDE4B3A">
      <w:pPr>
        <w:spacing w:line="360" w:lineRule="auto"/>
        <w:rPr>
          <w:rFonts w:hint="eastAsia" w:ascii="宋体" w:hAnsi="宋体"/>
          <w:color w:val="000000"/>
          <w:szCs w:val="21"/>
        </w:rPr>
      </w:pPr>
      <w:r>
        <w:rPr>
          <w:rFonts w:ascii="宋体" w:hAnsi="宋体"/>
          <w:color w:val="000000"/>
          <w:szCs w:val="21"/>
        </w:rPr>
        <w:t>2.5 真空系统</w:t>
      </w:r>
    </w:p>
    <w:p w14:paraId="50F8AB56">
      <w:pPr>
        <w:spacing w:line="360" w:lineRule="auto"/>
        <w:rPr>
          <w:rFonts w:hint="eastAsia" w:ascii="宋体" w:hAnsi="宋体"/>
          <w:color w:val="000000"/>
          <w:szCs w:val="21"/>
        </w:rPr>
      </w:pPr>
      <w:r>
        <w:rPr>
          <w:rFonts w:ascii="宋体" w:hAnsi="宋体"/>
          <w:color w:val="000000"/>
          <w:szCs w:val="21"/>
        </w:rPr>
        <w:t>2.5.1 由分子涡轮泵（3级差分）和机械泵组成的4级差分真空系统</w:t>
      </w:r>
    </w:p>
    <w:p w14:paraId="6ED1F614">
      <w:pPr>
        <w:spacing w:line="360" w:lineRule="auto"/>
        <w:rPr>
          <w:rFonts w:hint="eastAsia" w:ascii="宋体" w:hAnsi="宋体"/>
          <w:color w:val="000000"/>
          <w:szCs w:val="21"/>
        </w:rPr>
      </w:pPr>
      <w:r>
        <w:rPr>
          <w:rFonts w:ascii="宋体" w:hAnsi="宋体"/>
          <w:color w:val="000000"/>
          <w:szCs w:val="21"/>
        </w:rPr>
        <w:t>2.5.2四级差分抽真空，真空可达到5·10</w:t>
      </w:r>
      <w:r>
        <w:rPr>
          <w:rFonts w:ascii="宋体" w:hAnsi="宋体"/>
          <w:color w:val="000000"/>
          <w:szCs w:val="21"/>
          <w:vertAlign w:val="superscript"/>
        </w:rPr>
        <w:t>-6</w:t>
      </w:r>
      <w:r>
        <w:rPr>
          <w:rFonts w:ascii="宋体" w:hAnsi="宋体"/>
          <w:color w:val="000000"/>
          <w:szCs w:val="21"/>
        </w:rPr>
        <w:t xml:space="preserve"> Torr</w:t>
      </w:r>
    </w:p>
    <w:p w14:paraId="07DA566E">
      <w:pPr>
        <w:spacing w:line="360" w:lineRule="auto"/>
        <w:rPr>
          <w:rFonts w:hint="eastAsia" w:ascii="宋体" w:hAnsi="宋体"/>
          <w:color w:val="000000"/>
          <w:szCs w:val="21"/>
        </w:rPr>
      </w:pPr>
      <w:r>
        <w:rPr>
          <w:rFonts w:ascii="宋体" w:hAnsi="宋体"/>
          <w:color w:val="000000"/>
          <w:szCs w:val="21"/>
        </w:rPr>
        <w:t>2.6 灵敏度</w:t>
      </w:r>
    </w:p>
    <w:p w14:paraId="5E32627F">
      <w:pPr>
        <w:spacing w:line="360" w:lineRule="auto"/>
        <w:rPr>
          <w:rFonts w:hint="eastAsia" w:ascii="宋体" w:hAnsi="宋体"/>
          <w:color w:val="000000"/>
          <w:szCs w:val="21"/>
        </w:rPr>
      </w:pPr>
      <w:r>
        <w:rPr>
          <w:rFonts w:ascii="宋体" w:hAnsi="宋体"/>
          <w:color w:val="000000"/>
          <w:szCs w:val="21"/>
        </w:rPr>
        <w:t>★2.6.1  高选择性MS/MS灵敏度</w:t>
      </w:r>
    </w:p>
    <w:p w14:paraId="4DF9863E">
      <w:pPr>
        <w:spacing w:line="360" w:lineRule="auto"/>
        <w:rPr>
          <w:rFonts w:hint="eastAsia" w:ascii="宋体" w:hAnsi="宋体"/>
          <w:color w:val="000000"/>
          <w:szCs w:val="21"/>
        </w:rPr>
      </w:pPr>
      <w:r>
        <w:rPr>
          <w:rFonts w:ascii="宋体" w:hAnsi="宋体"/>
          <w:color w:val="000000"/>
          <w:szCs w:val="21"/>
        </w:rPr>
        <w:t>ESI：1pg利血平柱上进样，m/z 609&gt;195，S/N≥1500,000:1，连续六针RSD≤5%</w:t>
      </w:r>
    </w:p>
    <w:p w14:paraId="789FC5C5">
      <w:pPr>
        <w:spacing w:line="360" w:lineRule="auto"/>
        <w:rPr>
          <w:rFonts w:hint="eastAsia" w:ascii="宋体" w:hAnsi="宋体"/>
          <w:color w:val="000000"/>
          <w:szCs w:val="21"/>
        </w:rPr>
      </w:pPr>
      <w:r>
        <w:rPr>
          <w:rFonts w:ascii="宋体" w:hAnsi="宋体"/>
          <w:color w:val="000000"/>
          <w:szCs w:val="21"/>
        </w:rPr>
        <w:t>3 数据处理系统</w:t>
      </w:r>
    </w:p>
    <w:p w14:paraId="24732130">
      <w:pPr>
        <w:spacing w:line="360" w:lineRule="auto"/>
        <w:rPr>
          <w:rFonts w:hint="eastAsia" w:ascii="宋体" w:hAnsi="宋体"/>
          <w:color w:val="000000"/>
          <w:szCs w:val="21"/>
        </w:rPr>
      </w:pPr>
      <w:r>
        <w:rPr>
          <w:rFonts w:hint="eastAsia" w:ascii="宋体" w:hAnsi="宋体"/>
          <w:color w:val="000000"/>
          <w:szCs w:val="21"/>
        </w:rPr>
        <w:t>提供</w:t>
      </w:r>
      <w:r>
        <w:rPr>
          <w:rFonts w:ascii="宋体" w:hAnsi="宋体"/>
          <w:color w:val="000000"/>
          <w:szCs w:val="21"/>
        </w:rPr>
        <w:t>LC和MS/MS的全自动控制；简单的用户界面可以实现高效能的仪器调谐和方法优化，包括碰撞气压力和碰撞能量的自动优化，并可利用优化参数方便地建立分析方法；可进行数据采集、数据处理、定性分析和定量分析；有建立数据库功能，谱库检索功能，Window 10英文操作系统（64bit）</w:t>
      </w:r>
    </w:p>
    <w:p w14:paraId="6FCCE369">
      <w:pPr>
        <w:spacing w:line="360" w:lineRule="auto"/>
        <w:rPr>
          <w:rFonts w:hint="eastAsia" w:ascii="宋体" w:hAnsi="宋体"/>
          <w:color w:val="000000"/>
          <w:szCs w:val="21"/>
        </w:rPr>
      </w:pPr>
    </w:p>
    <w:p w14:paraId="223D1D18">
      <w:pPr>
        <w:spacing w:line="360" w:lineRule="auto"/>
        <w:rPr>
          <w:rFonts w:hint="eastAsia" w:ascii="宋体" w:hAnsi="宋体"/>
          <w:color w:val="000000"/>
          <w:szCs w:val="21"/>
        </w:rPr>
      </w:pPr>
      <w:r>
        <w:rPr>
          <w:rFonts w:ascii="宋体" w:hAnsi="宋体"/>
          <w:color w:val="000000"/>
          <w:szCs w:val="21"/>
        </w:rPr>
        <w:t>★四、设备配置要求：本条只需提供书面承诺</w:t>
      </w:r>
    </w:p>
    <w:tbl>
      <w:tblPr>
        <w:tblStyle w:val="5"/>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693"/>
        <w:gridCol w:w="709"/>
        <w:gridCol w:w="4769"/>
      </w:tblGrid>
      <w:tr w14:paraId="0FD5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817" w:type="dxa"/>
            <w:vAlign w:val="center"/>
          </w:tcPr>
          <w:p w14:paraId="1D91F591">
            <w:pPr>
              <w:spacing w:line="360" w:lineRule="auto"/>
              <w:rPr>
                <w:rFonts w:hint="eastAsia" w:ascii="宋体" w:hAnsi="宋体"/>
                <w:color w:val="000000"/>
                <w:szCs w:val="21"/>
              </w:rPr>
            </w:pPr>
            <w:r>
              <w:rPr>
                <w:rFonts w:ascii="宋体" w:hAnsi="宋体"/>
                <w:color w:val="000000"/>
                <w:szCs w:val="21"/>
              </w:rPr>
              <w:t>序号</w:t>
            </w:r>
          </w:p>
        </w:tc>
        <w:tc>
          <w:tcPr>
            <w:tcW w:w="2693" w:type="dxa"/>
            <w:vAlign w:val="center"/>
          </w:tcPr>
          <w:p w14:paraId="038678F9">
            <w:pPr>
              <w:spacing w:line="360" w:lineRule="auto"/>
              <w:rPr>
                <w:rFonts w:hint="eastAsia" w:ascii="宋体" w:hAnsi="宋体"/>
                <w:color w:val="000000"/>
                <w:szCs w:val="21"/>
              </w:rPr>
            </w:pPr>
            <w:r>
              <w:rPr>
                <w:rFonts w:ascii="宋体" w:hAnsi="宋体"/>
                <w:color w:val="000000"/>
                <w:szCs w:val="21"/>
              </w:rPr>
              <w:t>部件</w:t>
            </w:r>
          </w:p>
        </w:tc>
        <w:tc>
          <w:tcPr>
            <w:tcW w:w="709" w:type="dxa"/>
            <w:vAlign w:val="center"/>
          </w:tcPr>
          <w:p w14:paraId="58DB8BE6">
            <w:pPr>
              <w:spacing w:line="360" w:lineRule="auto"/>
              <w:rPr>
                <w:rFonts w:hint="eastAsia" w:ascii="宋体" w:hAnsi="宋体"/>
                <w:color w:val="000000"/>
                <w:szCs w:val="21"/>
              </w:rPr>
            </w:pPr>
            <w:r>
              <w:rPr>
                <w:rFonts w:ascii="宋体" w:hAnsi="宋体"/>
                <w:color w:val="000000"/>
                <w:szCs w:val="21"/>
              </w:rPr>
              <w:t>数量</w:t>
            </w:r>
          </w:p>
        </w:tc>
        <w:tc>
          <w:tcPr>
            <w:tcW w:w="4769" w:type="dxa"/>
            <w:vAlign w:val="center"/>
          </w:tcPr>
          <w:p w14:paraId="7992CD2B">
            <w:pPr>
              <w:spacing w:line="360" w:lineRule="auto"/>
              <w:rPr>
                <w:rFonts w:hint="eastAsia" w:ascii="宋体" w:hAnsi="宋体"/>
                <w:color w:val="000000"/>
                <w:szCs w:val="21"/>
              </w:rPr>
            </w:pPr>
            <w:r>
              <w:rPr>
                <w:rFonts w:ascii="宋体" w:hAnsi="宋体"/>
                <w:color w:val="000000"/>
                <w:szCs w:val="21"/>
              </w:rPr>
              <w:t>描述</w:t>
            </w:r>
          </w:p>
        </w:tc>
      </w:tr>
      <w:tr w14:paraId="6F19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1C7BF3F4">
            <w:pPr>
              <w:spacing w:line="360" w:lineRule="auto"/>
              <w:jc w:val="center"/>
              <w:rPr>
                <w:rFonts w:hint="eastAsia" w:ascii="宋体" w:hAnsi="宋体"/>
                <w:color w:val="000000"/>
                <w:szCs w:val="21"/>
              </w:rPr>
            </w:pPr>
            <w:r>
              <w:rPr>
                <w:rFonts w:ascii="宋体" w:hAnsi="宋体"/>
                <w:color w:val="000000"/>
                <w:szCs w:val="21"/>
              </w:rPr>
              <w:t>1</w:t>
            </w:r>
          </w:p>
        </w:tc>
        <w:tc>
          <w:tcPr>
            <w:tcW w:w="2693" w:type="dxa"/>
            <w:vAlign w:val="center"/>
          </w:tcPr>
          <w:p w14:paraId="5A4A9CB9">
            <w:pPr>
              <w:spacing w:line="360" w:lineRule="auto"/>
              <w:rPr>
                <w:rFonts w:hint="eastAsia" w:ascii="宋体" w:hAnsi="宋体"/>
                <w:color w:val="000000"/>
                <w:szCs w:val="21"/>
              </w:rPr>
            </w:pPr>
            <w:r>
              <w:rPr>
                <w:rFonts w:hint="eastAsia" w:ascii="宋体" w:hAnsi="宋体"/>
                <w:color w:val="000000"/>
                <w:szCs w:val="21"/>
              </w:rPr>
              <w:t xml:space="preserve">质谱仪主机   </w:t>
            </w:r>
          </w:p>
        </w:tc>
        <w:tc>
          <w:tcPr>
            <w:tcW w:w="709" w:type="dxa"/>
            <w:vAlign w:val="center"/>
          </w:tcPr>
          <w:p w14:paraId="7B6B512D">
            <w:pPr>
              <w:spacing w:line="360" w:lineRule="auto"/>
              <w:jc w:val="center"/>
              <w:rPr>
                <w:rFonts w:hint="eastAsia" w:ascii="宋体" w:hAnsi="宋体"/>
                <w:color w:val="000000"/>
                <w:szCs w:val="21"/>
              </w:rPr>
            </w:pPr>
            <w:r>
              <w:rPr>
                <w:rFonts w:ascii="宋体" w:hAnsi="宋体"/>
                <w:color w:val="000000"/>
                <w:szCs w:val="21"/>
              </w:rPr>
              <w:t>1</w:t>
            </w:r>
          </w:p>
        </w:tc>
        <w:tc>
          <w:tcPr>
            <w:tcW w:w="4769" w:type="dxa"/>
            <w:vAlign w:val="center"/>
          </w:tcPr>
          <w:p w14:paraId="5F1621BC">
            <w:pPr>
              <w:spacing w:line="360" w:lineRule="auto"/>
              <w:rPr>
                <w:rFonts w:hint="eastAsia" w:ascii="宋体" w:hAnsi="宋体"/>
                <w:color w:val="000000"/>
                <w:szCs w:val="21"/>
              </w:rPr>
            </w:pPr>
            <w:r>
              <w:rPr>
                <w:rFonts w:hint="eastAsia" w:ascii="宋体" w:hAnsi="宋体"/>
                <w:color w:val="000000"/>
                <w:szCs w:val="21"/>
              </w:rPr>
              <w:t>三重四级杆质谱仪主机</w:t>
            </w:r>
          </w:p>
        </w:tc>
      </w:tr>
      <w:tr w14:paraId="7F9B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2D8EA7E8">
            <w:pPr>
              <w:spacing w:line="360" w:lineRule="auto"/>
              <w:jc w:val="center"/>
              <w:rPr>
                <w:rFonts w:hint="eastAsia" w:ascii="宋体" w:hAnsi="宋体"/>
                <w:color w:val="000000"/>
                <w:szCs w:val="21"/>
              </w:rPr>
            </w:pPr>
            <w:r>
              <w:rPr>
                <w:rFonts w:ascii="宋体" w:hAnsi="宋体"/>
                <w:color w:val="000000"/>
                <w:szCs w:val="21"/>
              </w:rPr>
              <w:t>2</w:t>
            </w:r>
          </w:p>
        </w:tc>
        <w:tc>
          <w:tcPr>
            <w:tcW w:w="2693" w:type="dxa"/>
            <w:vAlign w:val="center"/>
          </w:tcPr>
          <w:p w14:paraId="54CC32F1">
            <w:pPr>
              <w:spacing w:line="360" w:lineRule="auto"/>
              <w:rPr>
                <w:rFonts w:hint="eastAsia" w:ascii="宋体" w:hAnsi="宋体"/>
                <w:color w:val="000000"/>
                <w:szCs w:val="21"/>
              </w:rPr>
            </w:pPr>
            <w:r>
              <w:rPr>
                <w:rFonts w:hint="eastAsia" w:ascii="宋体" w:hAnsi="宋体"/>
                <w:color w:val="000000"/>
                <w:szCs w:val="21"/>
              </w:rPr>
              <w:t>离子源</w:t>
            </w:r>
          </w:p>
        </w:tc>
        <w:tc>
          <w:tcPr>
            <w:tcW w:w="709" w:type="dxa"/>
            <w:vAlign w:val="center"/>
          </w:tcPr>
          <w:p w14:paraId="38CB2237">
            <w:pPr>
              <w:spacing w:line="360" w:lineRule="auto"/>
              <w:jc w:val="center"/>
              <w:rPr>
                <w:rFonts w:hint="eastAsia" w:ascii="宋体" w:hAnsi="宋体"/>
                <w:color w:val="000000"/>
                <w:szCs w:val="21"/>
              </w:rPr>
            </w:pPr>
            <w:r>
              <w:rPr>
                <w:rFonts w:ascii="宋体" w:hAnsi="宋体"/>
                <w:color w:val="000000"/>
                <w:szCs w:val="21"/>
              </w:rPr>
              <w:t>1</w:t>
            </w:r>
          </w:p>
        </w:tc>
        <w:tc>
          <w:tcPr>
            <w:tcW w:w="4769" w:type="dxa"/>
            <w:vAlign w:val="center"/>
          </w:tcPr>
          <w:p w14:paraId="63EC6993">
            <w:pPr>
              <w:spacing w:line="360" w:lineRule="auto"/>
              <w:rPr>
                <w:rFonts w:hint="eastAsia" w:ascii="宋体" w:hAnsi="宋体"/>
                <w:color w:val="000000"/>
                <w:szCs w:val="21"/>
              </w:rPr>
            </w:pPr>
            <w:r>
              <w:rPr>
                <w:rFonts w:hint="eastAsia" w:ascii="宋体" w:hAnsi="宋体"/>
                <w:color w:val="000000"/>
                <w:szCs w:val="21"/>
              </w:rPr>
              <w:t>ESI离子源</w:t>
            </w:r>
          </w:p>
        </w:tc>
      </w:tr>
      <w:tr w14:paraId="1326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7DEE74C8">
            <w:pPr>
              <w:spacing w:line="360" w:lineRule="auto"/>
              <w:jc w:val="center"/>
              <w:rPr>
                <w:rFonts w:hint="eastAsia" w:ascii="宋体" w:hAnsi="宋体"/>
                <w:color w:val="000000"/>
                <w:szCs w:val="21"/>
              </w:rPr>
            </w:pPr>
            <w:r>
              <w:rPr>
                <w:rFonts w:hint="eastAsia" w:ascii="宋体" w:hAnsi="宋体"/>
                <w:color w:val="000000"/>
                <w:szCs w:val="21"/>
              </w:rPr>
              <w:t>3</w:t>
            </w:r>
          </w:p>
        </w:tc>
        <w:tc>
          <w:tcPr>
            <w:tcW w:w="2693" w:type="dxa"/>
            <w:vAlign w:val="center"/>
          </w:tcPr>
          <w:p w14:paraId="40030E79">
            <w:pPr>
              <w:spacing w:line="360" w:lineRule="auto"/>
              <w:rPr>
                <w:rFonts w:hint="eastAsia" w:ascii="宋体" w:hAnsi="宋体"/>
                <w:color w:val="000000"/>
                <w:szCs w:val="21"/>
              </w:rPr>
            </w:pPr>
            <w:r>
              <w:rPr>
                <w:rFonts w:hint="eastAsia" w:ascii="宋体" w:hAnsi="宋体"/>
                <w:color w:val="000000"/>
                <w:szCs w:val="21"/>
              </w:rPr>
              <w:t>离子源</w:t>
            </w:r>
          </w:p>
        </w:tc>
        <w:tc>
          <w:tcPr>
            <w:tcW w:w="709" w:type="dxa"/>
            <w:vAlign w:val="center"/>
          </w:tcPr>
          <w:p w14:paraId="504F0E80">
            <w:pPr>
              <w:spacing w:line="360" w:lineRule="auto"/>
              <w:jc w:val="center"/>
              <w:rPr>
                <w:rFonts w:hint="eastAsia" w:ascii="宋体" w:hAnsi="宋体"/>
                <w:color w:val="000000"/>
                <w:szCs w:val="21"/>
              </w:rPr>
            </w:pPr>
            <w:r>
              <w:rPr>
                <w:rFonts w:hint="eastAsia" w:ascii="宋体" w:hAnsi="宋体"/>
                <w:color w:val="000000"/>
                <w:szCs w:val="21"/>
              </w:rPr>
              <w:t>1</w:t>
            </w:r>
          </w:p>
        </w:tc>
        <w:tc>
          <w:tcPr>
            <w:tcW w:w="4769" w:type="dxa"/>
            <w:vAlign w:val="center"/>
          </w:tcPr>
          <w:p w14:paraId="03EC167A">
            <w:pPr>
              <w:spacing w:line="360" w:lineRule="auto"/>
              <w:rPr>
                <w:rFonts w:hint="eastAsia" w:ascii="宋体" w:hAnsi="宋体"/>
                <w:color w:val="000000"/>
                <w:szCs w:val="21"/>
              </w:rPr>
            </w:pPr>
            <w:r>
              <w:rPr>
                <w:rFonts w:hint="eastAsia" w:ascii="宋体" w:hAnsi="宋体"/>
                <w:color w:val="000000"/>
                <w:szCs w:val="21"/>
              </w:rPr>
              <w:t>APCI离子源</w:t>
            </w:r>
          </w:p>
        </w:tc>
      </w:tr>
      <w:tr w14:paraId="0238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57A62BA9">
            <w:pPr>
              <w:spacing w:line="360" w:lineRule="auto"/>
              <w:jc w:val="center"/>
              <w:rPr>
                <w:rFonts w:hint="eastAsia" w:ascii="宋体" w:hAnsi="宋体"/>
                <w:color w:val="000000"/>
                <w:szCs w:val="21"/>
              </w:rPr>
            </w:pPr>
            <w:r>
              <w:rPr>
                <w:rFonts w:hint="eastAsia" w:ascii="宋体" w:hAnsi="宋体"/>
                <w:color w:val="000000"/>
                <w:szCs w:val="21"/>
              </w:rPr>
              <w:t>4</w:t>
            </w:r>
          </w:p>
        </w:tc>
        <w:tc>
          <w:tcPr>
            <w:tcW w:w="2693" w:type="dxa"/>
            <w:vAlign w:val="center"/>
          </w:tcPr>
          <w:p w14:paraId="1CE5E603">
            <w:pPr>
              <w:spacing w:line="360" w:lineRule="auto"/>
              <w:rPr>
                <w:rFonts w:hint="eastAsia" w:ascii="宋体" w:hAnsi="宋体"/>
                <w:color w:val="000000"/>
                <w:szCs w:val="21"/>
              </w:rPr>
            </w:pPr>
            <w:r>
              <w:rPr>
                <w:rFonts w:hint="eastAsia" w:ascii="宋体" w:hAnsi="宋体"/>
                <w:color w:val="000000"/>
                <w:szCs w:val="21"/>
              </w:rPr>
              <w:t>离子源</w:t>
            </w:r>
          </w:p>
        </w:tc>
        <w:tc>
          <w:tcPr>
            <w:tcW w:w="709" w:type="dxa"/>
            <w:vAlign w:val="center"/>
          </w:tcPr>
          <w:p w14:paraId="3AB5BEFB">
            <w:pPr>
              <w:spacing w:line="360" w:lineRule="auto"/>
              <w:jc w:val="center"/>
              <w:rPr>
                <w:rFonts w:hint="eastAsia" w:ascii="宋体" w:hAnsi="宋体"/>
                <w:color w:val="000000"/>
                <w:szCs w:val="21"/>
              </w:rPr>
            </w:pPr>
            <w:r>
              <w:rPr>
                <w:rFonts w:hint="eastAsia" w:ascii="宋体" w:hAnsi="宋体"/>
                <w:color w:val="000000"/>
                <w:szCs w:val="21"/>
              </w:rPr>
              <w:t>1</w:t>
            </w:r>
          </w:p>
        </w:tc>
        <w:tc>
          <w:tcPr>
            <w:tcW w:w="4769" w:type="dxa"/>
            <w:vAlign w:val="center"/>
          </w:tcPr>
          <w:p w14:paraId="696C7E5E">
            <w:pPr>
              <w:spacing w:line="360" w:lineRule="auto"/>
              <w:rPr>
                <w:rFonts w:hint="eastAsia" w:ascii="宋体" w:hAnsi="宋体"/>
                <w:color w:val="000000"/>
                <w:szCs w:val="21"/>
              </w:rPr>
            </w:pPr>
            <w:r>
              <w:rPr>
                <w:rFonts w:hint="eastAsia" w:ascii="宋体" w:hAnsi="宋体"/>
                <w:color w:val="000000"/>
                <w:szCs w:val="21"/>
              </w:rPr>
              <w:t>Nano离子源</w:t>
            </w:r>
          </w:p>
        </w:tc>
      </w:tr>
      <w:tr w14:paraId="3F04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5ABD969E">
            <w:pPr>
              <w:spacing w:line="360" w:lineRule="auto"/>
              <w:jc w:val="center"/>
              <w:rPr>
                <w:rFonts w:hint="eastAsia" w:ascii="宋体" w:hAnsi="宋体"/>
                <w:color w:val="000000"/>
                <w:szCs w:val="21"/>
              </w:rPr>
            </w:pPr>
            <w:r>
              <w:rPr>
                <w:rFonts w:hint="eastAsia" w:ascii="宋体" w:hAnsi="宋体"/>
                <w:color w:val="000000"/>
                <w:szCs w:val="21"/>
              </w:rPr>
              <w:t>5</w:t>
            </w:r>
          </w:p>
        </w:tc>
        <w:tc>
          <w:tcPr>
            <w:tcW w:w="2693" w:type="dxa"/>
            <w:vAlign w:val="center"/>
          </w:tcPr>
          <w:p w14:paraId="3648005F">
            <w:pPr>
              <w:spacing w:line="360" w:lineRule="auto"/>
              <w:rPr>
                <w:rFonts w:hint="eastAsia" w:ascii="宋体" w:hAnsi="宋体"/>
                <w:color w:val="000000"/>
                <w:szCs w:val="21"/>
              </w:rPr>
            </w:pPr>
            <w:r>
              <w:rPr>
                <w:rFonts w:hint="eastAsia" w:ascii="宋体" w:hAnsi="宋体"/>
                <w:color w:val="000000"/>
                <w:szCs w:val="21"/>
              </w:rPr>
              <w:t>软件</w:t>
            </w:r>
          </w:p>
        </w:tc>
        <w:tc>
          <w:tcPr>
            <w:tcW w:w="709" w:type="dxa"/>
            <w:vAlign w:val="center"/>
          </w:tcPr>
          <w:p w14:paraId="0343063F">
            <w:pPr>
              <w:spacing w:line="360" w:lineRule="auto"/>
              <w:jc w:val="center"/>
              <w:rPr>
                <w:rFonts w:hint="eastAsia" w:ascii="宋体" w:hAnsi="宋体"/>
                <w:color w:val="000000"/>
                <w:szCs w:val="21"/>
              </w:rPr>
            </w:pPr>
            <w:r>
              <w:rPr>
                <w:rFonts w:ascii="宋体" w:hAnsi="宋体"/>
                <w:color w:val="000000"/>
                <w:szCs w:val="21"/>
              </w:rPr>
              <w:t>1</w:t>
            </w:r>
          </w:p>
        </w:tc>
        <w:tc>
          <w:tcPr>
            <w:tcW w:w="4769" w:type="dxa"/>
            <w:vAlign w:val="center"/>
          </w:tcPr>
          <w:p w14:paraId="3D53482C">
            <w:pPr>
              <w:spacing w:line="360" w:lineRule="auto"/>
              <w:rPr>
                <w:rFonts w:hint="eastAsia" w:ascii="宋体" w:hAnsi="宋体"/>
                <w:color w:val="000000"/>
                <w:szCs w:val="21"/>
              </w:rPr>
            </w:pPr>
            <w:r>
              <w:rPr>
                <w:rFonts w:hint="eastAsia" w:ascii="宋体" w:hAnsi="宋体"/>
                <w:color w:val="000000"/>
                <w:szCs w:val="21"/>
              </w:rPr>
              <w:t>定量定性软件（含数据库）</w:t>
            </w:r>
          </w:p>
        </w:tc>
      </w:tr>
      <w:tr w14:paraId="520E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2F09B6C4">
            <w:pPr>
              <w:spacing w:line="360" w:lineRule="auto"/>
              <w:jc w:val="center"/>
              <w:rPr>
                <w:rFonts w:hint="eastAsia" w:ascii="宋体" w:hAnsi="宋体"/>
                <w:color w:val="000000"/>
                <w:szCs w:val="21"/>
              </w:rPr>
            </w:pPr>
            <w:r>
              <w:rPr>
                <w:rFonts w:hint="eastAsia" w:ascii="宋体" w:hAnsi="宋体"/>
                <w:color w:val="000000"/>
                <w:szCs w:val="21"/>
              </w:rPr>
              <w:t>6</w:t>
            </w:r>
          </w:p>
        </w:tc>
        <w:tc>
          <w:tcPr>
            <w:tcW w:w="2693" w:type="dxa"/>
            <w:vAlign w:val="center"/>
          </w:tcPr>
          <w:p w14:paraId="22B55C24">
            <w:pPr>
              <w:spacing w:line="360" w:lineRule="auto"/>
              <w:rPr>
                <w:rFonts w:hint="eastAsia" w:ascii="宋体" w:hAnsi="宋体"/>
                <w:color w:val="000000"/>
                <w:szCs w:val="21"/>
              </w:rPr>
            </w:pPr>
            <w:r>
              <w:rPr>
                <w:rFonts w:hint="eastAsia" w:ascii="宋体" w:hAnsi="宋体"/>
                <w:color w:val="000000"/>
                <w:szCs w:val="21"/>
              </w:rPr>
              <w:t>六通阀</w:t>
            </w:r>
          </w:p>
        </w:tc>
        <w:tc>
          <w:tcPr>
            <w:tcW w:w="709" w:type="dxa"/>
            <w:vAlign w:val="center"/>
          </w:tcPr>
          <w:p w14:paraId="229C89E0">
            <w:pPr>
              <w:spacing w:line="360" w:lineRule="auto"/>
              <w:jc w:val="center"/>
              <w:rPr>
                <w:rFonts w:hint="eastAsia" w:ascii="宋体" w:hAnsi="宋体"/>
                <w:color w:val="000000"/>
                <w:szCs w:val="21"/>
              </w:rPr>
            </w:pPr>
            <w:r>
              <w:rPr>
                <w:rFonts w:hint="eastAsia" w:ascii="宋体" w:hAnsi="宋体"/>
                <w:color w:val="000000"/>
                <w:szCs w:val="21"/>
              </w:rPr>
              <w:t>3</w:t>
            </w:r>
          </w:p>
        </w:tc>
        <w:tc>
          <w:tcPr>
            <w:tcW w:w="4769" w:type="dxa"/>
            <w:vAlign w:val="center"/>
          </w:tcPr>
          <w:p w14:paraId="6A622413">
            <w:pPr>
              <w:spacing w:line="360" w:lineRule="auto"/>
              <w:rPr>
                <w:rFonts w:hint="eastAsia" w:ascii="宋体" w:hAnsi="宋体"/>
                <w:color w:val="000000"/>
                <w:szCs w:val="21"/>
              </w:rPr>
            </w:pPr>
            <w:r>
              <w:rPr>
                <w:rFonts w:hint="eastAsia" w:ascii="宋体" w:hAnsi="宋体"/>
                <w:color w:val="000000"/>
                <w:szCs w:val="21"/>
              </w:rPr>
              <w:t>进样六通阀</w:t>
            </w:r>
          </w:p>
        </w:tc>
      </w:tr>
      <w:tr w14:paraId="5407D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1DFF00C6">
            <w:pPr>
              <w:spacing w:line="360" w:lineRule="auto"/>
              <w:jc w:val="center"/>
              <w:rPr>
                <w:rFonts w:hint="eastAsia" w:ascii="宋体" w:hAnsi="宋体"/>
                <w:color w:val="000000"/>
                <w:szCs w:val="21"/>
              </w:rPr>
            </w:pPr>
            <w:r>
              <w:rPr>
                <w:rFonts w:hint="eastAsia" w:ascii="宋体" w:hAnsi="宋体"/>
                <w:color w:val="000000"/>
                <w:szCs w:val="21"/>
              </w:rPr>
              <w:t>7</w:t>
            </w:r>
          </w:p>
        </w:tc>
        <w:tc>
          <w:tcPr>
            <w:tcW w:w="2693" w:type="dxa"/>
            <w:vAlign w:val="center"/>
          </w:tcPr>
          <w:p w14:paraId="5ACD63D3">
            <w:pPr>
              <w:spacing w:line="360" w:lineRule="auto"/>
              <w:rPr>
                <w:rFonts w:hint="eastAsia" w:ascii="宋体" w:hAnsi="宋体"/>
                <w:color w:val="000000"/>
                <w:szCs w:val="21"/>
              </w:rPr>
            </w:pPr>
            <w:r>
              <w:rPr>
                <w:rFonts w:hint="eastAsia" w:ascii="宋体" w:hAnsi="宋体"/>
                <w:color w:val="000000"/>
                <w:szCs w:val="21"/>
              </w:rPr>
              <w:t>喷针</w:t>
            </w:r>
          </w:p>
        </w:tc>
        <w:tc>
          <w:tcPr>
            <w:tcW w:w="709" w:type="dxa"/>
            <w:vAlign w:val="center"/>
          </w:tcPr>
          <w:p w14:paraId="147B82D3">
            <w:pPr>
              <w:spacing w:line="360" w:lineRule="auto"/>
              <w:jc w:val="center"/>
              <w:rPr>
                <w:rFonts w:hint="eastAsia" w:ascii="宋体" w:hAnsi="宋体"/>
                <w:color w:val="000000"/>
                <w:szCs w:val="21"/>
              </w:rPr>
            </w:pPr>
            <w:r>
              <w:rPr>
                <w:rFonts w:hint="eastAsia" w:ascii="宋体" w:hAnsi="宋体"/>
                <w:color w:val="000000"/>
                <w:szCs w:val="21"/>
              </w:rPr>
              <w:t>10</w:t>
            </w:r>
          </w:p>
        </w:tc>
        <w:tc>
          <w:tcPr>
            <w:tcW w:w="4769" w:type="dxa"/>
            <w:vAlign w:val="center"/>
          </w:tcPr>
          <w:p w14:paraId="6156A514">
            <w:pPr>
              <w:spacing w:line="360" w:lineRule="auto"/>
              <w:rPr>
                <w:rFonts w:hint="eastAsia" w:ascii="宋体" w:hAnsi="宋体"/>
                <w:color w:val="000000"/>
                <w:szCs w:val="21"/>
              </w:rPr>
            </w:pPr>
            <w:r>
              <w:rPr>
                <w:rFonts w:hint="eastAsia" w:ascii="宋体" w:hAnsi="宋体"/>
                <w:color w:val="000000"/>
                <w:szCs w:val="21"/>
              </w:rPr>
              <w:t>进样喷针</w:t>
            </w:r>
          </w:p>
        </w:tc>
      </w:tr>
      <w:tr w14:paraId="3244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4B73AD60">
            <w:pPr>
              <w:spacing w:line="360" w:lineRule="auto"/>
              <w:jc w:val="center"/>
              <w:rPr>
                <w:rFonts w:hint="eastAsia" w:ascii="宋体" w:hAnsi="宋体"/>
                <w:color w:val="000000"/>
                <w:szCs w:val="21"/>
              </w:rPr>
            </w:pPr>
            <w:r>
              <w:rPr>
                <w:rFonts w:hint="eastAsia" w:ascii="宋体" w:hAnsi="宋体"/>
                <w:color w:val="000000"/>
                <w:szCs w:val="21"/>
              </w:rPr>
              <w:t>8</w:t>
            </w:r>
          </w:p>
        </w:tc>
        <w:tc>
          <w:tcPr>
            <w:tcW w:w="2693" w:type="dxa"/>
            <w:vAlign w:val="center"/>
          </w:tcPr>
          <w:p w14:paraId="2FCF13C4">
            <w:pPr>
              <w:spacing w:line="360" w:lineRule="auto"/>
              <w:rPr>
                <w:rFonts w:hint="eastAsia" w:ascii="宋体" w:hAnsi="宋体"/>
                <w:color w:val="000000"/>
                <w:szCs w:val="21"/>
              </w:rPr>
            </w:pPr>
            <w:r>
              <w:rPr>
                <w:rFonts w:hint="eastAsia" w:ascii="宋体" w:hAnsi="宋体"/>
                <w:color w:val="000000"/>
                <w:szCs w:val="21"/>
              </w:rPr>
              <w:t>离子传输管</w:t>
            </w:r>
          </w:p>
        </w:tc>
        <w:tc>
          <w:tcPr>
            <w:tcW w:w="709" w:type="dxa"/>
            <w:vAlign w:val="center"/>
          </w:tcPr>
          <w:p w14:paraId="36362284">
            <w:pPr>
              <w:spacing w:line="360" w:lineRule="auto"/>
              <w:jc w:val="center"/>
              <w:rPr>
                <w:rFonts w:hint="eastAsia" w:ascii="宋体" w:hAnsi="宋体"/>
                <w:color w:val="000000"/>
                <w:szCs w:val="21"/>
              </w:rPr>
            </w:pPr>
            <w:r>
              <w:rPr>
                <w:rFonts w:hint="eastAsia" w:ascii="宋体" w:hAnsi="宋体"/>
                <w:color w:val="000000"/>
                <w:szCs w:val="21"/>
              </w:rPr>
              <w:t>4</w:t>
            </w:r>
          </w:p>
        </w:tc>
        <w:tc>
          <w:tcPr>
            <w:tcW w:w="4769" w:type="dxa"/>
            <w:vAlign w:val="center"/>
          </w:tcPr>
          <w:p w14:paraId="55D6F366">
            <w:pPr>
              <w:spacing w:line="360" w:lineRule="auto"/>
              <w:rPr>
                <w:rFonts w:hint="eastAsia" w:ascii="宋体" w:hAnsi="宋体"/>
                <w:color w:val="000000"/>
                <w:szCs w:val="21"/>
              </w:rPr>
            </w:pPr>
            <w:r>
              <w:rPr>
                <w:rFonts w:hint="eastAsia" w:ascii="宋体" w:hAnsi="宋体"/>
                <w:color w:val="000000"/>
                <w:szCs w:val="21"/>
              </w:rPr>
              <w:t>离子传输</w:t>
            </w:r>
          </w:p>
        </w:tc>
      </w:tr>
      <w:tr w14:paraId="75C9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082BCA83">
            <w:pPr>
              <w:spacing w:line="360" w:lineRule="auto"/>
              <w:jc w:val="center"/>
              <w:rPr>
                <w:rFonts w:hint="eastAsia" w:ascii="宋体" w:hAnsi="宋体"/>
                <w:color w:val="000000"/>
                <w:szCs w:val="21"/>
              </w:rPr>
            </w:pPr>
            <w:r>
              <w:rPr>
                <w:rFonts w:hint="eastAsia" w:ascii="宋体" w:hAnsi="宋体"/>
                <w:color w:val="000000"/>
                <w:szCs w:val="21"/>
              </w:rPr>
              <w:t>9</w:t>
            </w:r>
          </w:p>
        </w:tc>
        <w:tc>
          <w:tcPr>
            <w:tcW w:w="2693" w:type="dxa"/>
            <w:vAlign w:val="center"/>
          </w:tcPr>
          <w:p w14:paraId="1304A7DC">
            <w:pPr>
              <w:spacing w:line="360" w:lineRule="auto"/>
              <w:rPr>
                <w:rFonts w:hint="eastAsia" w:ascii="宋体" w:hAnsi="宋体"/>
                <w:color w:val="000000"/>
                <w:szCs w:val="21"/>
              </w:rPr>
            </w:pPr>
            <w:r>
              <w:rPr>
                <w:rFonts w:hint="eastAsia" w:ascii="宋体" w:hAnsi="宋体"/>
                <w:color w:val="000000"/>
                <w:szCs w:val="21"/>
              </w:rPr>
              <w:t xml:space="preserve">色谱柱  </w:t>
            </w:r>
          </w:p>
        </w:tc>
        <w:tc>
          <w:tcPr>
            <w:tcW w:w="709" w:type="dxa"/>
            <w:vAlign w:val="center"/>
          </w:tcPr>
          <w:p w14:paraId="34A8531A">
            <w:pPr>
              <w:spacing w:line="360" w:lineRule="auto"/>
              <w:jc w:val="center"/>
              <w:rPr>
                <w:rFonts w:hint="eastAsia" w:ascii="宋体" w:hAnsi="宋体"/>
                <w:color w:val="000000"/>
                <w:szCs w:val="21"/>
              </w:rPr>
            </w:pPr>
            <w:r>
              <w:rPr>
                <w:rFonts w:hint="eastAsia" w:ascii="宋体" w:hAnsi="宋体"/>
                <w:color w:val="000000"/>
                <w:szCs w:val="21"/>
              </w:rPr>
              <w:t>10</w:t>
            </w:r>
          </w:p>
        </w:tc>
        <w:tc>
          <w:tcPr>
            <w:tcW w:w="4769" w:type="dxa"/>
            <w:vAlign w:val="center"/>
          </w:tcPr>
          <w:p w14:paraId="3888DE6B">
            <w:pPr>
              <w:spacing w:line="360" w:lineRule="auto"/>
              <w:rPr>
                <w:rFonts w:hint="eastAsia" w:ascii="宋体" w:hAnsi="宋体"/>
                <w:color w:val="000000"/>
                <w:szCs w:val="21"/>
              </w:rPr>
            </w:pPr>
            <w:r>
              <w:rPr>
                <w:rFonts w:hint="eastAsia" w:ascii="宋体" w:hAnsi="宋体"/>
                <w:color w:val="000000"/>
                <w:szCs w:val="21"/>
              </w:rPr>
              <w:t>C18，1.7um，2.1×100 mm</w:t>
            </w:r>
          </w:p>
        </w:tc>
      </w:tr>
      <w:tr w14:paraId="40B7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4DEAD2AC">
            <w:pPr>
              <w:spacing w:line="360" w:lineRule="auto"/>
              <w:jc w:val="center"/>
              <w:rPr>
                <w:rFonts w:hint="eastAsia" w:ascii="宋体" w:hAnsi="宋体"/>
                <w:color w:val="000000"/>
                <w:szCs w:val="21"/>
              </w:rPr>
            </w:pPr>
            <w:r>
              <w:rPr>
                <w:rFonts w:hint="eastAsia" w:ascii="宋体" w:hAnsi="宋体"/>
                <w:color w:val="000000"/>
                <w:szCs w:val="21"/>
              </w:rPr>
              <w:t>10</w:t>
            </w:r>
          </w:p>
        </w:tc>
        <w:tc>
          <w:tcPr>
            <w:tcW w:w="2693" w:type="dxa"/>
          </w:tcPr>
          <w:p w14:paraId="44A0DDBC">
            <w:pPr>
              <w:spacing w:line="360" w:lineRule="auto"/>
              <w:rPr>
                <w:rFonts w:hint="eastAsia" w:ascii="宋体" w:hAnsi="宋体"/>
                <w:color w:val="000000"/>
                <w:szCs w:val="21"/>
              </w:rPr>
            </w:pPr>
            <w:r>
              <w:rPr>
                <w:rFonts w:hint="eastAsia" w:ascii="宋体" w:hAnsi="宋体"/>
                <w:color w:val="000000"/>
                <w:szCs w:val="21"/>
              </w:rPr>
              <w:t xml:space="preserve">色谱柱  </w:t>
            </w:r>
          </w:p>
        </w:tc>
        <w:tc>
          <w:tcPr>
            <w:tcW w:w="709" w:type="dxa"/>
            <w:vAlign w:val="center"/>
          </w:tcPr>
          <w:p w14:paraId="6A67598C">
            <w:pPr>
              <w:spacing w:line="360" w:lineRule="auto"/>
              <w:jc w:val="center"/>
              <w:rPr>
                <w:rFonts w:hint="eastAsia" w:ascii="宋体" w:hAnsi="宋体"/>
                <w:color w:val="000000"/>
                <w:szCs w:val="21"/>
              </w:rPr>
            </w:pPr>
            <w:r>
              <w:rPr>
                <w:rFonts w:hint="eastAsia" w:ascii="宋体" w:hAnsi="宋体"/>
                <w:color w:val="000000"/>
                <w:szCs w:val="21"/>
              </w:rPr>
              <w:t>2</w:t>
            </w:r>
          </w:p>
        </w:tc>
        <w:tc>
          <w:tcPr>
            <w:tcW w:w="4769" w:type="dxa"/>
            <w:vAlign w:val="center"/>
          </w:tcPr>
          <w:p w14:paraId="19E3516A">
            <w:pPr>
              <w:spacing w:line="360" w:lineRule="auto"/>
              <w:rPr>
                <w:rFonts w:hint="eastAsia" w:ascii="宋体" w:hAnsi="宋体"/>
                <w:color w:val="000000"/>
                <w:szCs w:val="21"/>
              </w:rPr>
            </w:pPr>
            <w:r>
              <w:rPr>
                <w:rFonts w:hint="eastAsia" w:ascii="宋体" w:hAnsi="宋体"/>
                <w:color w:val="000000"/>
                <w:szCs w:val="21"/>
              </w:rPr>
              <w:t>HILIC，1.7um，2.1×100 mm</w:t>
            </w:r>
          </w:p>
        </w:tc>
      </w:tr>
      <w:tr w14:paraId="63D8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484DAB78">
            <w:pPr>
              <w:spacing w:line="360" w:lineRule="auto"/>
              <w:jc w:val="center"/>
              <w:rPr>
                <w:rFonts w:hint="eastAsia" w:ascii="宋体" w:hAnsi="宋体"/>
                <w:color w:val="000000"/>
                <w:szCs w:val="21"/>
              </w:rPr>
            </w:pPr>
            <w:r>
              <w:rPr>
                <w:rFonts w:hint="eastAsia" w:ascii="宋体" w:hAnsi="宋体"/>
                <w:color w:val="000000"/>
                <w:szCs w:val="21"/>
              </w:rPr>
              <w:t>11</w:t>
            </w:r>
          </w:p>
        </w:tc>
        <w:tc>
          <w:tcPr>
            <w:tcW w:w="2693" w:type="dxa"/>
          </w:tcPr>
          <w:p w14:paraId="66B7EF8F">
            <w:pPr>
              <w:spacing w:line="360" w:lineRule="auto"/>
              <w:rPr>
                <w:rFonts w:hint="eastAsia" w:ascii="宋体" w:hAnsi="宋体"/>
                <w:color w:val="000000"/>
                <w:szCs w:val="21"/>
              </w:rPr>
            </w:pPr>
            <w:r>
              <w:rPr>
                <w:rFonts w:hint="eastAsia" w:ascii="宋体" w:hAnsi="宋体"/>
                <w:color w:val="000000"/>
                <w:szCs w:val="21"/>
              </w:rPr>
              <w:t xml:space="preserve">色谱柱  </w:t>
            </w:r>
          </w:p>
        </w:tc>
        <w:tc>
          <w:tcPr>
            <w:tcW w:w="709" w:type="dxa"/>
            <w:vAlign w:val="center"/>
          </w:tcPr>
          <w:p w14:paraId="396E4067">
            <w:pPr>
              <w:spacing w:line="360" w:lineRule="auto"/>
              <w:jc w:val="center"/>
              <w:rPr>
                <w:rFonts w:hint="eastAsia" w:ascii="宋体" w:hAnsi="宋体"/>
                <w:color w:val="000000"/>
                <w:szCs w:val="21"/>
              </w:rPr>
            </w:pPr>
            <w:r>
              <w:rPr>
                <w:rFonts w:hint="eastAsia" w:ascii="宋体" w:hAnsi="宋体"/>
                <w:color w:val="000000"/>
                <w:szCs w:val="21"/>
              </w:rPr>
              <w:t>2</w:t>
            </w:r>
          </w:p>
        </w:tc>
        <w:tc>
          <w:tcPr>
            <w:tcW w:w="4769" w:type="dxa"/>
            <w:vAlign w:val="center"/>
          </w:tcPr>
          <w:p w14:paraId="55A98822">
            <w:pPr>
              <w:spacing w:line="360" w:lineRule="auto"/>
              <w:rPr>
                <w:rFonts w:hint="eastAsia" w:ascii="宋体" w:hAnsi="宋体"/>
                <w:color w:val="000000"/>
                <w:szCs w:val="21"/>
              </w:rPr>
            </w:pPr>
            <w:r>
              <w:rPr>
                <w:rFonts w:hint="eastAsia" w:ascii="宋体" w:hAnsi="宋体"/>
                <w:color w:val="000000"/>
                <w:szCs w:val="21"/>
              </w:rPr>
              <w:t>氨基，1.7um，2.1×100 mm</w:t>
            </w:r>
          </w:p>
        </w:tc>
      </w:tr>
      <w:tr w14:paraId="6843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7E64D755">
            <w:pPr>
              <w:spacing w:line="360" w:lineRule="auto"/>
              <w:jc w:val="center"/>
              <w:rPr>
                <w:rFonts w:hint="eastAsia" w:ascii="宋体" w:hAnsi="宋体"/>
                <w:color w:val="000000"/>
                <w:szCs w:val="21"/>
              </w:rPr>
            </w:pPr>
            <w:r>
              <w:rPr>
                <w:rFonts w:hint="eastAsia" w:ascii="宋体" w:hAnsi="宋体"/>
                <w:color w:val="000000"/>
                <w:szCs w:val="21"/>
              </w:rPr>
              <w:t>12</w:t>
            </w:r>
          </w:p>
        </w:tc>
        <w:tc>
          <w:tcPr>
            <w:tcW w:w="2693" w:type="dxa"/>
          </w:tcPr>
          <w:p w14:paraId="7DA5C6D8">
            <w:pPr>
              <w:spacing w:line="360" w:lineRule="auto"/>
              <w:rPr>
                <w:rFonts w:hint="eastAsia" w:ascii="宋体" w:hAnsi="宋体"/>
                <w:color w:val="000000"/>
                <w:szCs w:val="21"/>
              </w:rPr>
            </w:pPr>
            <w:r>
              <w:rPr>
                <w:rFonts w:hint="eastAsia" w:ascii="宋体" w:hAnsi="宋体"/>
                <w:color w:val="000000"/>
                <w:szCs w:val="21"/>
              </w:rPr>
              <w:t xml:space="preserve">色谱柱  </w:t>
            </w:r>
          </w:p>
        </w:tc>
        <w:tc>
          <w:tcPr>
            <w:tcW w:w="709" w:type="dxa"/>
            <w:vAlign w:val="center"/>
          </w:tcPr>
          <w:p w14:paraId="5BCA4D1F">
            <w:pPr>
              <w:spacing w:line="360" w:lineRule="auto"/>
              <w:jc w:val="center"/>
              <w:rPr>
                <w:rFonts w:hint="eastAsia" w:ascii="宋体" w:hAnsi="宋体"/>
                <w:color w:val="000000"/>
                <w:szCs w:val="21"/>
              </w:rPr>
            </w:pPr>
            <w:r>
              <w:rPr>
                <w:rFonts w:hint="eastAsia" w:ascii="宋体" w:hAnsi="宋体"/>
                <w:color w:val="000000"/>
                <w:szCs w:val="21"/>
              </w:rPr>
              <w:t>2</w:t>
            </w:r>
          </w:p>
        </w:tc>
        <w:tc>
          <w:tcPr>
            <w:tcW w:w="4769" w:type="dxa"/>
            <w:vAlign w:val="center"/>
          </w:tcPr>
          <w:p w14:paraId="7AFD7374">
            <w:pPr>
              <w:spacing w:line="360" w:lineRule="auto"/>
              <w:rPr>
                <w:rFonts w:hint="eastAsia" w:ascii="宋体" w:hAnsi="宋体"/>
                <w:color w:val="000000"/>
                <w:szCs w:val="21"/>
              </w:rPr>
            </w:pPr>
            <w:r>
              <w:rPr>
                <w:rFonts w:hint="eastAsia" w:ascii="宋体" w:hAnsi="宋体"/>
                <w:color w:val="000000"/>
                <w:szCs w:val="21"/>
              </w:rPr>
              <w:t>aQ，1.7um，2.1×100 mm</w:t>
            </w:r>
          </w:p>
        </w:tc>
      </w:tr>
      <w:tr w14:paraId="4B31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70DB6610">
            <w:pPr>
              <w:spacing w:line="360" w:lineRule="auto"/>
              <w:jc w:val="center"/>
              <w:rPr>
                <w:rFonts w:hint="eastAsia" w:ascii="宋体" w:hAnsi="宋体"/>
                <w:color w:val="000000"/>
                <w:szCs w:val="21"/>
              </w:rPr>
            </w:pPr>
            <w:r>
              <w:rPr>
                <w:rFonts w:hint="eastAsia" w:ascii="宋体" w:hAnsi="宋体"/>
                <w:color w:val="000000"/>
                <w:szCs w:val="21"/>
              </w:rPr>
              <w:t>13</w:t>
            </w:r>
          </w:p>
        </w:tc>
        <w:tc>
          <w:tcPr>
            <w:tcW w:w="2693" w:type="dxa"/>
            <w:vAlign w:val="center"/>
          </w:tcPr>
          <w:p w14:paraId="2BE7778A">
            <w:pPr>
              <w:spacing w:line="360" w:lineRule="auto"/>
              <w:rPr>
                <w:rFonts w:hint="eastAsia" w:ascii="宋体" w:hAnsi="宋体"/>
                <w:color w:val="000000"/>
                <w:szCs w:val="21"/>
              </w:rPr>
            </w:pPr>
            <w:r>
              <w:rPr>
                <w:rFonts w:hint="eastAsia" w:ascii="宋体" w:hAnsi="宋体"/>
                <w:color w:val="000000"/>
                <w:szCs w:val="21"/>
              </w:rPr>
              <w:t xml:space="preserve">泵油  </w:t>
            </w:r>
          </w:p>
        </w:tc>
        <w:tc>
          <w:tcPr>
            <w:tcW w:w="709" w:type="dxa"/>
            <w:vAlign w:val="center"/>
          </w:tcPr>
          <w:p w14:paraId="69E1A932">
            <w:pPr>
              <w:spacing w:line="360" w:lineRule="auto"/>
              <w:jc w:val="center"/>
              <w:rPr>
                <w:rFonts w:hint="eastAsia" w:ascii="宋体" w:hAnsi="宋体"/>
                <w:color w:val="000000"/>
                <w:szCs w:val="21"/>
              </w:rPr>
            </w:pPr>
            <w:r>
              <w:rPr>
                <w:rFonts w:ascii="宋体" w:hAnsi="宋体"/>
                <w:color w:val="000000"/>
                <w:szCs w:val="21"/>
              </w:rPr>
              <w:t>1</w:t>
            </w:r>
          </w:p>
        </w:tc>
        <w:tc>
          <w:tcPr>
            <w:tcW w:w="4769" w:type="dxa"/>
            <w:vAlign w:val="center"/>
          </w:tcPr>
          <w:p w14:paraId="1124C89F">
            <w:pPr>
              <w:spacing w:line="360" w:lineRule="auto"/>
              <w:rPr>
                <w:rFonts w:hint="eastAsia" w:ascii="宋体" w:hAnsi="宋体"/>
                <w:color w:val="000000"/>
                <w:szCs w:val="21"/>
              </w:rPr>
            </w:pPr>
            <w:r>
              <w:rPr>
                <w:rFonts w:hint="eastAsia" w:ascii="宋体" w:hAnsi="宋体"/>
                <w:color w:val="000000"/>
                <w:szCs w:val="21"/>
              </w:rPr>
              <w:t>2L</w:t>
            </w:r>
          </w:p>
        </w:tc>
      </w:tr>
      <w:tr w14:paraId="350F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3897CCB6">
            <w:pPr>
              <w:spacing w:line="360" w:lineRule="auto"/>
              <w:jc w:val="center"/>
              <w:rPr>
                <w:rFonts w:hint="eastAsia" w:ascii="宋体" w:hAnsi="宋体"/>
                <w:color w:val="000000"/>
                <w:szCs w:val="21"/>
              </w:rPr>
            </w:pPr>
            <w:r>
              <w:rPr>
                <w:rFonts w:hint="eastAsia" w:ascii="宋体" w:hAnsi="宋体"/>
                <w:color w:val="000000"/>
                <w:szCs w:val="21"/>
              </w:rPr>
              <w:t>14</w:t>
            </w:r>
          </w:p>
        </w:tc>
        <w:tc>
          <w:tcPr>
            <w:tcW w:w="2693" w:type="dxa"/>
            <w:vAlign w:val="center"/>
          </w:tcPr>
          <w:p w14:paraId="3295440D">
            <w:pPr>
              <w:spacing w:line="360" w:lineRule="auto"/>
              <w:rPr>
                <w:rFonts w:hint="eastAsia" w:ascii="宋体" w:hAnsi="宋体"/>
                <w:color w:val="000000"/>
                <w:szCs w:val="21"/>
              </w:rPr>
            </w:pPr>
            <w:r>
              <w:rPr>
                <w:rFonts w:hint="eastAsia" w:ascii="宋体" w:hAnsi="宋体"/>
                <w:color w:val="000000"/>
                <w:szCs w:val="21"/>
              </w:rPr>
              <w:t xml:space="preserve">进样瓶     </w:t>
            </w:r>
          </w:p>
        </w:tc>
        <w:tc>
          <w:tcPr>
            <w:tcW w:w="709" w:type="dxa"/>
            <w:vAlign w:val="center"/>
          </w:tcPr>
          <w:p w14:paraId="236069B6">
            <w:pPr>
              <w:spacing w:line="360" w:lineRule="auto"/>
              <w:jc w:val="center"/>
              <w:rPr>
                <w:rFonts w:hint="eastAsia" w:ascii="宋体" w:hAnsi="宋体"/>
                <w:color w:val="000000"/>
                <w:szCs w:val="21"/>
              </w:rPr>
            </w:pPr>
            <w:r>
              <w:rPr>
                <w:rFonts w:ascii="宋体" w:hAnsi="宋体"/>
                <w:color w:val="000000"/>
                <w:szCs w:val="21"/>
              </w:rPr>
              <w:t>2</w:t>
            </w:r>
          </w:p>
        </w:tc>
        <w:tc>
          <w:tcPr>
            <w:tcW w:w="4769" w:type="dxa"/>
            <w:vAlign w:val="center"/>
          </w:tcPr>
          <w:p w14:paraId="44C42D6E">
            <w:pPr>
              <w:spacing w:line="360" w:lineRule="auto"/>
              <w:rPr>
                <w:rFonts w:hint="eastAsia" w:ascii="宋体" w:hAnsi="宋体"/>
                <w:color w:val="000000"/>
                <w:szCs w:val="21"/>
              </w:rPr>
            </w:pPr>
            <w:r>
              <w:rPr>
                <w:rFonts w:hint="eastAsia" w:ascii="宋体" w:hAnsi="宋体"/>
                <w:color w:val="000000"/>
                <w:szCs w:val="21"/>
              </w:rPr>
              <w:t>100个/包</w:t>
            </w:r>
          </w:p>
        </w:tc>
      </w:tr>
      <w:tr w14:paraId="72DA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3444B092">
            <w:pPr>
              <w:spacing w:line="360" w:lineRule="auto"/>
              <w:jc w:val="center"/>
              <w:rPr>
                <w:rFonts w:hint="eastAsia" w:ascii="宋体" w:hAnsi="宋体"/>
                <w:color w:val="000000"/>
                <w:szCs w:val="21"/>
              </w:rPr>
            </w:pPr>
            <w:r>
              <w:rPr>
                <w:rFonts w:hint="eastAsia" w:ascii="宋体" w:hAnsi="宋体"/>
                <w:color w:val="000000"/>
                <w:szCs w:val="21"/>
              </w:rPr>
              <w:t>15</w:t>
            </w:r>
          </w:p>
        </w:tc>
        <w:tc>
          <w:tcPr>
            <w:tcW w:w="2693" w:type="dxa"/>
            <w:vAlign w:val="center"/>
          </w:tcPr>
          <w:p w14:paraId="4A369CB7">
            <w:pPr>
              <w:spacing w:line="360" w:lineRule="auto"/>
              <w:rPr>
                <w:rFonts w:hint="eastAsia" w:ascii="宋体" w:hAnsi="宋体"/>
                <w:color w:val="000000"/>
                <w:szCs w:val="21"/>
              </w:rPr>
            </w:pPr>
            <w:r>
              <w:rPr>
                <w:rFonts w:hint="eastAsia" w:ascii="宋体" w:hAnsi="宋体"/>
                <w:color w:val="000000"/>
                <w:szCs w:val="21"/>
              </w:rPr>
              <w:t>UPS电源</w:t>
            </w:r>
          </w:p>
        </w:tc>
        <w:tc>
          <w:tcPr>
            <w:tcW w:w="709" w:type="dxa"/>
            <w:vAlign w:val="center"/>
          </w:tcPr>
          <w:p w14:paraId="2C2703DB">
            <w:pPr>
              <w:spacing w:line="360" w:lineRule="auto"/>
              <w:jc w:val="center"/>
              <w:rPr>
                <w:rFonts w:hint="eastAsia" w:ascii="宋体" w:hAnsi="宋体"/>
                <w:color w:val="000000"/>
                <w:szCs w:val="21"/>
              </w:rPr>
            </w:pPr>
            <w:r>
              <w:rPr>
                <w:rFonts w:hint="eastAsia" w:ascii="宋体" w:hAnsi="宋体"/>
                <w:color w:val="000000"/>
                <w:szCs w:val="21"/>
              </w:rPr>
              <w:t>1</w:t>
            </w:r>
          </w:p>
        </w:tc>
        <w:tc>
          <w:tcPr>
            <w:tcW w:w="4769" w:type="dxa"/>
            <w:vAlign w:val="center"/>
          </w:tcPr>
          <w:p w14:paraId="6FCBA732">
            <w:pPr>
              <w:spacing w:line="360" w:lineRule="auto"/>
              <w:rPr>
                <w:rFonts w:hint="eastAsia" w:ascii="宋体" w:hAnsi="宋体"/>
                <w:color w:val="000000"/>
                <w:szCs w:val="21"/>
              </w:rPr>
            </w:pPr>
            <w:r>
              <w:rPr>
                <w:rFonts w:hint="eastAsia" w:ascii="宋体" w:hAnsi="宋体"/>
                <w:color w:val="000000"/>
                <w:szCs w:val="21"/>
              </w:rPr>
              <w:t>20KVA，电池续航2h（国内采购）</w:t>
            </w:r>
          </w:p>
        </w:tc>
      </w:tr>
      <w:tr w14:paraId="6F2A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359756BA">
            <w:pPr>
              <w:spacing w:line="360" w:lineRule="auto"/>
              <w:jc w:val="center"/>
              <w:rPr>
                <w:rFonts w:hint="eastAsia" w:ascii="宋体" w:hAnsi="宋体"/>
                <w:color w:val="000000"/>
                <w:szCs w:val="21"/>
              </w:rPr>
            </w:pPr>
            <w:r>
              <w:rPr>
                <w:rFonts w:hint="eastAsia" w:ascii="宋体" w:hAnsi="宋体"/>
                <w:color w:val="000000"/>
                <w:szCs w:val="21"/>
              </w:rPr>
              <w:t>16</w:t>
            </w:r>
          </w:p>
        </w:tc>
        <w:tc>
          <w:tcPr>
            <w:tcW w:w="2693" w:type="dxa"/>
            <w:vAlign w:val="center"/>
          </w:tcPr>
          <w:p w14:paraId="09E6DDF0">
            <w:pPr>
              <w:spacing w:line="360" w:lineRule="auto"/>
              <w:rPr>
                <w:rFonts w:hint="eastAsia" w:ascii="宋体" w:hAnsi="宋体"/>
                <w:color w:val="000000"/>
                <w:szCs w:val="21"/>
              </w:rPr>
            </w:pPr>
            <w:r>
              <w:rPr>
                <w:rFonts w:hint="eastAsia" w:ascii="宋体" w:hAnsi="宋体"/>
                <w:color w:val="000000"/>
                <w:szCs w:val="21"/>
              </w:rPr>
              <w:t>氮气发生器</w:t>
            </w:r>
          </w:p>
        </w:tc>
        <w:tc>
          <w:tcPr>
            <w:tcW w:w="709" w:type="dxa"/>
            <w:vAlign w:val="center"/>
          </w:tcPr>
          <w:p w14:paraId="78DCF4C9">
            <w:pPr>
              <w:spacing w:line="360" w:lineRule="auto"/>
              <w:jc w:val="center"/>
              <w:rPr>
                <w:rFonts w:hint="eastAsia" w:ascii="宋体" w:hAnsi="宋体"/>
                <w:color w:val="000000"/>
                <w:szCs w:val="21"/>
              </w:rPr>
            </w:pPr>
            <w:r>
              <w:rPr>
                <w:rFonts w:hint="eastAsia" w:ascii="宋体" w:hAnsi="宋体"/>
                <w:color w:val="000000"/>
                <w:szCs w:val="21"/>
              </w:rPr>
              <w:t>1</w:t>
            </w:r>
          </w:p>
        </w:tc>
        <w:tc>
          <w:tcPr>
            <w:tcW w:w="4769" w:type="dxa"/>
            <w:vAlign w:val="center"/>
          </w:tcPr>
          <w:p w14:paraId="4FA7B07D">
            <w:pPr>
              <w:spacing w:line="360" w:lineRule="auto"/>
              <w:rPr>
                <w:rFonts w:hint="eastAsia" w:ascii="宋体" w:hAnsi="宋体"/>
                <w:color w:val="000000"/>
                <w:szCs w:val="21"/>
              </w:rPr>
            </w:pPr>
            <w:r>
              <w:rPr>
                <w:rFonts w:hint="eastAsia" w:ascii="宋体" w:hAnsi="宋体"/>
                <w:color w:val="000000"/>
                <w:szCs w:val="21"/>
              </w:rPr>
              <w:t>一体式（国内采购）</w:t>
            </w:r>
          </w:p>
        </w:tc>
      </w:tr>
      <w:tr w14:paraId="3093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4F7460D5">
            <w:pPr>
              <w:spacing w:line="360" w:lineRule="auto"/>
              <w:jc w:val="center"/>
              <w:rPr>
                <w:rFonts w:hint="eastAsia" w:ascii="宋体" w:hAnsi="宋体"/>
                <w:color w:val="000000"/>
                <w:szCs w:val="21"/>
              </w:rPr>
            </w:pPr>
            <w:r>
              <w:rPr>
                <w:rFonts w:hint="eastAsia" w:ascii="宋体" w:hAnsi="宋体"/>
                <w:color w:val="000000"/>
                <w:szCs w:val="21"/>
              </w:rPr>
              <w:t>1</w:t>
            </w:r>
            <w:r>
              <w:rPr>
                <w:rFonts w:ascii="宋体" w:hAnsi="宋体"/>
                <w:color w:val="000000"/>
                <w:szCs w:val="21"/>
              </w:rPr>
              <w:t>7</w:t>
            </w:r>
          </w:p>
        </w:tc>
        <w:tc>
          <w:tcPr>
            <w:tcW w:w="2693" w:type="dxa"/>
            <w:vAlign w:val="center"/>
          </w:tcPr>
          <w:p w14:paraId="3EB3AAEA">
            <w:pPr>
              <w:spacing w:line="360" w:lineRule="auto"/>
              <w:rPr>
                <w:rFonts w:hint="eastAsia" w:ascii="宋体" w:hAnsi="宋体"/>
                <w:color w:val="000000"/>
                <w:szCs w:val="21"/>
              </w:rPr>
            </w:pPr>
            <w:r>
              <w:rPr>
                <w:rFonts w:hint="eastAsia" w:ascii="宋体" w:hAnsi="宋体"/>
                <w:color w:val="000000"/>
                <w:szCs w:val="21"/>
              </w:rPr>
              <w:t>代谢组学前处理套装</w:t>
            </w:r>
          </w:p>
        </w:tc>
        <w:tc>
          <w:tcPr>
            <w:tcW w:w="709" w:type="dxa"/>
            <w:vAlign w:val="center"/>
          </w:tcPr>
          <w:p w14:paraId="0DB09D31">
            <w:pPr>
              <w:spacing w:line="360" w:lineRule="auto"/>
              <w:jc w:val="center"/>
              <w:rPr>
                <w:rFonts w:hint="eastAsia" w:ascii="宋体" w:hAnsi="宋体"/>
                <w:color w:val="000000"/>
                <w:szCs w:val="21"/>
              </w:rPr>
            </w:pPr>
            <w:r>
              <w:rPr>
                <w:rFonts w:hint="eastAsia" w:ascii="宋体" w:hAnsi="宋体"/>
                <w:color w:val="000000"/>
                <w:szCs w:val="21"/>
              </w:rPr>
              <w:t>1</w:t>
            </w:r>
          </w:p>
        </w:tc>
        <w:tc>
          <w:tcPr>
            <w:tcW w:w="4769" w:type="dxa"/>
            <w:vAlign w:val="center"/>
          </w:tcPr>
          <w:p w14:paraId="4B8B0D88">
            <w:pPr>
              <w:spacing w:line="360" w:lineRule="auto"/>
              <w:rPr>
                <w:rFonts w:hint="eastAsia" w:ascii="宋体" w:hAnsi="宋体"/>
                <w:color w:val="000000"/>
                <w:szCs w:val="21"/>
              </w:rPr>
            </w:pPr>
            <w:r>
              <w:rPr>
                <w:rFonts w:hint="eastAsia" w:ascii="宋体" w:hAnsi="宋体"/>
                <w:color w:val="000000"/>
                <w:szCs w:val="21"/>
              </w:rPr>
              <w:t>代谢组学前处理套装一套</w:t>
            </w:r>
          </w:p>
        </w:tc>
      </w:tr>
    </w:tbl>
    <w:p w14:paraId="1337A977">
      <w:pPr>
        <w:spacing w:line="360" w:lineRule="auto"/>
        <w:rPr>
          <w:rFonts w:hint="eastAsia" w:ascii="宋体" w:hAnsi="宋体"/>
          <w:color w:val="000000"/>
          <w:szCs w:val="21"/>
        </w:rPr>
      </w:pPr>
    </w:p>
    <w:p w14:paraId="596CE6BD">
      <w:pPr>
        <w:spacing w:line="360" w:lineRule="auto"/>
        <w:rPr>
          <w:rFonts w:hint="eastAsia" w:ascii="宋体" w:hAnsi="宋体"/>
          <w:color w:val="000000"/>
          <w:szCs w:val="21"/>
        </w:rPr>
      </w:pPr>
      <w:r>
        <w:rPr>
          <w:rFonts w:ascii="宋体" w:hAnsi="宋体"/>
          <w:color w:val="000000"/>
          <w:szCs w:val="21"/>
        </w:rPr>
        <w:t>五、随机文件资料</w:t>
      </w:r>
    </w:p>
    <w:p w14:paraId="41DCB674">
      <w:pPr>
        <w:spacing w:line="360" w:lineRule="auto"/>
        <w:rPr>
          <w:rFonts w:hint="eastAsia" w:ascii="宋体" w:hAnsi="宋体"/>
          <w:color w:val="000000"/>
          <w:szCs w:val="21"/>
        </w:rPr>
      </w:pPr>
      <w:r>
        <w:rPr>
          <w:rFonts w:ascii="宋体" w:hAnsi="宋体"/>
          <w:color w:val="000000"/>
          <w:szCs w:val="21"/>
        </w:rPr>
        <w:t>1</w:t>
      </w:r>
      <w:r>
        <w:rPr>
          <w:rFonts w:hint="eastAsia" w:ascii="宋体" w:hAnsi="宋体"/>
          <w:color w:val="000000"/>
          <w:szCs w:val="21"/>
        </w:rPr>
        <w:t xml:space="preserve">. </w:t>
      </w:r>
      <w:r>
        <w:rPr>
          <w:rFonts w:ascii="宋体" w:hAnsi="宋体"/>
          <w:color w:val="000000"/>
          <w:szCs w:val="21"/>
        </w:rPr>
        <w:t>随机文件资料（电子版）：至少1套</w:t>
      </w:r>
    </w:p>
    <w:p w14:paraId="4B505928">
      <w:pPr>
        <w:spacing w:line="360" w:lineRule="auto"/>
        <w:rPr>
          <w:rFonts w:hint="eastAsia" w:ascii="宋体" w:hAnsi="宋体"/>
          <w:color w:val="000000"/>
          <w:szCs w:val="21"/>
        </w:rPr>
      </w:pPr>
      <w:r>
        <w:rPr>
          <w:rFonts w:ascii="宋体" w:hAnsi="宋体"/>
          <w:color w:val="000000"/>
          <w:szCs w:val="21"/>
        </w:rPr>
        <w:t>2</w:t>
      </w:r>
      <w:r>
        <w:rPr>
          <w:rFonts w:hint="eastAsia" w:ascii="宋体" w:hAnsi="宋体"/>
          <w:color w:val="000000"/>
          <w:szCs w:val="21"/>
        </w:rPr>
        <w:t xml:space="preserve">. </w:t>
      </w:r>
      <w:r>
        <w:rPr>
          <w:rFonts w:ascii="宋体" w:hAnsi="宋体"/>
          <w:color w:val="000000"/>
          <w:szCs w:val="21"/>
        </w:rPr>
        <w:t>设备操作使用说明书（英文）：至少1套</w:t>
      </w:r>
    </w:p>
    <w:p w14:paraId="64792547">
      <w:pPr>
        <w:spacing w:line="360" w:lineRule="auto"/>
        <w:rPr>
          <w:rFonts w:hint="eastAsia" w:ascii="宋体" w:hAnsi="宋体"/>
          <w:color w:val="000000"/>
          <w:szCs w:val="21"/>
        </w:rPr>
      </w:pP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软件使用及开发指南（英文）：至少1套</w:t>
      </w:r>
    </w:p>
    <w:p w14:paraId="1697F527">
      <w:pPr>
        <w:spacing w:line="360" w:lineRule="auto"/>
        <w:rPr>
          <w:rFonts w:hint="eastAsia" w:ascii="宋体" w:hAnsi="宋体"/>
          <w:color w:val="000000"/>
          <w:szCs w:val="21"/>
        </w:rPr>
      </w:pPr>
      <w:r>
        <w:rPr>
          <w:rFonts w:ascii="宋体" w:hAnsi="宋体"/>
          <w:color w:val="000000"/>
          <w:szCs w:val="21"/>
        </w:rPr>
        <w:t>4</w:t>
      </w:r>
      <w:r>
        <w:rPr>
          <w:rFonts w:hint="eastAsia" w:ascii="宋体" w:hAnsi="宋体"/>
          <w:color w:val="000000"/>
          <w:szCs w:val="21"/>
        </w:rPr>
        <w:t xml:space="preserve">. </w:t>
      </w:r>
      <w:r>
        <w:rPr>
          <w:rFonts w:ascii="宋体" w:hAnsi="宋体"/>
          <w:color w:val="000000"/>
          <w:szCs w:val="21"/>
        </w:rPr>
        <w:t>其它应附随机资料</w:t>
      </w:r>
    </w:p>
    <w:p w14:paraId="5EA4A345">
      <w:pPr>
        <w:spacing w:line="360" w:lineRule="auto"/>
        <w:ind w:firstLine="480"/>
        <w:rPr>
          <w:rFonts w:hint="eastAsia" w:ascii="宋体" w:hAnsi="宋体"/>
          <w:color w:val="000000"/>
          <w:szCs w:val="21"/>
          <w:lang w:val="en-GB"/>
        </w:rPr>
      </w:pPr>
      <w:r>
        <w:rPr>
          <w:rFonts w:ascii="宋体" w:hAnsi="宋体"/>
          <w:color w:val="000000"/>
          <w:szCs w:val="21"/>
          <w:lang w:val="en-GB"/>
        </w:rPr>
        <w:t>卖方应在供货同时向买方提供所有有关本合同执行的技术文件。如果项目必需但合同又未作规定的要卖方才能提供的技术文件，卖方也应及时向买方提供。上述技术文件应包含保证买方能够正确进行安装、操作、检查、维修、维护、测试、调试、验收和运作的需要的所有内容。同时买方完全按照技术文件的指导进行的任何安装、操作、检查维修、维护、测试、调试、验收所引起的系统和/或设备或其部件的损坏由卖方承担责任；</w:t>
      </w:r>
    </w:p>
    <w:p w14:paraId="6D18808E">
      <w:pPr>
        <w:spacing w:line="360" w:lineRule="auto"/>
        <w:ind w:firstLine="480"/>
        <w:rPr>
          <w:rFonts w:hint="eastAsia" w:ascii="宋体" w:hAnsi="宋体"/>
          <w:color w:val="000000"/>
          <w:szCs w:val="21"/>
          <w:lang w:val="en-GB"/>
        </w:rPr>
      </w:pPr>
      <w:r>
        <w:rPr>
          <w:rFonts w:ascii="宋体" w:hAnsi="宋体"/>
          <w:color w:val="000000"/>
          <w:szCs w:val="21"/>
          <w:lang w:val="en-GB"/>
        </w:rPr>
        <w:t>所有卖方提供的技术文件的全部费用已包含在合同货物价格中。</w:t>
      </w:r>
    </w:p>
    <w:p w14:paraId="6008B667">
      <w:pPr>
        <w:spacing w:line="360" w:lineRule="auto"/>
        <w:rPr>
          <w:rFonts w:hint="eastAsia" w:ascii="宋体" w:hAnsi="宋体"/>
          <w:color w:val="000000"/>
          <w:szCs w:val="21"/>
          <w:lang w:val="en-GB"/>
        </w:rPr>
      </w:pPr>
    </w:p>
    <w:p w14:paraId="494A8022">
      <w:pPr>
        <w:spacing w:line="360" w:lineRule="auto"/>
        <w:rPr>
          <w:rFonts w:hint="eastAsia" w:ascii="宋体" w:hAnsi="宋体"/>
          <w:color w:val="000000"/>
          <w:szCs w:val="21"/>
        </w:rPr>
      </w:pPr>
      <w:r>
        <w:rPr>
          <w:rFonts w:ascii="宋体" w:hAnsi="宋体"/>
          <w:color w:val="000000"/>
          <w:szCs w:val="21"/>
          <w:lang w:val="en-GB"/>
        </w:rPr>
        <w:t>六、</w:t>
      </w:r>
      <w:r>
        <w:rPr>
          <w:rFonts w:ascii="宋体" w:hAnsi="宋体"/>
          <w:color w:val="000000"/>
          <w:szCs w:val="21"/>
        </w:rPr>
        <w:t>技术商务要求</w:t>
      </w:r>
    </w:p>
    <w:p w14:paraId="4A2275B6">
      <w:pPr>
        <w:spacing w:line="360" w:lineRule="auto"/>
        <w:rPr>
          <w:rFonts w:hint="eastAsia" w:ascii="宋体" w:hAnsi="宋体"/>
          <w:color w:val="000000"/>
          <w:szCs w:val="21"/>
        </w:rPr>
      </w:pPr>
      <w:r>
        <w:rPr>
          <w:rFonts w:hint="eastAsia" w:ascii="宋体" w:hAnsi="宋体"/>
          <w:color w:val="000000"/>
          <w:szCs w:val="21"/>
        </w:rPr>
        <w:t xml:space="preserve">1. </w:t>
      </w:r>
      <w:r>
        <w:rPr>
          <w:rFonts w:ascii="宋体" w:hAnsi="宋体"/>
          <w:color w:val="000000"/>
          <w:szCs w:val="21"/>
        </w:rPr>
        <w:t>卖方应在仪器到达用户所在地后，在接到用户通知后2周内进行安装调试，直至通过验收。</w:t>
      </w:r>
    </w:p>
    <w:p w14:paraId="270AAD65">
      <w:pPr>
        <w:spacing w:line="360" w:lineRule="auto"/>
        <w:rPr>
          <w:rFonts w:hint="eastAsia" w:ascii="宋体" w:hAnsi="宋体"/>
          <w:color w:val="000000"/>
          <w:szCs w:val="21"/>
        </w:rPr>
      </w:pPr>
      <w:r>
        <w:rPr>
          <w:rFonts w:hint="eastAsia" w:ascii="宋体" w:hAnsi="宋体"/>
          <w:color w:val="000000"/>
          <w:szCs w:val="21"/>
        </w:rPr>
        <w:t xml:space="preserve">2. </w:t>
      </w:r>
      <w:r>
        <w:rPr>
          <w:rFonts w:ascii="宋体" w:hAnsi="宋体"/>
          <w:color w:val="000000"/>
          <w:szCs w:val="21"/>
        </w:rPr>
        <w:t>技术培训：卖方应对买方提供现场技术培训，在卖方设备安装调试完成后，卖方应对用户技术人员进行调试、操作、仪器维护、故障排除等方面的现场培训，时间为5个工作日。</w:t>
      </w:r>
    </w:p>
    <w:p w14:paraId="5FAAD335">
      <w:pPr>
        <w:spacing w:line="360" w:lineRule="auto"/>
        <w:rPr>
          <w:rFonts w:hint="eastAsia" w:ascii="宋体" w:hAnsi="宋体"/>
          <w:color w:val="000000"/>
          <w:szCs w:val="21"/>
        </w:rPr>
      </w:pPr>
      <w:r>
        <w:rPr>
          <w:rFonts w:hint="eastAsia" w:ascii="宋体" w:hAnsi="宋体"/>
          <w:color w:val="000000"/>
          <w:szCs w:val="21"/>
        </w:rPr>
        <w:t xml:space="preserve">3. </w:t>
      </w:r>
      <w:r>
        <w:rPr>
          <w:rFonts w:ascii="宋体" w:hAnsi="宋体"/>
          <w:color w:val="000000"/>
          <w:szCs w:val="21"/>
        </w:rPr>
        <w:t>售后服务：中国区建立有售后服务机构，并配备专业维修工程师，能提供及时有效的售后服务。</w:t>
      </w:r>
    </w:p>
    <w:p w14:paraId="37757817">
      <w:pPr>
        <w:spacing w:line="360" w:lineRule="auto"/>
        <w:rPr>
          <w:rFonts w:hint="eastAsia" w:ascii="宋体" w:hAnsi="宋体"/>
          <w:color w:val="000000"/>
          <w:szCs w:val="21"/>
        </w:rPr>
      </w:pPr>
      <w:r>
        <w:rPr>
          <w:rFonts w:ascii="宋体" w:hAnsi="宋体"/>
          <w:color w:val="000000"/>
          <w:szCs w:val="21"/>
        </w:rPr>
        <w:t>★</w:t>
      </w:r>
      <w:r>
        <w:rPr>
          <w:rFonts w:hint="eastAsia" w:ascii="宋体" w:hAnsi="宋体"/>
          <w:color w:val="000000"/>
          <w:szCs w:val="21"/>
        </w:rPr>
        <w:t xml:space="preserve">4. </w:t>
      </w:r>
      <w:r>
        <w:rPr>
          <w:rFonts w:ascii="宋体" w:hAnsi="宋体"/>
          <w:color w:val="000000"/>
          <w:szCs w:val="21"/>
        </w:rPr>
        <w:t>保修期：卖方提供</w:t>
      </w:r>
      <w:r>
        <w:rPr>
          <w:rFonts w:hint="eastAsia" w:ascii="宋体" w:hAnsi="宋体"/>
          <w:color w:val="000000"/>
          <w:szCs w:val="21"/>
        </w:rPr>
        <w:t>3</w:t>
      </w:r>
      <w:r>
        <w:rPr>
          <w:rFonts w:ascii="宋体" w:hAnsi="宋体"/>
          <w:color w:val="000000"/>
          <w:szCs w:val="21"/>
        </w:rPr>
        <w:t>年的整机免费保修</w:t>
      </w:r>
      <w:r>
        <w:rPr>
          <w:rFonts w:hint="eastAsia" w:ascii="宋体" w:hAnsi="宋体"/>
          <w:color w:val="000000"/>
          <w:szCs w:val="21"/>
        </w:rPr>
        <w:t>，</w:t>
      </w:r>
      <w:r>
        <w:rPr>
          <w:rFonts w:ascii="宋体" w:hAnsi="宋体"/>
          <w:color w:val="000000"/>
          <w:szCs w:val="21"/>
        </w:rPr>
        <w:t>保修期自仪器验收签字之日起计算。</w:t>
      </w:r>
      <w:r>
        <w:rPr>
          <w:rFonts w:hint="eastAsia" w:ascii="宋体" w:hAnsi="宋体"/>
          <w:color w:val="000000"/>
          <w:szCs w:val="21"/>
        </w:rPr>
        <w:t>（</w:t>
      </w:r>
      <w:r>
        <w:rPr>
          <w:rFonts w:ascii="宋体" w:hAnsi="宋体"/>
          <w:color w:val="000000"/>
          <w:szCs w:val="21"/>
        </w:rPr>
        <w:t>本条需提供</w:t>
      </w:r>
      <w:r>
        <w:rPr>
          <w:rFonts w:hint="eastAsia" w:ascii="宋体" w:hAnsi="宋体"/>
          <w:color w:val="000000"/>
          <w:szCs w:val="21"/>
        </w:rPr>
        <w:t>制造厂家</w:t>
      </w:r>
      <w:r>
        <w:rPr>
          <w:rFonts w:ascii="宋体" w:hAnsi="宋体"/>
          <w:color w:val="000000"/>
          <w:szCs w:val="21"/>
        </w:rPr>
        <w:t>书面承诺</w:t>
      </w:r>
      <w:r>
        <w:rPr>
          <w:rFonts w:hint="eastAsia" w:ascii="宋体" w:hAnsi="宋体"/>
          <w:color w:val="000000"/>
          <w:szCs w:val="21"/>
        </w:rPr>
        <w:t>函）</w:t>
      </w:r>
    </w:p>
    <w:p w14:paraId="308CCA0C">
      <w:pPr>
        <w:spacing w:line="360" w:lineRule="auto"/>
        <w:rPr>
          <w:rFonts w:hint="eastAsia" w:ascii="宋体" w:hAnsi="宋体"/>
          <w:color w:val="000000"/>
          <w:szCs w:val="21"/>
        </w:rPr>
      </w:pPr>
      <w:r>
        <w:rPr>
          <w:rFonts w:hint="eastAsia" w:ascii="宋体" w:hAnsi="宋体"/>
          <w:color w:val="000000"/>
          <w:szCs w:val="21"/>
        </w:rPr>
        <w:t xml:space="preserve">5. </w:t>
      </w:r>
      <w:r>
        <w:rPr>
          <w:rFonts w:ascii="宋体" w:hAnsi="宋体"/>
          <w:color w:val="000000"/>
          <w:szCs w:val="21"/>
        </w:rPr>
        <w:t>维修响应时间：卖方应在24小时内对用户的服务要求给以响应；需要在现场解决问题的，应在3个工作日内到达仪器现场。</w:t>
      </w:r>
    </w:p>
    <w:p w14:paraId="242FF0F9">
      <w:pPr>
        <w:spacing w:line="360" w:lineRule="auto"/>
        <w:rPr>
          <w:rFonts w:hint="eastAsia" w:ascii="宋体" w:hAnsi="宋体"/>
          <w:bCs/>
          <w:color w:val="000000"/>
          <w:szCs w:val="21"/>
        </w:rPr>
      </w:pPr>
      <w:r>
        <w:rPr>
          <w:rFonts w:hint="eastAsia" w:ascii="宋体" w:hAnsi="宋体"/>
          <w:color w:val="000000"/>
          <w:szCs w:val="21"/>
        </w:rPr>
        <w:t>6. 付款方式</w:t>
      </w:r>
      <w:r>
        <w:rPr>
          <w:rFonts w:hint="eastAsia" w:ascii="宋体" w:hAnsi="宋体"/>
          <w:bCs/>
          <w:color w:val="000000"/>
          <w:szCs w:val="21"/>
        </w:rPr>
        <w:t>：对于进口产品，采用即期不可撤消信用证等国际贸易支付条件支付： 100%信用证，其中90%凭单据议付，另外的10%凭验收报告议付。</w:t>
      </w:r>
    </w:p>
    <w:p w14:paraId="5E3C464A">
      <w:pPr>
        <w:spacing w:line="360" w:lineRule="auto"/>
        <w:rPr>
          <w:rFonts w:hint="eastAsia" w:ascii="宋体" w:hAnsi="宋体"/>
          <w:color w:val="000000"/>
          <w:szCs w:val="21"/>
        </w:rPr>
      </w:pPr>
      <w:r>
        <w:rPr>
          <w:rFonts w:hint="eastAsia" w:ascii="宋体" w:hAnsi="宋体"/>
          <w:color w:val="000000"/>
          <w:szCs w:val="21"/>
        </w:rPr>
        <w:t>国产设备付款方式：签订合同后，卖方交货后买方支付合同总金额的90%，验收合格后支付10%。</w:t>
      </w:r>
    </w:p>
    <w:p w14:paraId="496169D0">
      <w:pPr>
        <w:spacing w:line="360" w:lineRule="auto"/>
        <w:rPr>
          <w:rFonts w:hint="eastAsia" w:ascii="宋体" w:hAnsi="宋体"/>
          <w:bCs/>
          <w:color w:val="000000"/>
          <w:szCs w:val="21"/>
        </w:rPr>
      </w:pPr>
      <w:r>
        <w:rPr>
          <w:rFonts w:hint="eastAsia" w:ascii="宋体" w:hAnsi="宋体"/>
          <w:bCs/>
          <w:color w:val="000000"/>
          <w:szCs w:val="21"/>
        </w:rPr>
        <w:t>7.由于禁运或出口许可审批困难导致合同不能履行，要求合同自动解除并退回已支付的货款,如果由于投标人自身原因导致被禁运，就要其承担相应法律责任并赔偿由此导致的损失。</w:t>
      </w:r>
    </w:p>
    <w:p w14:paraId="39251DBD">
      <w:pPr>
        <w:spacing w:line="360" w:lineRule="auto"/>
        <w:rPr>
          <w:rFonts w:hint="eastAsia" w:ascii="宋体" w:hAnsi="宋体"/>
          <w:color w:val="000000"/>
          <w:szCs w:val="21"/>
        </w:rPr>
      </w:pPr>
    </w:p>
    <w:p w14:paraId="5FF2B8F2">
      <w:pPr>
        <w:spacing w:line="360" w:lineRule="auto"/>
        <w:rPr>
          <w:rFonts w:hint="eastAsia" w:ascii="宋体" w:hAnsi="宋体"/>
          <w:color w:val="000000"/>
          <w:szCs w:val="21"/>
        </w:rPr>
      </w:pPr>
      <w:r>
        <w:rPr>
          <w:rFonts w:ascii="宋体" w:hAnsi="宋体"/>
          <w:color w:val="000000"/>
          <w:szCs w:val="21"/>
        </w:rPr>
        <w:t>七、设备包装要求及运输方式</w:t>
      </w:r>
    </w:p>
    <w:p w14:paraId="7DADFB38">
      <w:pPr>
        <w:spacing w:line="360" w:lineRule="auto"/>
        <w:rPr>
          <w:rFonts w:hint="eastAsia" w:ascii="宋体" w:hAnsi="宋体"/>
          <w:color w:val="000000"/>
          <w:szCs w:val="21"/>
        </w:rPr>
      </w:pPr>
      <w:r>
        <w:rPr>
          <w:rFonts w:ascii="宋体" w:hAnsi="宋体"/>
          <w:color w:val="000000"/>
          <w:szCs w:val="21"/>
        </w:rPr>
        <w:t>1</w:t>
      </w:r>
      <w:r>
        <w:rPr>
          <w:rFonts w:hint="eastAsia" w:ascii="宋体" w:hAnsi="宋体"/>
          <w:color w:val="000000"/>
          <w:szCs w:val="21"/>
        </w:rPr>
        <w:t xml:space="preserve">. </w:t>
      </w:r>
      <w:r>
        <w:rPr>
          <w:rFonts w:ascii="宋体" w:hAnsi="宋体"/>
          <w:color w:val="000000"/>
          <w:szCs w:val="21"/>
        </w:rPr>
        <w:t>设备包装应符合海运、陆运、空运的标准，适合长途运输、防潮，防震，防绣；保证设备完好无损；适于海、陆、空运输和整体吊装。</w:t>
      </w:r>
    </w:p>
    <w:p w14:paraId="168B9559">
      <w:pPr>
        <w:spacing w:line="360" w:lineRule="auto"/>
        <w:rPr>
          <w:rFonts w:hint="eastAsia" w:ascii="宋体" w:hAnsi="宋体"/>
          <w:color w:val="000000"/>
          <w:szCs w:val="21"/>
        </w:rPr>
      </w:pPr>
      <w:r>
        <w:rPr>
          <w:rFonts w:ascii="宋体" w:hAnsi="宋体"/>
          <w:color w:val="000000"/>
          <w:szCs w:val="21"/>
        </w:rPr>
        <w:t>2</w:t>
      </w:r>
      <w:r>
        <w:rPr>
          <w:rFonts w:hint="eastAsia" w:ascii="宋体" w:hAnsi="宋体"/>
          <w:color w:val="000000"/>
          <w:szCs w:val="21"/>
        </w:rPr>
        <w:t xml:space="preserve">. </w:t>
      </w:r>
      <w:r>
        <w:rPr>
          <w:rFonts w:ascii="宋体" w:hAnsi="宋体"/>
          <w:color w:val="000000"/>
          <w:szCs w:val="21"/>
        </w:rPr>
        <w:t>由于包装不当所造成的货物锈蚀、损坏和损失均由卖方负责。</w:t>
      </w:r>
    </w:p>
    <w:p w14:paraId="03ED3082">
      <w:pPr>
        <w:spacing w:line="360" w:lineRule="auto"/>
        <w:rPr>
          <w:rFonts w:hint="eastAsia" w:ascii="宋体" w:hAnsi="宋体"/>
          <w:color w:val="000000"/>
          <w:szCs w:val="21"/>
        </w:rPr>
      </w:pP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每份包装箱内应附一份详细装箱清单和质量检验合格证明或厂商提供的出厂检测报告。</w:t>
      </w:r>
    </w:p>
    <w:p w14:paraId="3D6A8F0B">
      <w:pPr>
        <w:spacing w:line="360" w:lineRule="auto"/>
        <w:rPr>
          <w:rFonts w:hint="eastAsia" w:ascii="宋体" w:hAnsi="宋体"/>
          <w:color w:val="000000"/>
          <w:szCs w:val="21"/>
        </w:rPr>
      </w:pPr>
    </w:p>
    <w:p w14:paraId="3BFE6C18">
      <w:pPr>
        <w:spacing w:line="360" w:lineRule="auto"/>
        <w:rPr>
          <w:rFonts w:hint="eastAsia" w:ascii="宋体" w:hAnsi="宋体"/>
          <w:color w:val="000000"/>
          <w:szCs w:val="21"/>
        </w:rPr>
      </w:pPr>
      <w:r>
        <w:rPr>
          <w:rFonts w:hint="eastAsia" w:ascii="宋体" w:hAnsi="宋体"/>
          <w:color w:val="000000"/>
          <w:szCs w:val="21"/>
        </w:rPr>
        <w:t>八、投标产品必须是市场上已经上市并且是全新出厂制造产品，不得是翻新机或者二手机或者定制机。</w:t>
      </w:r>
    </w:p>
    <w:p w14:paraId="2A85990E">
      <w:pPr>
        <w:spacing w:line="360" w:lineRule="auto"/>
        <w:rPr>
          <w:rFonts w:hint="eastAsia" w:ascii="宋体" w:hAnsi="宋体"/>
          <w:color w:val="000000"/>
          <w:szCs w:val="21"/>
        </w:rPr>
      </w:pPr>
      <w:r>
        <w:rPr>
          <w:rFonts w:ascii="宋体" w:hAnsi="宋体"/>
          <w:color w:val="000000"/>
          <w:szCs w:val="21"/>
        </w:rPr>
        <w:t>注：对第五章货物需求一览表及技术规格中“★”号条款为关键技术条款，“#”号条款为重要技术条款。</w:t>
      </w:r>
    </w:p>
    <w:p w14:paraId="624D7ABC">
      <w:pPr>
        <w:spacing w:line="360" w:lineRule="auto"/>
        <w:rPr>
          <w:rFonts w:hint="eastAsia" w:ascii="宋体" w:hAnsi="宋体"/>
          <w:color w:val="000000"/>
          <w:szCs w:val="21"/>
        </w:rPr>
      </w:pPr>
      <w:r>
        <w:rPr>
          <w:rFonts w:ascii="宋体" w:hAnsi="宋体"/>
          <w:color w:val="000000"/>
          <w:szCs w:val="21"/>
        </w:rPr>
        <w:t>“★”号条款的偏离将致导投标被否决</w:t>
      </w:r>
    </w:p>
    <w:bookmarkEnd w:id="0"/>
    <w:p w14:paraId="516A7788">
      <w:pPr>
        <w:spacing w:line="360" w:lineRule="auto"/>
        <w:rPr>
          <w:rFonts w:hint="eastAsia" w:ascii="宋体" w:hAnsi="宋体"/>
          <w:color w:val="000000"/>
          <w:szCs w:val="21"/>
        </w:rPr>
      </w:pPr>
    </w:p>
    <w:p w14:paraId="07E453E9"/>
    <w:sectPr>
      <w:footerReference r:id="rId4" w:type="first"/>
      <w:footerReference r:id="rId3" w:type="default"/>
      <w:pgSz w:w="11906" w:h="16838"/>
      <w:pgMar w:top="1247" w:right="1304" w:bottom="1247" w:left="130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C913E">
    <w:pPr>
      <w:pStyle w:val="3"/>
      <w:jc w:val="center"/>
    </w:pPr>
    <w:r>
      <w:fldChar w:fldCharType="begin"/>
    </w:r>
    <w:r>
      <w:instrText xml:space="preserve">PAGE   \* MERGEFORMAT</w:instrText>
    </w:r>
    <w:r>
      <w:fldChar w:fldCharType="separate"/>
    </w:r>
    <w:r>
      <w:rPr>
        <w:lang w:val="zh-CN"/>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2C335">
    <w:pPr>
      <w:pStyle w:val="3"/>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4B14E4"/>
    <w:multiLevelType w:val="multilevel"/>
    <w:tmpl w:val="154B14E4"/>
    <w:lvl w:ilvl="0" w:tentative="0">
      <w:start w:val="1"/>
      <w:numFmt w:val="decimal"/>
      <w:lvlText w:val="%1）"/>
      <w:lvlJc w:val="left"/>
      <w:pPr>
        <w:tabs>
          <w:tab w:val="left" w:pos="1106"/>
        </w:tabs>
        <w:ind w:left="110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A43"/>
    <w:rsid w:val="00201559"/>
    <w:rsid w:val="00235A43"/>
    <w:rsid w:val="002E64EC"/>
    <w:rsid w:val="003B217B"/>
    <w:rsid w:val="0072433E"/>
    <w:rsid w:val="00D97E96"/>
    <w:rsid w:val="00E15D18"/>
    <w:rsid w:val="2F696C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0"/>
    <w:qFormat/>
    <w:uiPriority w:val="0"/>
    <w:rPr>
      <w:rFonts w:ascii="宋体" w:hAnsi="Courier New"/>
      <w:szCs w:val="20"/>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纯文本 字符"/>
    <w:basedOn w:val="6"/>
    <w:semiHidden/>
    <w:qFormat/>
    <w:uiPriority w:val="99"/>
    <w:rPr>
      <w:rFonts w:hAnsi="Courier New" w:cs="Courier New" w:asciiTheme="minorEastAsia"/>
      <w:szCs w:val="24"/>
      <w14:ligatures w14:val="none"/>
    </w:rPr>
  </w:style>
  <w:style w:type="character" w:customStyle="1" w:styleId="10">
    <w:name w:val="纯文本 字符1"/>
    <w:link w:val="2"/>
    <w:qFormat/>
    <w:uiPriority w:val="0"/>
    <w:rPr>
      <w:rFonts w:ascii="宋体" w:hAnsi="Courier New" w:eastAsia="宋体" w:cs="Times New Roman"/>
      <w:szCs w:val="20"/>
      <w14:ligatures w14:val="none"/>
    </w:rPr>
  </w:style>
  <w:style w:type="character" w:customStyle="1" w:styleId="11">
    <w:name w:val="页脚 Char"/>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3760</Words>
  <Characters>4279</Characters>
  <Lines>32</Lines>
  <Paragraphs>9</Paragraphs>
  <TotalTime>1</TotalTime>
  <ScaleCrop>false</ScaleCrop>
  <LinksUpToDate>false</LinksUpToDate>
  <CharactersWithSpaces>4379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2024-09-19T02:35:00Z</dcterms:created>
  <dc:creator>招标 东方</dc:creator>
  <cp:lastModifiedBy>清</cp:lastModifiedBy>
  <dcterms:modified xsi:type="dcterms:W3CDTF">2024-09-20T02:49:00Z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B71029B7EC4B4274AD0B39BCDB818D55_13</vt:lpwstr>
  </property>
</Properties>
</file>