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755E17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4"/>
        </w:rPr>
      </w:pPr>
      <w:bookmarkStart w:id="5" w:name="_GoBack"/>
      <w:bookmarkEnd w:id="5"/>
      <w:r>
        <w:rPr>
          <w:b/>
          <w:kern w:val="0"/>
          <w:sz w:val="36"/>
          <w:szCs w:val="36"/>
        </w:rPr>
        <w:t>项目需求</w:t>
      </w:r>
    </w:p>
    <w:p w14:paraId="22614070">
      <w:pPr>
        <w:pStyle w:val="2"/>
        <w:rPr>
          <w:rFonts w:ascii="Times New Roman" w:hAnsi="Times New Roman"/>
        </w:rPr>
      </w:pPr>
    </w:p>
    <w:p w14:paraId="2D8B6944"/>
    <w:p w14:paraId="5E24EB4F">
      <w:pPr>
        <w:tabs>
          <w:tab w:val="left" w:pos="1560"/>
        </w:tabs>
        <w:adjustRightInd w:val="0"/>
        <w:snapToGrid w:val="0"/>
        <w:jc w:val="center"/>
        <w:rPr>
          <w:rFonts w:hint="eastAsia"/>
          <w:b/>
          <w:sz w:val="30"/>
          <w:szCs w:val="30"/>
        </w:rPr>
      </w:pPr>
      <w:r>
        <w:rPr>
          <w:b/>
          <w:sz w:val="30"/>
          <w:szCs w:val="30"/>
        </w:rPr>
        <w:t>一、货物需求一览表</w:t>
      </w:r>
    </w:p>
    <w:p w14:paraId="65138CE2">
      <w:pPr>
        <w:pStyle w:val="5"/>
        <w:rPr>
          <w:rFonts w:ascii="Times New Roman" w:hAnsi="Times New Roman"/>
        </w:rPr>
      </w:pPr>
    </w:p>
    <w:p w14:paraId="2B6E1251">
      <w:pPr>
        <w:pStyle w:val="5"/>
        <w:rPr>
          <w:rFonts w:hint="eastAsia" w:ascii="Times New Roman" w:hAnsi="Times New Roman"/>
        </w:rPr>
      </w:pPr>
    </w:p>
    <w:tbl>
      <w:tblPr>
        <w:tblStyle w:val="7"/>
        <w:tblW w:w="9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1"/>
        <w:gridCol w:w="1887"/>
        <w:gridCol w:w="1701"/>
        <w:gridCol w:w="2551"/>
        <w:gridCol w:w="2168"/>
      </w:tblGrid>
      <w:tr w14:paraId="7B507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63" w:hRule="atLeast"/>
          <w:jc w:val="center"/>
        </w:trPr>
        <w:tc>
          <w:tcPr>
            <w:tcW w:w="851" w:type="dxa"/>
            <w:noWrap w:val="0"/>
            <w:vAlign w:val="center"/>
          </w:tcPr>
          <w:p w14:paraId="4B6392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包号</w:t>
            </w:r>
          </w:p>
        </w:tc>
        <w:tc>
          <w:tcPr>
            <w:tcW w:w="1887" w:type="dxa"/>
            <w:noWrap w:val="0"/>
            <w:vAlign w:val="center"/>
          </w:tcPr>
          <w:p w14:paraId="255E01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货物名称</w:t>
            </w:r>
          </w:p>
        </w:tc>
        <w:tc>
          <w:tcPr>
            <w:tcW w:w="1701" w:type="dxa"/>
            <w:noWrap w:val="0"/>
            <w:vAlign w:val="center"/>
          </w:tcPr>
          <w:p w14:paraId="075AA5B1"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2551" w:type="dxa"/>
            <w:noWrap w:val="0"/>
            <w:vAlign w:val="center"/>
          </w:tcPr>
          <w:p w14:paraId="6027A6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交货期</w:t>
            </w:r>
          </w:p>
        </w:tc>
        <w:tc>
          <w:tcPr>
            <w:tcW w:w="2168" w:type="dxa"/>
            <w:noWrap w:val="0"/>
            <w:vAlign w:val="center"/>
          </w:tcPr>
          <w:p w14:paraId="1DE33192">
            <w:pPr>
              <w:jc w:val="center"/>
              <w:rPr>
                <w:sz w:val="24"/>
                <w:shd w:val="pct10" w:color="auto" w:fill="FFFFFF"/>
              </w:rPr>
            </w:pPr>
            <w:r>
              <w:rPr>
                <w:sz w:val="24"/>
              </w:rPr>
              <w:t>交付地点</w:t>
            </w:r>
          </w:p>
        </w:tc>
      </w:tr>
      <w:tr w14:paraId="64AF9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75" w:hRule="atLeast"/>
          <w:jc w:val="center"/>
        </w:trPr>
        <w:tc>
          <w:tcPr>
            <w:tcW w:w="851" w:type="dxa"/>
            <w:noWrap w:val="0"/>
            <w:vAlign w:val="center"/>
          </w:tcPr>
          <w:p w14:paraId="027B898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87" w:type="dxa"/>
            <w:noWrap w:val="0"/>
            <w:vAlign w:val="center"/>
          </w:tcPr>
          <w:p w14:paraId="7442E71B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超导线</w:t>
            </w:r>
          </w:p>
        </w:tc>
        <w:tc>
          <w:tcPr>
            <w:tcW w:w="1701" w:type="dxa"/>
            <w:noWrap w:val="0"/>
            <w:vAlign w:val="center"/>
          </w:tcPr>
          <w:p w14:paraId="0915605B">
            <w:pPr>
              <w:jc w:val="center"/>
              <w:rPr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249416</w:t>
            </w:r>
            <w:r>
              <w:rPr>
                <w:rFonts w:hint="eastAsia" w:ascii="宋体" w:hAnsi="宋体"/>
                <w:kern w:val="0"/>
                <w:sz w:val="24"/>
              </w:rPr>
              <w:t>米</w:t>
            </w:r>
          </w:p>
        </w:tc>
        <w:tc>
          <w:tcPr>
            <w:tcW w:w="2551" w:type="dxa"/>
            <w:noWrap w:val="0"/>
            <w:vAlign w:val="center"/>
          </w:tcPr>
          <w:p w14:paraId="362CE31B">
            <w:pPr>
              <w:jc w:val="center"/>
              <w:rPr>
                <w:rFonts w:hint="eastAsia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合同签订后的3个月内交货</w:t>
            </w:r>
          </w:p>
        </w:tc>
        <w:tc>
          <w:tcPr>
            <w:tcW w:w="2168" w:type="dxa"/>
            <w:noWrap w:val="0"/>
            <w:vAlign w:val="center"/>
          </w:tcPr>
          <w:p w14:paraId="0CDEE379">
            <w:pPr>
              <w:jc w:val="center"/>
              <w:rPr>
                <w:sz w:val="24"/>
              </w:rPr>
            </w:pPr>
            <w:bookmarkStart w:id="0" w:name="_Hlk148629753"/>
            <w:r>
              <w:rPr>
                <w:rFonts w:hint="eastAsia" w:ascii="宋体" w:hAnsi="宋体" w:cs="宋体"/>
                <w:kern w:val="0"/>
                <w:sz w:val="24"/>
              </w:rPr>
              <w:t>中国科学院电工研究所用户指定地点</w:t>
            </w:r>
            <w:bookmarkEnd w:id="0"/>
          </w:p>
        </w:tc>
      </w:tr>
    </w:tbl>
    <w:p w14:paraId="5931F679">
      <w:pPr>
        <w:pStyle w:val="2"/>
        <w:rPr>
          <w:rFonts w:ascii="Times New Roman" w:hAnsi="Times New Roman"/>
        </w:rPr>
      </w:pPr>
    </w:p>
    <w:p w14:paraId="5A6E5361">
      <w:pPr>
        <w:spacing w:line="360" w:lineRule="auto"/>
        <w:rPr>
          <w:szCs w:val="21"/>
        </w:rPr>
      </w:pPr>
      <w:r>
        <w:rPr>
          <w:sz w:val="24"/>
        </w:rPr>
        <w:t>注：</w:t>
      </w:r>
      <w:r>
        <w:rPr>
          <w:rFonts w:hint="eastAsia"/>
          <w:sz w:val="24"/>
        </w:rPr>
        <w:t>本项目共一个包，</w:t>
      </w:r>
      <w:r>
        <w:rPr>
          <w:sz w:val="24"/>
        </w:rPr>
        <w:t>投标人须对上述投标内容中完整的一包进行</w:t>
      </w:r>
      <w:r>
        <w:rPr>
          <w:rFonts w:hint="eastAsia"/>
          <w:sz w:val="24"/>
        </w:rPr>
        <w:t>投标</w:t>
      </w:r>
      <w:r>
        <w:rPr>
          <w:sz w:val="24"/>
        </w:rPr>
        <w:t>响应，不完整的投标将视为非响应性投标予以拒绝。</w:t>
      </w:r>
    </w:p>
    <w:p w14:paraId="5116FE47">
      <w:pPr>
        <w:adjustRightInd w:val="0"/>
        <w:snapToGrid w:val="0"/>
        <w:rPr>
          <w:szCs w:val="21"/>
        </w:rPr>
      </w:pPr>
    </w:p>
    <w:p w14:paraId="19B90E81">
      <w:pPr>
        <w:pStyle w:val="5"/>
      </w:pPr>
      <w:r>
        <w:br w:type="page"/>
      </w:r>
    </w:p>
    <w:p w14:paraId="529C99AE">
      <w:pPr>
        <w:tabs>
          <w:tab w:val="left" w:pos="720"/>
        </w:tabs>
        <w:adjustRightInd w:val="0"/>
        <w:snapToGri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二、总则</w:t>
      </w:r>
    </w:p>
    <w:p w14:paraId="32476418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1、投标要求</w:t>
      </w:r>
    </w:p>
    <w:p w14:paraId="0BDEF61B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1.1  供应商在准备投标文件时，务必在所提供的商品的技术规格文件中，标明型号、商标名称、目录号。</w:t>
      </w:r>
    </w:p>
    <w:p w14:paraId="7AB45C54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 xml:space="preserve">1.2  </w:t>
      </w:r>
      <w:r>
        <w:rPr>
          <w:b/>
          <w:bCs/>
          <w:sz w:val="24"/>
        </w:rPr>
        <w:t>供应商提供的货物须是成熟的全新的产品</w:t>
      </w:r>
      <w:r>
        <w:rPr>
          <w:sz w:val="24"/>
        </w:rPr>
        <w:t>，其技术规格应符合采购文件的要求。如与采购文件的技术规格有偏差，应提供技术规格偏差的量值或说明（偏离表）。如供应商有意隐瞒对规格要求的偏差或在开标后提出新的偏差，采购人有权拒绝其投标。</w:t>
      </w:r>
    </w:p>
    <w:p w14:paraId="27765BA2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1.3  供应商提供的产品样本，必须是“原件”而非复印件，图表、简图、电路图以及印刷电路板图等都应清晰易读。采购人有权不付任何附加费用复制这些资料以供参考。</w:t>
      </w:r>
    </w:p>
    <w:p w14:paraId="3182704A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1.4  供应商的投标产品应符合国家有关部门规定的相应技术、节能、安全和环保标准；如国家有关部门对供应商的投标产品有强制性规定或要求的，则供应商的投标产品必须符合相应规定或要求。</w:t>
      </w:r>
    </w:p>
    <w:p w14:paraId="611F9917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2、评标标准</w:t>
      </w:r>
    </w:p>
    <w:p w14:paraId="2A468891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2.1  除采购文件中指定的附件和专用工具外，供应商应提供货物的正常运行和常规保养所需的全套标准附件、专用工具和消耗品。供应商在投标书中需列出这些附件和工具的数量和单价的清单，这些附件和工具的报价的总值需计入投标价中。</w:t>
      </w:r>
    </w:p>
    <w:p w14:paraId="2D280FAA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2.2  对于标书技术规范中已列出的作为查询选件的附件、零配件、专用工具和消耗品，投标文件中应列明其数量、单价、总价供采购人参考。供应商也可推荐采购人没有要求的附件或专用工具作为选件，并列明其数量、单价、总价供采购人参考。选件价格不计入评标价中。选件一旦为采购人用户接受，其费用将加入合同价中。</w:t>
      </w:r>
    </w:p>
    <w:p w14:paraId="32C516A5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2.3  为便于用户进行接收</w:t>
      </w:r>
      <w:r>
        <w:rPr>
          <w:rFonts w:hint="eastAsia"/>
          <w:sz w:val="24"/>
        </w:rPr>
        <w:t>货物</w:t>
      </w:r>
      <w:r>
        <w:rPr>
          <w:sz w:val="24"/>
        </w:rPr>
        <w:t>的准备工作，供应商应在合同生效后</w:t>
      </w:r>
      <w:r>
        <w:rPr>
          <w:b/>
          <w:sz w:val="24"/>
        </w:rPr>
        <w:t>60</w:t>
      </w:r>
      <w:r>
        <w:rPr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302A4BD7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2.4  关于货物的安装调试，如果有必要的安装准备条件，供应商应在合同生效后一个月内向采购人提出详细的要求或计划。安装调试的费用应计入投标价中，并应单独列出，供评标使用。</w:t>
      </w:r>
    </w:p>
    <w:p w14:paraId="5A71A29D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2.5  制造厂家提供的培训指的是涉及货物的基本原理、操作使用和保养维修等有关内容的培训。培训教员的培训费、旅费、食宿费等费用和培训场地费及培训资料费均应由供应商支付。</w:t>
      </w:r>
    </w:p>
    <w:p w14:paraId="1FB0B9E4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2.6  在评标过程中，采购人有权向供应商索取任何与评标有关的资料，供应商务必在接到此类要求后，在规定时间内予以答复。对于无答复的供应商，采购人有权拒绝其投标。</w:t>
      </w:r>
    </w:p>
    <w:p w14:paraId="14055EC7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3、工作条件</w:t>
      </w:r>
    </w:p>
    <w:p w14:paraId="7E2D372A">
      <w:pPr>
        <w:spacing w:after="312" w:afterLines="100" w:line="360" w:lineRule="auto"/>
        <w:rPr>
          <w:sz w:val="24"/>
        </w:rPr>
      </w:pPr>
      <w:r>
        <w:rPr>
          <w:sz w:val="24"/>
        </w:rPr>
        <w:t>除非在技术规格中另有说明，所有</w:t>
      </w:r>
      <w:r>
        <w:rPr>
          <w:rFonts w:hint="eastAsia"/>
          <w:sz w:val="24"/>
        </w:rPr>
        <w:t>产品</w:t>
      </w:r>
      <w:r>
        <w:rPr>
          <w:sz w:val="24"/>
        </w:rPr>
        <w:t xml:space="preserve">、货物和系统都应符合下列要求： </w:t>
      </w:r>
    </w:p>
    <w:p w14:paraId="7CCBF377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 xml:space="preserve">3.1  </w:t>
      </w:r>
      <w:r>
        <w:rPr>
          <w:rFonts w:ascii="宋体" w:hAnsi="宋体"/>
          <w:sz w:val="24"/>
        </w:rPr>
        <w:t>适于在气温为摄氏</w:t>
      </w:r>
      <w:r>
        <w:rPr>
          <w:sz w:val="24"/>
        </w:rPr>
        <w:t>-40</w:t>
      </w:r>
      <w:r>
        <w:rPr>
          <w:rFonts w:hint="eastAsia" w:ascii="宋体" w:hAnsi="宋体"/>
          <w:sz w:val="24"/>
        </w:rPr>
        <w:t>℃</w:t>
      </w:r>
      <w:r>
        <w:rPr>
          <w:rFonts w:ascii="宋体" w:hAnsi="宋体"/>
          <w:sz w:val="24"/>
        </w:rPr>
        <w:t>～＋</w:t>
      </w:r>
      <w:r>
        <w:rPr>
          <w:sz w:val="24"/>
        </w:rPr>
        <w:t>50</w:t>
      </w:r>
      <w:r>
        <w:rPr>
          <w:rFonts w:hint="eastAsia" w:ascii="宋体" w:hAnsi="宋体"/>
          <w:sz w:val="24"/>
        </w:rPr>
        <w:t>℃</w:t>
      </w:r>
      <w:r>
        <w:rPr>
          <w:rFonts w:ascii="宋体" w:hAnsi="宋体"/>
          <w:sz w:val="24"/>
        </w:rPr>
        <w:t>和相对湿度为</w:t>
      </w:r>
      <w:r>
        <w:rPr>
          <w:sz w:val="24"/>
        </w:rPr>
        <w:t>90</w:t>
      </w:r>
      <w:r>
        <w:rPr>
          <w:rFonts w:ascii="宋体" w:hAnsi="宋体"/>
          <w:sz w:val="24"/>
        </w:rPr>
        <w:t>％的环境条件下运输和贮存。</w:t>
      </w:r>
    </w:p>
    <w:p w14:paraId="0127B21C">
      <w:pPr>
        <w:spacing w:line="360" w:lineRule="auto"/>
        <w:ind w:left="554" w:hanging="554" w:hangingChars="231"/>
        <w:rPr>
          <w:rFonts w:hint="eastAsia"/>
          <w:sz w:val="24"/>
        </w:rPr>
      </w:pPr>
      <w:r>
        <w:rPr>
          <w:sz w:val="24"/>
        </w:rPr>
        <w:t xml:space="preserve">3.2  </w:t>
      </w:r>
      <w:r>
        <w:rPr>
          <w:rFonts w:ascii="宋体" w:hAnsi="宋体"/>
          <w:sz w:val="24"/>
        </w:rPr>
        <w:t>如产品达不到上述要求，供应商应注明其偏差。如货物需要特殊工作条件（如水、电源、磁场强度、温度、湿度、动强度等）供应商应在投标书中加以说明。</w:t>
      </w:r>
    </w:p>
    <w:p w14:paraId="792EAFC9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4、验收标准</w:t>
      </w:r>
    </w:p>
    <w:p w14:paraId="15BF8022">
      <w:pPr>
        <w:spacing w:after="312" w:afterLines="100" w:line="360" w:lineRule="auto"/>
        <w:rPr>
          <w:sz w:val="24"/>
        </w:rPr>
      </w:pPr>
      <w:r>
        <w:rPr>
          <w:sz w:val="24"/>
        </w:rPr>
        <w:t xml:space="preserve">除非在具体要求中另有说明，所有货物按下列要求进行验收： </w:t>
      </w:r>
    </w:p>
    <w:p w14:paraId="4F0CA541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4.1  货物运抵安装现场后，采购人将与供应商共同开箱验收, 如供应商届时不派人来, 则验收结果应以采购人的验收报告为最终验收结果。验收时发现短缺、破损, 采购人有权要求供应商负责更换。</w:t>
      </w:r>
    </w:p>
    <w:p w14:paraId="6D8ED5DF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4.2  验收标准以中标人提供的投标文件中所列的指标为准（该指标应不低于采购文件所要求的指标）。任何虚假指标响应一经发现即作废标，供应商必须承担由此给采购人带来的一切经济损失和其它相关责任。</w:t>
      </w:r>
    </w:p>
    <w:p w14:paraId="43486234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4.3  验收由采购人、中标人及相关人员依国家有关标准、合同及有关附件要求进行，验收完毕由采购人及中标人在验收报告上签名。</w:t>
      </w:r>
    </w:p>
    <w:p w14:paraId="49B2497D">
      <w:pPr>
        <w:pStyle w:val="5"/>
      </w:pPr>
    </w:p>
    <w:p w14:paraId="6069B50D">
      <w:pPr>
        <w:spacing w:line="360" w:lineRule="auto"/>
        <w:ind w:left="410" w:hanging="410" w:hangingChars="170"/>
        <w:rPr>
          <w:b/>
          <w:sz w:val="24"/>
        </w:rPr>
      </w:pPr>
      <w:r>
        <w:rPr>
          <w:b/>
          <w:sz w:val="24"/>
        </w:rPr>
        <w:t>5、本具体要求中标注“</w:t>
      </w:r>
      <w:r>
        <w:rPr>
          <w:rFonts w:ascii="Segoe UI Symbol" w:hAnsi="Segoe UI Symbol" w:cs="Segoe UI Symbol"/>
          <w:b/>
          <w:sz w:val="24"/>
        </w:rPr>
        <w:t>★</w:t>
      </w:r>
      <w:r>
        <w:rPr>
          <w:b/>
          <w:sz w:val="24"/>
        </w:rPr>
        <w:t>”号的为实质性要求，不满足其投标将被拒绝。</w:t>
      </w:r>
    </w:p>
    <w:p w14:paraId="14B38B45">
      <w:pPr>
        <w:pStyle w:val="5"/>
      </w:pPr>
    </w:p>
    <w:p w14:paraId="3453933C">
      <w:pPr>
        <w:spacing w:line="360" w:lineRule="auto"/>
        <w:rPr>
          <w:b/>
          <w:sz w:val="24"/>
        </w:rPr>
      </w:pPr>
      <w:r>
        <w:rPr>
          <w:b/>
          <w:sz w:val="24"/>
        </w:rPr>
        <w:t>6、如在具体要求中有本总则不一致之处，以具体要求中的要求内容为准。</w:t>
      </w:r>
    </w:p>
    <w:p w14:paraId="333593B5">
      <w:pPr>
        <w:pStyle w:val="5"/>
      </w:pPr>
      <w:r>
        <w:br w:type="page"/>
      </w:r>
      <w:bookmarkStart w:id="1" w:name="_Hlk148688652"/>
    </w:p>
    <w:p w14:paraId="5C681268">
      <w:pPr>
        <w:widowControl/>
        <w:snapToGrid w:val="0"/>
        <w:spacing w:line="360" w:lineRule="auto"/>
        <w:jc w:val="center"/>
        <w:rPr>
          <w:b/>
          <w:sz w:val="32"/>
          <w:szCs w:val="32"/>
        </w:rPr>
      </w:pPr>
      <w:bookmarkStart w:id="2" w:name="_Hlk152079560"/>
      <w:r>
        <w:rPr>
          <w:rFonts w:hint="eastAsia"/>
          <w:b/>
          <w:sz w:val="32"/>
          <w:szCs w:val="32"/>
        </w:rPr>
        <w:t>三、</w:t>
      </w:r>
      <w:r>
        <w:rPr>
          <w:b/>
          <w:sz w:val="32"/>
          <w:szCs w:val="32"/>
        </w:rPr>
        <w:t>具体要求：</w:t>
      </w:r>
    </w:p>
    <w:p w14:paraId="600E9B1F">
      <w:pPr>
        <w:rPr>
          <w:rFonts w:hint="eastAsia"/>
        </w:rPr>
      </w:pPr>
    </w:p>
    <w:p w14:paraId="5AC8B1B9">
      <w:pPr>
        <w:widowControl/>
        <w:snapToGrid w:val="0"/>
        <w:spacing w:line="36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第一包：超导线</w:t>
      </w:r>
    </w:p>
    <w:p w14:paraId="13E6CE8C">
      <w:pPr>
        <w:rPr>
          <w:rFonts w:hint="eastAsia"/>
        </w:rPr>
      </w:pPr>
    </w:p>
    <w:p w14:paraId="4E9876C9">
      <w:pPr>
        <w:widowControl/>
        <w:snapToGrid w:val="0"/>
        <w:spacing w:line="360" w:lineRule="auto"/>
        <w:jc w:val="left"/>
        <w:rPr>
          <w:rFonts w:hint="eastAsia"/>
          <w:b/>
          <w:sz w:val="30"/>
          <w:szCs w:val="30"/>
        </w:rPr>
      </w:pPr>
      <w:r>
        <w:rPr>
          <w:b/>
          <w:sz w:val="30"/>
          <w:szCs w:val="30"/>
        </w:rPr>
        <w:t>（一）技术要求：</w:t>
      </w:r>
    </w:p>
    <w:bookmarkEnd w:id="1"/>
    <w:bookmarkEnd w:id="2"/>
    <w:p w14:paraId="48C9CFE4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b/>
          <w:sz w:val="24"/>
          <w:szCs w:val="24"/>
        </w:rPr>
      </w:pPr>
      <w:r>
        <w:rPr>
          <w:rFonts w:hint="eastAsia" w:ascii="宋体" w:eastAsia="宋体"/>
          <w:b/>
          <w:sz w:val="24"/>
          <w:szCs w:val="24"/>
        </w:rPr>
        <w:t>1、工作条件：</w:t>
      </w:r>
    </w:p>
    <w:p w14:paraId="15EA4E1F">
      <w:pPr>
        <w:pStyle w:val="6"/>
        <w:spacing w:before="0" w:beforeAutospacing="0" w:after="0" w:afterAutospacing="0" w:line="360" w:lineRule="auto"/>
        <w:ind w:left="0" w:firstLine="4" w:firstLineChars="2"/>
        <w:rPr>
          <w:rFonts w:hint="eastAsia"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1）安装地点：室内布置</w:t>
      </w:r>
    </w:p>
    <w:p w14:paraId="35229579">
      <w:pPr>
        <w:pStyle w:val="6"/>
        <w:spacing w:before="0" w:beforeAutospacing="0" w:after="0" w:afterAutospacing="0" w:line="360" w:lineRule="auto"/>
        <w:ind w:left="0" w:firstLine="4" w:firstLineChars="2"/>
        <w:rPr>
          <w:rFonts w:hint="eastAsia"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2）相对湿度：最大湿度不超过95％</w:t>
      </w:r>
    </w:p>
    <w:p w14:paraId="54C62CCB">
      <w:pPr>
        <w:pStyle w:val="6"/>
        <w:spacing w:before="0" w:beforeAutospacing="0" w:after="0" w:afterAutospacing="0" w:line="360" w:lineRule="auto"/>
        <w:ind w:left="0" w:firstLine="4" w:firstLineChars="2"/>
        <w:rPr>
          <w:rFonts w:hint="eastAsia"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3）环境温度：-10℃～45℃</w:t>
      </w:r>
    </w:p>
    <w:p w14:paraId="1ED3374A">
      <w:pPr>
        <w:pStyle w:val="6"/>
        <w:spacing w:before="0" w:beforeAutospacing="0" w:after="0" w:afterAutospacing="0" w:line="360" w:lineRule="auto"/>
        <w:ind w:left="0" w:firstLine="0" w:firstLineChars="0"/>
        <w:rPr>
          <w:rFonts w:hint="eastAsia" w:ascii="宋体" w:eastAsia="宋体"/>
          <w:sz w:val="24"/>
          <w:szCs w:val="24"/>
        </w:rPr>
      </w:pPr>
    </w:p>
    <w:p w14:paraId="55406D8A">
      <w:pPr>
        <w:widowControl/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2、设备用途说明：</w:t>
      </w:r>
    </w:p>
    <w:p w14:paraId="776A4112">
      <w:pPr>
        <w:widowControl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主要用来进行建造高磁场超导磁体，用以在低温环境产生高均匀的强磁场。</w:t>
      </w:r>
    </w:p>
    <w:p w14:paraId="7CF1BECA">
      <w:pPr>
        <w:pStyle w:val="5"/>
        <w:rPr>
          <w:rFonts w:hint="eastAsia"/>
        </w:rPr>
      </w:pPr>
      <w:r>
        <w:t xml:space="preserve"> </w:t>
      </w:r>
    </w:p>
    <w:p w14:paraId="24FFF73B">
      <w:pPr>
        <w:widowControl/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3</w:t>
      </w:r>
      <w:r>
        <w:rPr>
          <w:rFonts w:hint="eastAsia" w:ascii="宋体" w:hAnsi="宋体"/>
          <w:b/>
          <w:sz w:val="24"/>
        </w:rPr>
        <w:t>、</w:t>
      </w:r>
      <w:r>
        <w:rPr>
          <w:rFonts w:ascii="宋体" w:hAnsi="宋体"/>
          <w:b/>
          <w:sz w:val="24"/>
        </w:rPr>
        <w:t>技术要求及参数</w:t>
      </w:r>
      <w:r>
        <w:rPr>
          <w:rFonts w:hint="eastAsia" w:ascii="宋体" w:hAnsi="宋体"/>
          <w:b/>
          <w:sz w:val="24"/>
        </w:rPr>
        <w:t>：</w:t>
      </w:r>
    </w:p>
    <w:p w14:paraId="68C4043B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低温超导线材类型一：</w:t>
      </w:r>
    </w:p>
    <w:p w14:paraId="0DDDBD95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551E625F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2、尺寸及公差：2.24*1.45mm±0.025mm</w:t>
      </w:r>
    </w:p>
    <w:p w14:paraId="4952C765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3、铜超比及公差：5±10%</w:t>
      </w:r>
    </w:p>
    <w:p w14:paraId="344957C5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4、临界电流：Ic@4.2K，4T＞1200A</w:t>
      </w:r>
    </w:p>
    <w:p w14:paraId="62E7E3B5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5、RRR值：≥80（273K/10K）</w:t>
      </w:r>
    </w:p>
    <w:p w14:paraId="65E9E199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4F49D6BA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7A527A0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8、长度要求：22600米，5650米*4</w:t>
      </w:r>
    </w:p>
    <w:p w14:paraId="0B92B2D6">
      <w:pPr>
        <w:pStyle w:val="5"/>
      </w:pPr>
    </w:p>
    <w:p w14:paraId="13296D8B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低温超导线材类型二：</w:t>
      </w:r>
    </w:p>
    <w:p w14:paraId="5F5933FD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3281251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2、尺寸及公差：2.24*1.45mm±0.025mm</w:t>
      </w:r>
    </w:p>
    <w:p w14:paraId="0309EFEB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3、铜超比及公差：4±10%</w:t>
      </w:r>
    </w:p>
    <w:p w14:paraId="27D445C8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4、临界电流：Ic@4.2K，4T＞1450A</w:t>
      </w:r>
    </w:p>
    <w:p w14:paraId="171D25B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5、RRR值：≥80（273K/10K）</w:t>
      </w:r>
    </w:p>
    <w:p w14:paraId="454D72E5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5D2297CD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6207036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8、长度要求：66000米，(8500米*2+8000米*2）*2</w:t>
      </w:r>
    </w:p>
    <w:p w14:paraId="04157F49">
      <w:pPr>
        <w:pStyle w:val="5"/>
      </w:pPr>
    </w:p>
    <w:p w14:paraId="4B31FDA9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低温超导线材类型三：</w:t>
      </w:r>
    </w:p>
    <w:p w14:paraId="54BD4FFD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3F0991A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2、尺寸及公差：1.28*0.83mm±0.01mm</w:t>
      </w:r>
    </w:p>
    <w:p w14:paraId="04811E34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3、铜超比及公差：1.3±10%</w:t>
      </w:r>
    </w:p>
    <w:p w14:paraId="0301431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4、临界电流：Ic@4.2K，4T＞1050A</w:t>
      </w:r>
    </w:p>
    <w:p w14:paraId="4165EB3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5、RRR值：≥80（273K/10K）</w:t>
      </w:r>
    </w:p>
    <w:p w14:paraId="3438F9E3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6、绝缘方式：涂漆绝缘</w:t>
      </w:r>
    </w:p>
    <w:p w14:paraId="1FC3812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7、绝缘性能：＞1000V</w:t>
      </w:r>
    </w:p>
    <w:p w14:paraId="7BF085EB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8、长度要求：18950米，1250米+1550米*2+7300米*2</w:t>
      </w:r>
    </w:p>
    <w:p w14:paraId="3E642D19">
      <w:pPr>
        <w:pStyle w:val="5"/>
      </w:pPr>
    </w:p>
    <w:p w14:paraId="6C2E32C4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低温超导线材类型四：</w:t>
      </w:r>
    </w:p>
    <w:p w14:paraId="4662C91B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5E40E7E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2、尺寸及公差：1.53*1.02mm±0.01mm</w:t>
      </w:r>
    </w:p>
    <w:p w14:paraId="66088A6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3、铜超比及公差：7±10%</w:t>
      </w:r>
    </w:p>
    <w:p w14:paraId="4B543733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4、临界电流：Ic@4.2K，4T＞540A</w:t>
      </w:r>
    </w:p>
    <w:p w14:paraId="629A5FC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5、RRR值：≥80（273K/10K）</w:t>
      </w:r>
    </w:p>
    <w:p w14:paraId="1F65397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6、绝缘方式：涂漆绝缘</w:t>
      </w:r>
    </w:p>
    <w:p w14:paraId="2600B9D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7、绝缘性能：＞1000V</w:t>
      </w:r>
    </w:p>
    <w:p w14:paraId="034426FA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8、长度要求：8160米，4080米*2</w:t>
      </w:r>
    </w:p>
    <w:p w14:paraId="6914923E">
      <w:pPr>
        <w:pStyle w:val="5"/>
      </w:pPr>
    </w:p>
    <w:p w14:paraId="2FAC5EF8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低温超导线材类型五：</w:t>
      </w:r>
    </w:p>
    <w:p w14:paraId="2B5CF8E3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48B9846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2、尺寸及公差：2.24*1.45mm±0.025mm</w:t>
      </w:r>
    </w:p>
    <w:p w14:paraId="03E1082B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3、铜超比及公差：6±10%</w:t>
      </w:r>
    </w:p>
    <w:p w14:paraId="75F872C4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4、临界电流：Ic@4.2K，4T＞1000A</w:t>
      </w:r>
    </w:p>
    <w:p w14:paraId="16F6B618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5、RRR值：≥80（300K/10K）</w:t>
      </w:r>
    </w:p>
    <w:p w14:paraId="5AE52B0A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3523B14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71C32B99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8、长度要求：9000米，4500米*2</w:t>
      </w:r>
    </w:p>
    <w:p w14:paraId="56FD9877">
      <w:pPr>
        <w:pStyle w:val="5"/>
      </w:pPr>
    </w:p>
    <w:p w14:paraId="71B33E14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低温超导线材类型六：</w:t>
      </w:r>
    </w:p>
    <w:p w14:paraId="27628A2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2890D9C4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2、尺寸及公差：2.94*1.59mm(0,-0.035)/(±0.025)mm</w:t>
      </w:r>
    </w:p>
    <w:p w14:paraId="4D3AC6C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3、铜超比及公差：11±10%</w:t>
      </w:r>
    </w:p>
    <w:p w14:paraId="46B9003F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4、临界电流：Ic@4.2K，4T＞1000A</w:t>
      </w:r>
    </w:p>
    <w:p w14:paraId="1F962E99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5、RRR值：≥80（300K/10K）</w:t>
      </w:r>
    </w:p>
    <w:p w14:paraId="7CCED47C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1691237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15FF7C3F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8、长度要求：29200米，8050米*2+6550米*2</w:t>
      </w:r>
    </w:p>
    <w:p w14:paraId="403EB7D2">
      <w:pPr>
        <w:pStyle w:val="5"/>
      </w:pPr>
    </w:p>
    <w:p w14:paraId="7FFBCE03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低温超导线材类型七：</w:t>
      </w:r>
    </w:p>
    <w:p w14:paraId="6757CCC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0D0A8AAC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2、尺寸及公差：2.24*1.45mm±0.025mm</w:t>
      </w:r>
    </w:p>
    <w:p w14:paraId="3B067EEF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3、铜超比及公差：7±10%</w:t>
      </w:r>
    </w:p>
    <w:p w14:paraId="792359E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4、临界电流：Ic@4.2K，4T＞875A</w:t>
      </w:r>
    </w:p>
    <w:p w14:paraId="63FF2BC8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5、RRR值：≥80（300K/10K）</w:t>
      </w:r>
    </w:p>
    <w:p w14:paraId="7113206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5DEBE764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3D82E1F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8、长度要求：11200米，5600米*2</w:t>
      </w:r>
    </w:p>
    <w:p w14:paraId="05CC2798">
      <w:pPr>
        <w:pStyle w:val="5"/>
      </w:pPr>
    </w:p>
    <w:p w14:paraId="347A1A4B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低温超导线材类型八：</w:t>
      </w:r>
    </w:p>
    <w:p w14:paraId="40510CB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1、材质：NbTi/Cu</w:t>
      </w:r>
    </w:p>
    <w:p w14:paraId="5B71790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2、尺寸及公差：2.24*1.45mm±0.025mm</w:t>
      </w:r>
    </w:p>
    <w:p w14:paraId="5288DF6D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3、铜超比及公差：8±10%</w:t>
      </w:r>
    </w:p>
    <w:p w14:paraId="4E3E4B39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4、临界电流：Ic@4.2K，4T＞780A</w:t>
      </w:r>
    </w:p>
    <w:p w14:paraId="48752AC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5、RRR值：≥80（300K/10K）</w:t>
      </w:r>
    </w:p>
    <w:p w14:paraId="746B378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06BC667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33CE06A3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8、长度要求：26200米，5200米*2+4500米*2+3400米*2</w:t>
      </w:r>
    </w:p>
    <w:p w14:paraId="113476FA">
      <w:pPr>
        <w:pStyle w:val="5"/>
      </w:pPr>
    </w:p>
    <w:p w14:paraId="06FAC07A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低温超导线材类型九：</w:t>
      </w:r>
    </w:p>
    <w:p w14:paraId="28CFAC2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</w:t>
      </w:r>
      <w:r>
        <w:rPr>
          <w:rFonts w:hint="eastAsia" w:ascii="宋体" w:eastAsia="宋体"/>
          <w:sz w:val="24"/>
          <w:szCs w:val="24"/>
          <w:vertAlign w:val="subscript"/>
        </w:rPr>
        <w:t>3</w:t>
      </w:r>
      <w:r>
        <w:rPr>
          <w:rFonts w:hint="eastAsia" w:ascii="宋体" w:eastAsia="宋体"/>
          <w:sz w:val="24"/>
          <w:szCs w:val="24"/>
        </w:rPr>
        <w:t>Sn/Cu</w:t>
      </w:r>
    </w:p>
    <w:p w14:paraId="51A7DE4B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2、尺寸及公差：0.85mm±0.015mm</w:t>
      </w:r>
    </w:p>
    <w:p w14:paraId="12688D8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3、铜超比及公差：1±10%</w:t>
      </w:r>
    </w:p>
    <w:p w14:paraId="034A156D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4、临界电流：Ic@4.2K，12T＞180A</w:t>
      </w:r>
    </w:p>
    <w:p w14:paraId="0FC3CAE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5、RRR值：≥80（273K/20K）</w:t>
      </w:r>
    </w:p>
    <w:p w14:paraId="488559DC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18F69E6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584F929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8、长度要求：13200米，2050米*2+2450米*2+2100米*2</w:t>
      </w:r>
    </w:p>
    <w:p w14:paraId="70A52D4D">
      <w:pPr>
        <w:pStyle w:val="5"/>
      </w:pPr>
    </w:p>
    <w:p w14:paraId="46BE67CF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低温超导线材类型十：</w:t>
      </w:r>
    </w:p>
    <w:p w14:paraId="13B3FA6B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</w:t>
      </w:r>
      <w:r>
        <w:rPr>
          <w:rFonts w:hint="eastAsia" w:ascii="宋体" w:eastAsia="宋体"/>
          <w:sz w:val="24"/>
          <w:szCs w:val="24"/>
          <w:vertAlign w:val="subscript"/>
        </w:rPr>
        <w:t>3</w:t>
      </w:r>
      <w:r>
        <w:rPr>
          <w:rFonts w:hint="eastAsia" w:ascii="宋体" w:eastAsia="宋体"/>
          <w:sz w:val="24"/>
          <w:szCs w:val="24"/>
        </w:rPr>
        <w:t>Sn/Cu</w:t>
      </w:r>
    </w:p>
    <w:p w14:paraId="5AD780BA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2、尺寸及公差：0.97mm±0.015mm</w:t>
      </w:r>
    </w:p>
    <w:p w14:paraId="38711AC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3、铜超比及公差：1±10%</w:t>
      </w:r>
    </w:p>
    <w:p w14:paraId="3D66DC1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4、临界电流：Ic@4.2K，12T＞260A</w:t>
      </w:r>
    </w:p>
    <w:p w14:paraId="2DA5CD3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5、RRR值：≥80（273K/20K）</w:t>
      </w:r>
    </w:p>
    <w:p w14:paraId="495EBC6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2B16B10F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7C44F8A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8、长度要求：11950米，4850米+7100米</w:t>
      </w:r>
    </w:p>
    <w:p w14:paraId="769F3C20">
      <w:pPr>
        <w:pStyle w:val="5"/>
        <w:rPr>
          <w:rFonts w:hint="eastAsia"/>
        </w:rPr>
      </w:pPr>
    </w:p>
    <w:p w14:paraId="4FBFC813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低温超导线材类型十一：</w:t>
      </w:r>
    </w:p>
    <w:p w14:paraId="4DB762F3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</w:t>
      </w:r>
      <w:r>
        <w:rPr>
          <w:rFonts w:hint="eastAsia" w:ascii="宋体" w:eastAsia="宋体"/>
          <w:sz w:val="24"/>
          <w:szCs w:val="24"/>
          <w:vertAlign w:val="subscript"/>
        </w:rPr>
        <w:t>3</w:t>
      </w:r>
      <w:r>
        <w:rPr>
          <w:rFonts w:hint="eastAsia" w:ascii="宋体" w:eastAsia="宋体"/>
          <w:sz w:val="24"/>
          <w:szCs w:val="24"/>
        </w:rPr>
        <w:t>Sn/Cu</w:t>
      </w:r>
    </w:p>
    <w:p w14:paraId="2567873F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2、尺寸及公差：1.05mm±0.015mm</w:t>
      </w:r>
    </w:p>
    <w:p w14:paraId="1BAF5DD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3、铜超比及公差：1±10%</w:t>
      </w:r>
    </w:p>
    <w:p w14:paraId="20C0B489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4、临界电流：Ic@4.2K，12T＞310A</w:t>
      </w:r>
    </w:p>
    <w:p w14:paraId="1D4F722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5、RRR值：≥80（273K/20K）</w:t>
      </w:r>
    </w:p>
    <w:p w14:paraId="5D3E69E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657876A9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122F7E2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8、长度要求：12956米，6614米+6342米</w:t>
      </w:r>
    </w:p>
    <w:p w14:paraId="4E33159C">
      <w:pPr>
        <w:pStyle w:val="5"/>
        <w:rPr>
          <w:rFonts w:hint="eastAsia"/>
        </w:rPr>
      </w:pPr>
    </w:p>
    <w:p w14:paraId="7DDA6F13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低温超导线材类型十二：</w:t>
      </w:r>
    </w:p>
    <w:p w14:paraId="255DA73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</w:t>
      </w:r>
      <w:r>
        <w:rPr>
          <w:rFonts w:hint="eastAsia" w:ascii="宋体" w:eastAsia="宋体"/>
          <w:sz w:val="24"/>
          <w:szCs w:val="24"/>
          <w:vertAlign w:val="subscript"/>
        </w:rPr>
        <w:t>3</w:t>
      </w:r>
      <w:r>
        <w:rPr>
          <w:rFonts w:hint="eastAsia" w:ascii="宋体" w:eastAsia="宋体"/>
          <w:sz w:val="24"/>
          <w:szCs w:val="24"/>
        </w:rPr>
        <w:t>Sn/Cu</w:t>
      </w:r>
    </w:p>
    <w:p w14:paraId="4293420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2、尺寸及公差：0.85mm±0.015mm</w:t>
      </w:r>
    </w:p>
    <w:p w14:paraId="1C15073D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3、铜超比及公差：1±10%</w:t>
      </w:r>
    </w:p>
    <w:p w14:paraId="561855E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4、临界电流：Ic@4.2K，12T＞180A</w:t>
      </w:r>
    </w:p>
    <w:p w14:paraId="7362909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5、RRR值：≥80（273K/20K）</w:t>
      </w:r>
    </w:p>
    <w:p w14:paraId="0E62A0C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42EF09F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4715CCCC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8、长度要求：2000米，两根交付</w:t>
      </w:r>
    </w:p>
    <w:p w14:paraId="1FB1D296">
      <w:pPr>
        <w:pStyle w:val="5"/>
        <w:rPr>
          <w:rFonts w:hint="eastAsia"/>
        </w:rPr>
      </w:pPr>
    </w:p>
    <w:p w14:paraId="1BC84F4D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低温超导线材类型十三：</w:t>
      </w:r>
    </w:p>
    <w:p w14:paraId="29C4F9F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</w:t>
      </w:r>
      <w:r>
        <w:rPr>
          <w:rFonts w:hint="eastAsia" w:ascii="宋体" w:eastAsia="宋体"/>
          <w:sz w:val="24"/>
          <w:szCs w:val="24"/>
          <w:vertAlign w:val="subscript"/>
        </w:rPr>
        <w:t>3</w:t>
      </w:r>
      <w:r>
        <w:rPr>
          <w:rFonts w:hint="eastAsia" w:ascii="宋体" w:eastAsia="宋体"/>
          <w:sz w:val="24"/>
          <w:szCs w:val="24"/>
        </w:rPr>
        <w:t>Sn/Cu</w:t>
      </w:r>
    </w:p>
    <w:p w14:paraId="54657E54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2、尺寸及公差：0.8mm±0.015mm</w:t>
      </w:r>
    </w:p>
    <w:p w14:paraId="1DF4CF1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3、铜超比及公差：1±10%</w:t>
      </w:r>
    </w:p>
    <w:p w14:paraId="68F9C948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4、临界电流：Ic@4.2K，12T＞152A</w:t>
      </w:r>
    </w:p>
    <w:p w14:paraId="08A17FE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5、RRR值：≥80（273K/20K）</w:t>
      </w:r>
    </w:p>
    <w:p w14:paraId="0655C05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0AD35AE7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5E793016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8、长度要求：2000米，两根交付</w:t>
      </w:r>
    </w:p>
    <w:p w14:paraId="60623EAC">
      <w:pPr>
        <w:pStyle w:val="5"/>
        <w:rPr>
          <w:rFonts w:hint="eastAsia"/>
        </w:rPr>
      </w:pPr>
    </w:p>
    <w:p w14:paraId="39005FDA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低温超导线材类型十四：</w:t>
      </w:r>
    </w:p>
    <w:p w14:paraId="0B4EB9DC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</w:t>
      </w:r>
      <w:r>
        <w:rPr>
          <w:rFonts w:hint="eastAsia" w:ascii="宋体" w:eastAsia="宋体"/>
          <w:sz w:val="24"/>
          <w:szCs w:val="24"/>
          <w:vertAlign w:val="subscript"/>
        </w:rPr>
        <w:t>3</w:t>
      </w:r>
      <w:r>
        <w:rPr>
          <w:rFonts w:hint="eastAsia" w:ascii="宋体" w:eastAsia="宋体"/>
          <w:sz w:val="24"/>
          <w:szCs w:val="24"/>
        </w:rPr>
        <w:t>Sn/Cu</w:t>
      </w:r>
    </w:p>
    <w:p w14:paraId="7A34257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2、尺寸及公差：0.97mm±0.015mm</w:t>
      </w:r>
    </w:p>
    <w:p w14:paraId="3274F615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3、铜超比及公差：1±10%</w:t>
      </w:r>
    </w:p>
    <w:p w14:paraId="4E10508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4、临界电流：Ic@4.2K，12T＞260A</w:t>
      </w:r>
    </w:p>
    <w:p w14:paraId="512C1FDA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5、RRR值：≥80（273K/20K）</w:t>
      </w:r>
    </w:p>
    <w:p w14:paraId="0CD5A4E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718B8B7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2FA9709E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8、长度要求：8000米</w:t>
      </w:r>
    </w:p>
    <w:p w14:paraId="697FDB20">
      <w:pPr>
        <w:pStyle w:val="5"/>
        <w:rPr>
          <w:rFonts w:hint="eastAsia"/>
        </w:rPr>
      </w:pPr>
    </w:p>
    <w:p w14:paraId="5AFB1462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 w:eastAsia="宋体"/>
          <w:sz w:val="24"/>
          <w:szCs w:val="24"/>
        </w:rPr>
        <w:t>低温超导线材类型十五：</w:t>
      </w:r>
    </w:p>
    <w:p w14:paraId="7785308A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1、材质：Nb</w:t>
      </w:r>
      <w:r>
        <w:rPr>
          <w:rFonts w:hint="eastAsia" w:ascii="宋体" w:eastAsia="宋体"/>
          <w:sz w:val="24"/>
          <w:szCs w:val="24"/>
          <w:vertAlign w:val="subscript"/>
        </w:rPr>
        <w:t>3</w:t>
      </w:r>
      <w:r>
        <w:rPr>
          <w:rFonts w:hint="eastAsia" w:ascii="宋体" w:eastAsia="宋体"/>
          <w:sz w:val="24"/>
          <w:szCs w:val="24"/>
        </w:rPr>
        <w:t>Sn/Cu</w:t>
      </w:r>
    </w:p>
    <w:p w14:paraId="77A1E76C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2、尺寸及公差：1.05mm±0.015mm</w:t>
      </w:r>
    </w:p>
    <w:p w14:paraId="041C9AE8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3、铜超比及公差：1±10%</w:t>
      </w:r>
    </w:p>
    <w:p w14:paraId="22817470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4、临界电流：Ic@4.2K，12T＞310A</w:t>
      </w:r>
    </w:p>
    <w:p w14:paraId="27C9812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5、RRR值：≥80（273K/20K）</w:t>
      </w:r>
    </w:p>
    <w:p w14:paraId="29B89EFB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6、绝缘方式：编织绝缘</w:t>
      </w:r>
    </w:p>
    <w:p w14:paraId="58BA3081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bCs/>
          <w:sz w:val="24"/>
        </w:rPr>
        <w:t>▲</w:t>
      </w:r>
      <w:r>
        <w:rPr>
          <w:rFonts w:hint="eastAsia" w:ascii="宋体" w:eastAsia="宋体"/>
          <w:sz w:val="24"/>
          <w:szCs w:val="24"/>
        </w:rPr>
        <w:t>7、绝缘性能：＞500V</w:t>
      </w:r>
    </w:p>
    <w:p w14:paraId="3DCCF7D2">
      <w:pPr>
        <w:pStyle w:val="6"/>
        <w:tabs>
          <w:tab w:val="left" w:pos="312"/>
        </w:tabs>
        <w:spacing w:before="0" w:beforeAutospacing="0" w:after="0" w:afterAutospacing="0" w:line="360" w:lineRule="auto"/>
        <w:ind w:left="0" w:firstLine="0" w:firstLineChars="0"/>
        <w:rPr>
          <w:rFonts w:ascii="宋体" w:eastAsia="宋体"/>
          <w:sz w:val="24"/>
          <w:szCs w:val="24"/>
        </w:rPr>
      </w:pPr>
      <w:r>
        <w:rPr>
          <w:rFonts w:hint="eastAsia" w:ascii="宋体"/>
          <w:sz w:val="24"/>
        </w:rPr>
        <w:t>★</w:t>
      </w:r>
      <w:r>
        <w:rPr>
          <w:rFonts w:hint="eastAsia" w:ascii="宋体" w:eastAsia="宋体"/>
          <w:sz w:val="24"/>
          <w:szCs w:val="24"/>
        </w:rPr>
        <w:t>8、长度要求：8000米，两根交付</w:t>
      </w:r>
    </w:p>
    <w:p w14:paraId="2FC5ADA3">
      <w:pPr>
        <w:pStyle w:val="5"/>
      </w:pPr>
    </w:p>
    <w:p w14:paraId="0BA9E83B">
      <w:pPr>
        <w:pStyle w:val="5"/>
        <w:spacing w:line="360" w:lineRule="auto"/>
        <w:ind w:firstLine="480" w:firstLineChars="200"/>
        <w:rPr>
          <w:rFonts w:hint="eastAsia"/>
        </w:rPr>
      </w:pPr>
      <w:r>
        <w:rPr>
          <w:rFonts w:hint="eastAsia"/>
          <w:sz w:val="24"/>
          <w:szCs w:val="22"/>
        </w:rPr>
        <w:t>提供所有低温超导线材临界电流均匀性测试报告；完整的技术资料，包括所有方案中提到的货物和控制软件的相关技术资料，主要有操作手册、使用手册、维护手册、安装手册等</w:t>
      </w:r>
    </w:p>
    <w:p w14:paraId="41F87709">
      <w:pPr>
        <w:pStyle w:val="5"/>
        <w:rPr>
          <w:rFonts w:hint="eastAsia"/>
        </w:rPr>
      </w:pPr>
      <w:r>
        <w:rPr>
          <w:rFonts w:hint="eastAsia"/>
        </w:rPr>
        <w:t xml:space="preserve"> </w:t>
      </w:r>
    </w:p>
    <w:p w14:paraId="7E49A9CA">
      <w:pPr>
        <w:widowControl/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4、配置清单及零配件（包括专用工具）：</w:t>
      </w:r>
    </w:p>
    <w:tbl>
      <w:tblPr>
        <w:tblStyle w:val="7"/>
        <w:tblW w:w="9067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5391"/>
        <w:gridCol w:w="1417"/>
        <w:gridCol w:w="1559"/>
      </w:tblGrid>
      <w:tr w14:paraId="160430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EA3B4D">
            <w:pPr>
              <w:widowControl/>
              <w:snapToGrid w:val="0"/>
              <w:spacing w:before="156" w:beforeLines="50"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序号</w:t>
            </w:r>
          </w:p>
        </w:tc>
        <w:tc>
          <w:tcPr>
            <w:tcW w:w="53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DC3698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名称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8A4F1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单位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25573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数量</w:t>
            </w:r>
          </w:p>
        </w:tc>
      </w:tr>
      <w:tr w14:paraId="5C827C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041CE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831F81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F44606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17B06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22600</w:t>
            </w:r>
          </w:p>
        </w:tc>
      </w:tr>
      <w:tr w14:paraId="4D93D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52684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42CDB1E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低温超导线材类型二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28B3BCB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0566C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66000</w:t>
            </w:r>
          </w:p>
        </w:tc>
      </w:tr>
      <w:tr w14:paraId="4606D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433444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688239B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低温超导线材类型三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11DFA84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C9035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18950</w:t>
            </w:r>
          </w:p>
        </w:tc>
      </w:tr>
      <w:tr w14:paraId="48457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171CA0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C68358C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低温超导线材类型四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E80A97C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524ACB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8160</w:t>
            </w:r>
          </w:p>
        </w:tc>
      </w:tr>
      <w:tr w14:paraId="72B79C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58DBF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3D31922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低温超导线材类型五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96C7AFA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0D114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9000</w:t>
            </w:r>
          </w:p>
        </w:tc>
      </w:tr>
      <w:tr w14:paraId="5DCF3D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6FEA1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271C6E7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低温超导线材类型六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8B3767A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33431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29200</w:t>
            </w:r>
          </w:p>
        </w:tc>
      </w:tr>
      <w:tr w14:paraId="6E00C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3D1CEC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E5A9055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A75E8A2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EB4520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11200</w:t>
            </w:r>
          </w:p>
        </w:tc>
      </w:tr>
      <w:tr w14:paraId="18BF7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4E611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D1F9D40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低温超导线材类型八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AC42F12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B9A48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26200</w:t>
            </w:r>
          </w:p>
        </w:tc>
      </w:tr>
      <w:tr w14:paraId="2FC2B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6B297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9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C0FBD87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低温超导线材类型九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0C36173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9CAFBE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13200</w:t>
            </w:r>
          </w:p>
        </w:tc>
      </w:tr>
      <w:tr w14:paraId="51A5C7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6B361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10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54242FC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低温超导线材类型十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346E926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75CBB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11950</w:t>
            </w:r>
          </w:p>
        </w:tc>
      </w:tr>
      <w:tr w14:paraId="4FB76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92812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11</w:t>
            </w:r>
          </w:p>
        </w:tc>
        <w:tc>
          <w:tcPr>
            <w:tcW w:w="5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4D9C0AB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低温超导线材类型十一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8613EC0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3B71BF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12956</w:t>
            </w:r>
          </w:p>
        </w:tc>
      </w:tr>
      <w:tr w14:paraId="3648EB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F5309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12</w:t>
            </w:r>
          </w:p>
        </w:tc>
        <w:tc>
          <w:tcPr>
            <w:tcW w:w="53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CAEE3C2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低温超导线材类型十二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B12B049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A6AFAD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2000</w:t>
            </w:r>
          </w:p>
        </w:tc>
      </w:tr>
      <w:tr w14:paraId="73709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C649E7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13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56062B4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低温超导线材类型十三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0D56E1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95FB2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2000</w:t>
            </w:r>
          </w:p>
        </w:tc>
      </w:tr>
      <w:tr w14:paraId="78939D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B8FFD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14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B13A6E3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低温超导线材类型十四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2510FF2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1493B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8000</w:t>
            </w:r>
          </w:p>
        </w:tc>
      </w:tr>
      <w:tr w14:paraId="6AFBBE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9A2AC7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15</w:t>
            </w:r>
          </w:p>
        </w:tc>
        <w:tc>
          <w:tcPr>
            <w:tcW w:w="5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9C8F0EC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低温超导线材类型十五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E69AE7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CCA51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8000</w:t>
            </w:r>
          </w:p>
        </w:tc>
      </w:tr>
      <w:tr w14:paraId="36A6B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2F892B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16</w:t>
            </w:r>
          </w:p>
        </w:tc>
        <w:tc>
          <w:tcPr>
            <w:tcW w:w="53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4075FD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提供所有低温超导线材临界电流均匀性测试报告；完整的技术资料，包括所有方案中提到的货物和控制软件的相关技术资料，主要有操作手册、使用手册、维护手册、安装手册等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5DC0C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90BDF3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</w:tr>
    </w:tbl>
    <w:p w14:paraId="246E1087">
      <w:pPr>
        <w:pStyle w:val="2"/>
        <w:rPr>
          <w:b/>
          <w:bCs/>
        </w:rPr>
      </w:pPr>
    </w:p>
    <w:p w14:paraId="79DC1894">
      <w:pPr>
        <w:pStyle w:val="2"/>
        <w:rPr>
          <w:rFonts w:hint="eastAsia"/>
        </w:rPr>
      </w:pPr>
    </w:p>
    <w:p w14:paraId="5FA87394">
      <w:pPr>
        <w:widowControl/>
        <w:snapToGrid w:val="0"/>
        <w:spacing w:line="360" w:lineRule="auto"/>
        <w:jc w:val="left"/>
        <w:rPr>
          <w:b/>
          <w:sz w:val="30"/>
          <w:szCs w:val="30"/>
        </w:rPr>
      </w:pPr>
      <w:r>
        <w:rPr>
          <w:b/>
          <w:sz w:val="30"/>
          <w:szCs w:val="30"/>
        </w:rPr>
        <w:t>（二）商务要求：</w:t>
      </w:r>
    </w:p>
    <w:p w14:paraId="32B1F6CC">
      <w:pPr>
        <w:widowControl/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1、技术服务条款：</w:t>
      </w:r>
    </w:p>
    <w:p w14:paraId="5A2D0E30">
      <w:pPr>
        <w:widowControl/>
        <w:spacing w:line="360" w:lineRule="auto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（1）</w:t>
      </w:r>
      <w:r>
        <w:rPr>
          <w:rFonts w:ascii="宋体" w:hAnsi="宋体"/>
          <w:sz w:val="24"/>
        </w:rPr>
        <w:t>供应商负责完成安排运输工具、运输货物和支付运费，确保按照合同规定的交货期交货，产品运输至采购人指定的现场后，供应商应按照采购人要求完成产品的安装和调试，若因供应商原因对工期造成影响，则按商务条款进行惩罚。</w:t>
      </w:r>
    </w:p>
    <w:p w14:paraId="40223FB6">
      <w:pPr>
        <w:widowControl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由于采购人的原因，供应商不能在规定的时间内完成安装和调试，则系统安装及培训顺延，时间由采购人通知和确定。在整个验收过程中，如遇到产品本身质量问题或供应商安装操作不当引起的产品损坏，产品供应商应及时解决。</w:t>
      </w:r>
    </w:p>
    <w:p w14:paraId="7DE57118">
      <w:pPr>
        <w:widowControl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（2）供应商接到故障报告后4-8小时予以电话响应并给出方案，如无法通过电话解决故障，将在24小时内派工程师到现场解决问题，如有需要将在7个工作日内派原厂工程师到现场解决问题。</w:t>
      </w:r>
    </w:p>
    <w:p w14:paraId="1FA98341">
      <w:pPr>
        <w:widowControl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（3）质量保证期从产品最终验收之日起，保修期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年。质量保证期从产品最终验收之日起。低温超导线材等机械加工非标设备3年内出现由于加工、制作及校准原因引起的质量问题，供应商负责免费检测，维修和标定。如需现场进行设备维护工作，供应商自行承担维护人员的差旅、住宿等费用。</w:t>
      </w:r>
    </w:p>
    <w:p w14:paraId="08D4B122">
      <w:pPr>
        <w:widowControl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4</w:t>
      </w:r>
      <w:r>
        <w:rPr>
          <w:rFonts w:hint="eastAsia" w:ascii="宋体" w:hAnsi="宋体"/>
          <w:sz w:val="24"/>
        </w:rPr>
        <w:t>）在保修期内，如果出现产品质量问题，供应商要调查故障原因并修复直至满足最终验收指标和性能的要求，或者更换整个或部分有缺陷的材料。一切服务费用（包括零配件的费用及运费）由供应商承担；</w:t>
      </w:r>
    </w:p>
    <w:p w14:paraId="7AE81675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）在保修期过后，供应商继续向采购人提供及时有效的售后服务和零备件供应，供应商应承诺保证零备件供应期不少于5年。</w:t>
      </w:r>
    </w:p>
    <w:p w14:paraId="59CB9352">
      <w:pPr>
        <w:widowControl/>
        <w:spacing w:before="156" w:beforeLines="50"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2、</w:t>
      </w:r>
      <w:r>
        <w:rPr>
          <w:rFonts w:ascii="宋体" w:hAnsi="宋体"/>
          <w:b/>
          <w:sz w:val="24"/>
        </w:rPr>
        <w:t>包装要求：</w:t>
      </w:r>
    </w:p>
    <w:p w14:paraId="61E0BD99">
      <w:pPr>
        <w:widowControl/>
        <w:spacing w:line="360" w:lineRule="auto"/>
        <w:ind w:firstLine="480" w:firstLineChars="200"/>
        <w:rPr>
          <w:rFonts w:hint="eastAsia" w:ascii="Calibri" w:hAnsi="Calibri"/>
          <w:sz w:val="24"/>
        </w:rPr>
      </w:pPr>
      <w:r>
        <w:rPr>
          <w:rFonts w:hint="eastAsia" w:ascii="宋体" w:hAnsi="宋体"/>
          <w:sz w:val="24"/>
        </w:rPr>
        <w:t>投标人应根据双方商定好的标准和采购人的实际运输条件，将产品包装好，并将全套产品合格证明书、出厂试验记录、产品外形尺寸图、运输尺寸图、装箱单等包装好，防止受潮。从投标人发货至采购人收到期间，产品和资料应完好无损。</w:t>
      </w:r>
    </w:p>
    <w:p w14:paraId="3A2967DC">
      <w:pPr>
        <w:widowControl/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包装箱应连续编号，不能有重号。</w:t>
      </w:r>
    </w:p>
    <w:p w14:paraId="35CA362A">
      <w:pPr>
        <w:widowControl/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产品、零部件、材料启运前投标人应按下述内容在箱面上写不褪色的醒目标志：</w:t>
      </w:r>
    </w:p>
    <w:p w14:paraId="750D6217">
      <w:pPr>
        <w:widowControl/>
        <w:numPr>
          <w:ilvl w:val="0"/>
          <w:numId w:val="1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合同号；</w:t>
      </w:r>
    </w:p>
    <w:p w14:paraId="084C47E1">
      <w:pPr>
        <w:widowControl/>
        <w:numPr>
          <w:ilvl w:val="0"/>
          <w:numId w:val="1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收货人及联系方式；</w:t>
      </w:r>
    </w:p>
    <w:p w14:paraId="236171E8">
      <w:pPr>
        <w:widowControl/>
        <w:numPr>
          <w:ilvl w:val="0"/>
          <w:numId w:val="1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产品名称和项目号；</w:t>
      </w:r>
    </w:p>
    <w:p w14:paraId="163A2086">
      <w:pPr>
        <w:widowControl/>
        <w:numPr>
          <w:ilvl w:val="0"/>
          <w:numId w:val="1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箱号；</w:t>
      </w:r>
    </w:p>
    <w:p w14:paraId="4FF3ED89">
      <w:pPr>
        <w:widowControl/>
        <w:numPr>
          <w:ilvl w:val="0"/>
          <w:numId w:val="1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毛重与净重；</w:t>
      </w:r>
    </w:p>
    <w:p w14:paraId="2448AF0F">
      <w:pPr>
        <w:widowControl/>
        <w:numPr>
          <w:ilvl w:val="0"/>
          <w:numId w:val="1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外形尺寸；</w:t>
      </w:r>
    </w:p>
    <w:p w14:paraId="7DF535F0">
      <w:pPr>
        <w:widowControl/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在产品的包装箱外面应标上“重心”、“起吊点”、“小心搬运”、“正面向上”、“防止受潮”、“勿倒”、“勿倾斜”、“防火”等字样。</w:t>
      </w:r>
    </w:p>
    <w:p w14:paraId="2BC139F7">
      <w:pPr>
        <w:widowControl/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投标人提供的技术文件的包装内外表面上应有如下中文标志：</w:t>
      </w:r>
    </w:p>
    <w:p w14:paraId="058F2985">
      <w:pPr>
        <w:widowControl/>
        <w:numPr>
          <w:ilvl w:val="0"/>
          <w:numId w:val="2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合同号；</w:t>
      </w:r>
    </w:p>
    <w:p w14:paraId="41E5A9FB">
      <w:pPr>
        <w:widowControl/>
        <w:numPr>
          <w:ilvl w:val="0"/>
          <w:numId w:val="2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收货人；</w:t>
      </w:r>
    </w:p>
    <w:p w14:paraId="4696B88D">
      <w:pPr>
        <w:widowControl/>
        <w:numPr>
          <w:ilvl w:val="0"/>
          <w:numId w:val="2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目的地；</w:t>
      </w:r>
    </w:p>
    <w:p w14:paraId="25999E89">
      <w:pPr>
        <w:widowControl/>
        <w:numPr>
          <w:ilvl w:val="0"/>
          <w:numId w:val="2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毛重；</w:t>
      </w:r>
    </w:p>
    <w:p w14:paraId="4812ACCA">
      <w:pPr>
        <w:widowControl/>
        <w:numPr>
          <w:ilvl w:val="0"/>
          <w:numId w:val="2"/>
        </w:numPr>
        <w:spacing w:line="360" w:lineRule="auto"/>
        <w:ind w:left="902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箱号。</w:t>
      </w:r>
    </w:p>
    <w:p w14:paraId="3EEA0FB2">
      <w:pPr>
        <w:widowControl/>
        <w:spacing w:before="156" w:beforeLines="50"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采购人和投标人应在合同中明确规定产品在运输时的状态，以及对检测仪表和检测数据变化范围的要求。支柱绝缘子及其部件的保管期应在合同中明确规定。</w:t>
      </w:r>
    </w:p>
    <w:p w14:paraId="3EC0BD7F">
      <w:pPr>
        <w:widowControl/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在产品启运后一周内，投标人应以最快捷的方式通知采购人以下内容</w:t>
      </w:r>
    </w:p>
    <w:p w14:paraId="13786894">
      <w:pPr>
        <w:widowControl/>
        <w:numPr>
          <w:ilvl w:val="0"/>
          <w:numId w:val="3"/>
        </w:numPr>
        <w:spacing w:line="360" w:lineRule="auto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产品名称；</w:t>
      </w:r>
    </w:p>
    <w:p w14:paraId="34E6831C">
      <w:pPr>
        <w:widowControl/>
        <w:numPr>
          <w:ilvl w:val="0"/>
          <w:numId w:val="3"/>
        </w:numPr>
        <w:spacing w:line="360" w:lineRule="auto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件数、件号、重量；</w:t>
      </w:r>
    </w:p>
    <w:p w14:paraId="3ED0BE83">
      <w:pPr>
        <w:widowControl/>
        <w:numPr>
          <w:ilvl w:val="0"/>
          <w:numId w:val="3"/>
        </w:numPr>
        <w:spacing w:line="360" w:lineRule="auto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合同号及货运单号；</w:t>
      </w:r>
    </w:p>
    <w:p w14:paraId="44FA9247">
      <w:pPr>
        <w:widowControl/>
        <w:numPr>
          <w:ilvl w:val="0"/>
          <w:numId w:val="3"/>
        </w:numPr>
        <w:spacing w:line="360" w:lineRule="auto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达到地点；</w:t>
      </w:r>
    </w:p>
    <w:p w14:paraId="461FC49B">
      <w:pPr>
        <w:widowControl/>
        <w:numPr>
          <w:ilvl w:val="0"/>
          <w:numId w:val="3"/>
        </w:numPr>
        <w:spacing w:line="360" w:lineRule="auto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产品发出日期。</w:t>
      </w:r>
    </w:p>
    <w:p w14:paraId="089244EC">
      <w:pPr>
        <w:widowControl/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所有部件的装运方式均应便于卸货、操作和现场就位，标有千斤顶支架位置的起吊图和安装图，应与装运文件一起提供。</w:t>
      </w:r>
    </w:p>
    <w:p w14:paraId="71099342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任何在装运中可能丢失的成品应用箱式包装或捆成一束，并标志以清晰的记号以便识别。</w:t>
      </w:r>
    </w:p>
    <w:p w14:paraId="6CAF9B3A">
      <w:pPr>
        <w:widowControl/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宋体" w:hAnsi="宋体"/>
          <w:sz w:val="24"/>
        </w:rPr>
        <w:t>运输、贮存直到安装时应保护所有组、部件不得损坏、不得进水和受潮。</w:t>
      </w:r>
    </w:p>
    <w:p w14:paraId="1B5B8328">
      <w:pPr>
        <w:pStyle w:val="5"/>
        <w:rPr>
          <w:rFonts w:hint="eastAsia"/>
        </w:rPr>
      </w:pPr>
    </w:p>
    <w:p w14:paraId="4B986932">
      <w:pPr>
        <w:widowControl/>
        <w:snapToGrid w:val="0"/>
        <w:spacing w:before="156" w:beforeLines="5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3、</w:t>
      </w:r>
      <w:r>
        <w:rPr>
          <w:rFonts w:ascii="宋体" w:hAnsi="宋体"/>
          <w:b/>
          <w:sz w:val="24"/>
        </w:rPr>
        <w:t>交货日期：</w:t>
      </w:r>
      <w:bookmarkStart w:id="3" w:name="_Hlk171928747"/>
      <w:r>
        <w:rPr>
          <w:rFonts w:ascii="宋体" w:hAnsi="宋体"/>
          <w:sz w:val="24"/>
        </w:rPr>
        <w:t>合同签订后的</w:t>
      </w:r>
      <w:r>
        <w:rPr>
          <w:rFonts w:hint="eastAsia" w:ascii="宋体" w:hAnsi="宋体"/>
          <w:sz w:val="24"/>
        </w:rPr>
        <w:t>3</w:t>
      </w:r>
      <w:r>
        <w:rPr>
          <w:rFonts w:ascii="宋体" w:hAnsi="宋体"/>
          <w:sz w:val="24"/>
        </w:rPr>
        <w:t>个月</w:t>
      </w:r>
      <w:r>
        <w:rPr>
          <w:rFonts w:hint="eastAsia" w:ascii="宋体" w:hAnsi="宋体"/>
          <w:sz w:val="24"/>
        </w:rPr>
        <w:t>内</w:t>
      </w:r>
      <w:r>
        <w:rPr>
          <w:rFonts w:ascii="宋体" w:hAnsi="宋体"/>
          <w:sz w:val="24"/>
        </w:rPr>
        <w:t>交货</w:t>
      </w:r>
      <w:bookmarkEnd w:id="3"/>
      <w:r>
        <w:rPr>
          <w:rFonts w:ascii="宋体" w:hAnsi="宋体"/>
          <w:sz w:val="24"/>
        </w:rPr>
        <w:t>；</w:t>
      </w:r>
    </w:p>
    <w:p w14:paraId="0858F5DC">
      <w:pPr>
        <w:pStyle w:val="5"/>
        <w:rPr>
          <w:rFonts w:hint="eastAsia"/>
        </w:rPr>
      </w:pPr>
    </w:p>
    <w:p w14:paraId="071DD51E">
      <w:pPr>
        <w:widowControl/>
        <w:snapToGrid w:val="0"/>
        <w:spacing w:before="156" w:beforeLines="50"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/>
          <w:sz w:val="24"/>
        </w:rPr>
        <w:t>4、</w:t>
      </w:r>
      <w:r>
        <w:rPr>
          <w:rFonts w:ascii="宋体" w:hAnsi="宋体"/>
          <w:b/>
          <w:sz w:val="24"/>
        </w:rPr>
        <w:t>交货地点：</w:t>
      </w:r>
      <w:bookmarkStart w:id="4" w:name="_Hlk171928900"/>
      <w:r>
        <w:rPr>
          <w:rFonts w:hint="eastAsia" w:ascii="宋体" w:hAnsi="宋体"/>
          <w:bCs/>
          <w:sz w:val="24"/>
        </w:rPr>
        <w:t>中国科学院电工研究所甲方指定地点</w:t>
      </w:r>
      <w:bookmarkEnd w:id="4"/>
    </w:p>
    <w:p w14:paraId="36B3A884">
      <w:pPr>
        <w:pStyle w:val="5"/>
        <w:rPr>
          <w:rFonts w:hint="eastAsia"/>
        </w:rPr>
      </w:pPr>
    </w:p>
    <w:p w14:paraId="139E7F8E">
      <w:pPr>
        <w:widowControl/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5、</w:t>
      </w:r>
      <w:r>
        <w:rPr>
          <w:rFonts w:ascii="宋体" w:hAnsi="宋体"/>
          <w:b/>
          <w:sz w:val="24"/>
        </w:rPr>
        <w:t>验收标准：</w:t>
      </w:r>
    </w:p>
    <w:p w14:paraId="2AB6F330">
      <w:pPr>
        <w:widowControl/>
        <w:tabs>
          <w:tab w:val="left" w:pos="0"/>
        </w:tabs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1）</w:t>
      </w:r>
      <w:r>
        <w:rPr>
          <w:rFonts w:ascii="宋体" w:hAnsi="宋体"/>
          <w:sz w:val="24"/>
        </w:rPr>
        <w:t>货物运抵安装现场后，采购人将与供应商共同开箱验收,如供应商届时不派人来, 则验收结果应以采购人的验收报告为最终验收结果。验收时发现短缺、破损,采购人有权要求供应商立即补发和负责更换。</w:t>
      </w:r>
    </w:p>
    <w:p w14:paraId="667CEDF5">
      <w:pPr>
        <w:widowControl/>
        <w:tabs>
          <w:tab w:val="left" w:pos="0"/>
        </w:tabs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2）</w:t>
      </w:r>
      <w:r>
        <w:rPr>
          <w:rFonts w:ascii="宋体" w:hAnsi="宋体"/>
          <w:sz w:val="24"/>
        </w:rPr>
        <w:t>供应商应提出货物测试</w:t>
      </w:r>
      <w:r>
        <w:rPr>
          <w:rFonts w:hint="eastAsia" w:ascii="宋体" w:hAnsi="宋体"/>
          <w:sz w:val="24"/>
        </w:rPr>
        <w:t>方案给采购人确认</w:t>
      </w:r>
      <w:r>
        <w:rPr>
          <w:rFonts w:ascii="宋体" w:hAnsi="宋体"/>
          <w:sz w:val="24"/>
        </w:rPr>
        <w:t>,供应商有责任对采购人的技术人员提出的问题作出解答。</w:t>
      </w:r>
      <w:r>
        <w:rPr>
          <w:rFonts w:hint="eastAsia" w:ascii="宋体" w:hAnsi="宋体"/>
          <w:sz w:val="24"/>
        </w:rPr>
        <w:t>货物</w:t>
      </w:r>
      <w:r>
        <w:rPr>
          <w:rFonts w:ascii="宋体" w:hAnsi="宋体"/>
          <w:sz w:val="24"/>
        </w:rPr>
        <w:t>测试应进行详细记录,测试结束后,由供应商技术人员签字后交给采购人验收。</w:t>
      </w:r>
    </w:p>
    <w:p w14:paraId="3A890645">
      <w:pPr>
        <w:widowControl/>
        <w:tabs>
          <w:tab w:val="left" w:pos="0"/>
        </w:tabs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3）</w:t>
      </w:r>
      <w:r>
        <w:rPr>
          <w:rFonts w:ascii="宋体" w:hAnsi="宋体"/>
          <w:sz w:val="24"/>
        </w:rPr>
        <w:t xml:space="preserve">保修期自最终安装验收合格后开始，保修期内供应商要保修除消耗品以外的所有部件。在保修期内，如果货物发生故障，供应商要调查故障原因并修复直至满足最终验收指标和性能的要求，或者更换整个或部分有缺陷的材料。以上都应是免费的。 </w:t>
      </w:r>
    </w:p>
    <w:p w14:paraId="54D317FE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4）验收标准以中标人提供的投标文件中所列的指标为准（该指标应不低于采购文件所要求的指标）。任何虚假指标响应一经发现即作废标，供应商必须承担由此给采购人带来的一切经济损失和其它相关责任。</w:t>
      </w:r>
    </w:p>
    <w:p w14:paraId="63FB586C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）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3785B731">
      <w:pPr>
        <w:pStyle w:val="5"/>
        <w:rPr>
          <w:rFonts w:hint="eastAsia"/>
        </w:rPr>
      </w:pPr>
    </w:p>
    <w:p w14:paraId="1382DD44">
      <w:pPr>
        <w:widowControl/>
        <w:snapToGrid w:val="0"/>
        <w:spacing w:before="156" w:beforeLines="5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6、执行的相关标准：</w:t>
      </w:r>
      <w:r>
        <w:rPr>
          <w:rFonts w:hint="eastAsia" w:ascii="宋体" w:hAnsi="宋体"/>
          <w:sz w:val="24"/>
        </w:rPr>
        <w:t>无</w:t>
      </w:r>
    </w:p>
    <w:p w14:paraId="56C67046">
      <w:pPr>
        <w:pStyle w:val="5"/>
        <w:rPr>
          <w:rFonts w:hint="eastAsia"/>
        </w:rPr>
      </w:pPr>
    </w:p>
    <w:p w14:paraId="2BB5E207">
      <w:pPr>
        <w:widowControl/>
        <w:tabs>
          <w:tab w:val="left" w:pos="900"/>
        </w:tabs>
        <w:spacing w:line="360" w:lineRule="auto"/>
        <w:jc w:val="left"/>
        <w:rPr>
          <w:rFonts w:hint="eastAsia"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7、付款方式：</w:t>
      </w:r>
      <w:r>
        <w:rPr>
          <w:rFonts w:hint="eastAsia" w:hAnsi="宋体"/>
          <w:sz w:val="24"/>
        </w:rPr>
        <w:t>100%凭用户代表签字并加盖单位公章后的验收报告支付</w:t>
      </w:r>
    </w:p>
    <w:p w14:paraId="236966F9">
      <w:pPr>
        <w:pStyle w:val="5"/>
        <w:rPr>
          <w:rFonts w:hint="eastAsia"/>
        </w:rPr>
      </w:pPr>
    </w:p>
    <w:p w14:paraId="6389A91C">
      <w:pPr>
        <w:widowControl/>
        <w:tabs>
          <w:tab w:val="left" w:pos="0"/>
        </w:tabs>
        <w:spacing w:line="360" w:lineRule="auto"/>
        <w:jc w:val="lef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★8</w:t>
      </w:r>
      <w:r>
        <w:rPr>
          <w:rFonts w:hint="eastAsia" w:ascii="宋体" w:hAnsi="宋体"/>
          <w:b/>
          <w:bCs/>
          <w:sz w:val="24"/>
        </w:rPr>
        <w:t>、投标报价要求：</w:t>
      </w:r>
    </w:p>
    <w:p w14:paraId="31D1F685">
      <w:pPr>
        <w:pStyle w:val="6"/>
        <w:spacing w:before="0" w:beforeAutospacing="0" w:after="0" w:afterAutospacing="0" w:line="360" w:lineRule="auto"/>
        <w:ind w:left="0" w:firstLine="0" w:firstLineChars="0"/>
        <w:rPr>
          <w:rFonts w:hint="eastAsia" w:ascii="宋体" w:eastAsia="宋体" w:cs="仿宋_GB2312"/>
          <w:kern w:val="0"/>
          <w:sz w:val="24"/>
          <w:szCs w:val="24"/>
        </w:rPr>
      </w:pPr>
      <w:r>
        <w:rPr>
          <w:rFonts w:hint="eastAsia" w:ascii="宋体" w:eastAsia="宋体" w:cs="仿宋_GB2312"/>
          <w:kern w:val="0"/>
          <w:sz w:val="24"/>
          <w:szCs w:val="24"/>
        </w:rPr>
        <w:t>（1）本项目不允许采购进口产品与服务。</w:t>
      </w:r>
    </w:p>
    <w:p w14:paraId="4770B638">
      <w:pPr>
        <w:pStyle w:val="6"/>
        <w:spacing w:before="0" w:beforeAutospacing="0" w:after="0" w:afterAutospacing="0" w:line="360" w:lineRule="auto"/>
        <w:ind w:left="0" w:firstLine="0" w:firstLineChars="0"/>
        <w:rPr>
          <w:rFonts w:hint="eastAsia" w:ascii="宋体" w:eastAsia="宋体" w:cs="仿宋_GB2312"/>
          <w:kern w:val="0"/>
          <w:sz w:val="24"/>
          <w:szCs w:val="24"/>
        </w:rPr>
      </w:pPr>
      <w:r>
        <w:rPr>
          <w:rFonts w:hint="eastAsia" w:ascii="宋体" w:eastAsia="宋体" w:cs="仿宋_GB2312"/>
          <w:kern w:val="0"/>
          <w:sz w:val="24"/>
          <w:szCs w:val="24"/>
        </w:rPr>
        <w:t>（2）国产产品与服务报项目现场交货人民币含税价。报价中需包括制造、装配和发运货物所使用的材料、部件及货物本身已支付或将支付的产品税、销售税和其它税费。采购人不再另行支付其他任何费用。</w:t>
      </w:r>
    </w:p>
    <w:p w14:paraId="4BC0007C">
      <w:pPr>
        <w:pStyle w:val="6"/>
        <w:spacing w:before="0" w:beforeAutospacing="0" w:after="0" w:afterAutospacing="0" w:line="360" w:lineRule="auto"/>
        <w:ind w:left="0" w:firstLine="0" w:firstLineChars="0"/>
        <w:rPr>
          <w:rFonts w:ascii="宋体" w:eastAsia="宋体" w:cs="仿宋_GB2312"/>
          <w:kern w:val="0"/>
          <w:sz w:val="24"/>
          <w:szCs w:val="24"/>
        </w:rPr>
      </w:pPr>
      <w:r>
        <w:rPr>
          <w:rFonts w:hint="eastAsia" w:ascii="宋体" w:eastAsia="宋体" w:cs="仿宋_GB2312"/>
          <w:kern w:val="0"/>
          <w:sz w:val="24"/>
          <w:szCs w:val="24"/>
        </w:rPr>
        <w:t>（3）上述价格的构成须按在分项报价表中格式要求详细列出。</w:t>
      </w:r>
    </w:p>
    <w:p w14:paraId="6B7F4B96">
      <w:pPr>
        <w:pStyle w:val="5"/>
        <w:rPr>
          <w:rFonts w:hint="eastAsia"/>
        </w:rPr>
      </w:pPr>
    </w:p>
    <w:p w14:paraId="39A9C9E1">
      <w:pPr>
        <w:widowControl/>
        <w:tabs>
          <w:tab w:val="left" w:pos="900"/>
        </w:tabs>
        <w:spacing w:line="360" w:lineRule="auto"/>
        <w:jc w:val="left"/>
        <w:rPr>
          <w:rFonts w:ascii="宋体" w:hAnsi="宋体" w:cs="宋体"/>
          <w:b/>
          <w:bCs/>
          <w:kern w:val="0"/>
          <w:sz w:val="24"/>
          <w:u w:val="single"/>
        </w:rPr>
      </w:pPr>
      <w:r>
        <w:rPr>
          <w:rFonts w:hint="eastAsia" w:ascii="宋体" w:hAnsi="宋体" w:cs="宋体"/>
          <w:b/>
          <w:bCs/>
          <w:kern w:val="0"/>
          <w:sz w:val="24"/>
        </w:rPr>
        <w:t>1</w:t>
      </w:r>
      <w:r>
        <w:rPr>
          <w:rFonts w:ascii="宋体" w:hAnsi="宋体" w:cs="宋体"/>
          <w:b/>
          <w:bCs/>
          <w:kern w:val="0"/>
          <w:sz w:val="24"/>
        </w:rPr>
        <w:t>0</w:t>
      </w:r>
      <w:r>
        <w:rPr>
          <w:rFonts w:hint="eastAsia" w:ascii="宋体" w:hAnsi="宋体" w:cs="宋体"/>
          <w:b/>
          <w:bCs/>
          <w:kern w:val="0"/>
          <w:sz w:val="24"/>
        </w:rPr>
        <w:t>、是否允许采购进口产品：</w:t>
      </w:r>
      <w:r>
        <w:rPr>
          <w:rFonts w:hint="eastAsia" w:ascii="宋体" w:hAnsi="宋体" w:cs="宋体"/>
          <w:b/>
          <w:bCs/>
          <w:kern w:val="0"/>
          <w:sz w:val="24"/>
          <w:u w:val="single"/>
        </w:rPr>
        <w:t>否</w:t>
      </w:r>
    </w:p>
    <w:p w14:paraId="6D7EC6B8">
      <w:pPr>
        <w:pStyle w:val="5"/>
        <w:rPr>
          <w:rFonts w:hint="eastAsia"/>
        </w:rPr>
      </w:pPr>
    </w:p>
    <w:p w14:paraId="71264E3A">
      <w:pPr>
        <w:widowControl/>
        <w:tabs>
          <w:tab w:val="left" w:pos="900"/>
        </w:tabs>
        <w:spacing w:line="360" w:lineRule="auto"/>
        <w:jc w:val="left"/>
        <w:rPr>
          <w:rFonts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1</w:t>
      </w:r>
      <w:r>
        <w:rPr>
          <w:rFonts w:ascii="宋体" w:hAnsi="宋体" w:cs="宋体"/>
          <w:b/>
          <w:bCs/>
          <w:kern w:val="0"/>
          <w:sz w:val="24"/>
        </w:rPr>
        <w:t>1</w:t>
      </w:r>
      <w:r>
        <w:rPr>
          <w:rFonts w:hint="eastAsia" w:ascii="宋体" w:hAnsi="宋体" w:cs="宋体"/>
          <w:b/>
          <w:bCs/>
          <w:kern w:val="0"/>
          <w:sz w:val="24"/>
        </w:rPr>
        <w:t>、预算金额：600万元</w:t>
      </w:r>
    </w:p>
    <w:p w14:paraId="6C5766DE">
      <w:pPr>
        <w:widowControl/>
        <w:tabs>
          <w:tab w:val="left" w:pos="900"/>
        </w:tabs>
        <w:spacing w:line="360" w:lineRule="auto"/>
        <w:ind w:firstLine="482" w:firstLineChars="200"/>
        <w:jc w:val="left"/>
        <w:rPr>
          <w:rFonts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最高限价：600万元</w:t>
      </w:r>
    </w:p>
    <w:p w14:paraId="74E654C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734ECE"/>
    <w:multiLevelType w:val="multilevel"/>
    <w:tmpl w:val="17734ECE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abstractNum w:abstractNumId="1">
    <w:nsid w:val="26332D66"/>
    <w:multiLevelType w:val="multilevel"/>
    <w:tmpl w:val="26332D66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abstractNum w:abstractNumId="2">
    <w:nsid w:val="677A77A6"/>
    <w:multiLevelType w:val="multilevel"/>
    <w:tmpl w:val="677A77A6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wMWE4YjdkZDlhNTNhYjdkMzI1MmEzNmIzOTY4NTcifQ=="/>
  </w:docVars>
  <w:rsids>
    <w:rsidRoot w:val="65A37011"/>
    <w:rsid w:val="2E8D7F8F"/>
    <w:rsid w:val="65A3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">
    <w:name w:val="Body Text Indent"/>
    <w:basedOn w:val="1"/>
    <w:next w:val="4"/>
    <w:qFormat/>
    <w:uiPriority w:val="99"/>
    <w:pPr>
      <w:spacing w:after="120"/>
      <w:ind w:left="420" w:leftChars="200"/>
    </w:p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eastAsia="宋体" w:cs="Times New Roman"/>
    </w:r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Body Text First Indent 2"/>
    <w:basedOn w:val="3"/>
    <w:qFormat/>
    <w:uiPriority w:val="0"/>
    <w:pPr>
      <w:spacing w:before="100" w:beforeAutospacing="1" w:after="100" w:afterAutospacing="1"/>
      <w:ind w:leftChars="0" w:firstLine="420" w:firstLineChars="200"/>
    </w:pPr>
    <w:rPr>
      <w:rFonts w:ascii="楷体_GB2312" w:hAnsi="宋体" w:eastAsia="楷体_GB231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5407</Words>
  <Characters>6382</Characters>
  <Lines>0</Lines>
  <Paragraphs>0</Paragraphs>
  <TotalTime>2</TotalTime>
  <ScaleCrop>false</ScaleCrop>
  <LinksUpToDate>false</LinksUpToDate>
  <CharactersWithSpaces>6421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2024-09-09T06:46:00Z</dcterms:created>
  <dc:creator>红海</dc:creator>
  <cp:lastModifiedBy>清</cp:lastModifiedBy>
  <dcterms:modified xsi:type="dcterms:W3CDTF">2024-09-10T01:07:26Z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A82BDFC53A504381AE20E17D46DD631C_13</vt:lpwstr>
  </property>
</Properties>
</file>