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EDC23">
      <w:pPr>
        <w:adjustRightInd w:val="0"/>
        <w:snapToGrid w:val="0"/>
        <w:spacing w:after="156" w:afterLines="50" w:line="360" w:lineRule="auto"/>
        <w:jc w:val="center"/>
        <w:outlineLvl w:val="0"/>
        <w:rPr>
          <w:rFonts w:ascii="Times New Roman" w:hAnsi="Times New Roman" w:eastAsia="宋体" w:cs="Times New Roman"/>
          <w:b/>
          <w:kern w:val="44"/>
          <w:sz w:val="48"/>
          <w:szCs w:val="20"/>
        </w:rPr>
      </w:pPr>
      <w:bookmarkStart w:id="1" w:name="_GoBack"/>
      <w:bookmarkEnd w:id="1"/>
      <w:bookmarkStart w:id="0" w:name="_Toc171675026"/>
      <w:r>
        <w:rPr>
          <w:rFonts w:ascii="Times New Roman" w:hAnsi="Times New Roman" w:eastAsia="宋体" w:cs="Times New Roman"/>
          <w:b/>
          <w:sz w:val="30"/>
          <w:szCs w:val="30"/>
        </w:rPr>
        <w:t>采购需求</w:t>
      </w:r>
      <w:bookmarkEnd w:id="0"/>
    </w:p>
    <w:p w14:paraId="7278A488">
      <w:pPr>
        <w:numPr>
          <w:ilvl w:val="2"/>
          <w:numId w:val="0"/>
        </w:numPr>
        <w:adjustRightInd w:val="0"/>
        <w:snapToGrid w:val="0"/>
        <w:jc w:val="center"/>
        <w:rPr>
          <w:rFonts w:ascii="Times New Roman" w:hAnsi="Times New Roman" w:eastAsia="宋体" w:cs="Times New Roman"/>
          <w:b/>
          <w:sz w:val="30"/>
          <w:szCs w:val="30"/>
        </w:rPr>
      </w:pPr>
      <w:r>
        <w:rPr>
          <w:rFonts w:ascii="Times New Roman" w:hAnsi="Times New Roman" w:eastAsia="宋体" w:cs="Times New Roman"/>
          <w:b/>
          <w:sz w:val="30"/>
          <w:szCs w:val="30"/>
        </w:rPr>
        <w:t>一、货物需求一览表</w:t>
      </w:r>
    </w:p>
    <w:p w14:paraId="6604B099">
      <w:pPr>
        <w:numPr>
          <w:ilvl w:val="2"/>
          <w:numId w:val="0"/>
        </w:numPr>
        <w:adjustRightInd w:val="0"/>
        <w:snapToGrid w:val="0"/>
        <w:jc w:val="center"/>
        <w:rPr>
          <w:rFonts w:ascii="Times New Roman" w:hAnsi="Times New Roman" w:eastAsia="宋体" w:cs="Times New Roman"/>
          <w:b/>
          <w:sz w:val="30"/>
          <w:szCs w:val="30"/>
        </w:rPr>
      </w:pPr>
    </w:p>
    <w:p w14:paraId="556CAEFF">
      <w:pPr>
        <w:adjustRightInd w:val="0"/>
        <w:snapToGrid w:val="0"/>
        <w:jc w:val="left"/>
        <w:rPr>
          <w:rFonts w:ascii="Times New Roman" w:hAnsi="Times New Roman" w:eastAsia="宋体" w:cs="Times New Roman"/>
          <w:b/>
          <w:sz w:val="30"/>
          <w:szCs w:val="30"/>
        </w:rP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765"/>
        <w:gridCol w:w="2520"/>
      </w:tblGrid>
      <w:tr w14:paraId="23EE3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7EF3C402">
            <w:pPr>
              <w:jc w:val="center"/>
              <w:rPr>
                <w:rFonts w:ascii="Times New Roman" w:hAnsi="Times New Roman" w:eastAsia="宋体" w:cs="Times New Roman"/>
                <w:sz w:val="24"/>
              </w:rPr>
            </w:pPr>
            <w:r>
              <w:rPr>
                <w:rFonts w:ascii="Times New Roman" w:hAnsi="Times New Roman" w:eastAsia="宋体" w:cs="Times New Roman"/>
                <w:sz w:val="24"/>
              </w:rPr>
              <w:t>包号</w:t>
            </w:r>
          </w:p>
        </w:tc>
        <w:tc>
          <w:tcPr>
            <w:tcW w:w="2640" w:type="dxa"/>
            <w:noWrap w:val="0"/>
            <w:vAlign w:val="center"/>
          </w:tcPr>
          <w:p w14:paraId="11DEF91F">
            <w:pPr>
              <w:jc w:val="center"/>
              <w:rPr>
                <w:rFonts w:ascii="Times New Roman" w:hAnsi="Times New Roman" w:eastAsia="宋体" w:cs="Times New Roman"/>
                <w:sz w:val="24"/>
              </w:rPr>
            </w:pPr>
            <w:r>
              <w:rPr>
                <w:rFonts w:ascii="Times New Roman" w:hAnsi="Times New Roman" w:eastAsia="宋体" w:cs="Times New Roman"/>
                <w:sz w:val="24"/>
              </w:rPr>
              <w:t>货物名称</w:t>
            </w:r>
          </w:p>
        </w:tc>
        <w:tc>
          <w:tcPr>
            <w:tcW w:w="635" w:type="dxa"/>
            <w:noWrap w:val="0"/>
            <w:vAlign w:val="center"/>
          </w:tcPr>
          <w:p w14:paraId="675FF44D">
            <w:pPr>
              <w:jc w:val="center"/>
              <w:rPr>
                <w:rFonts w:ascii="Times New Roman" w:hAnsi="Times New Roman" w:eastAsia="宋体" w:cs="Times New Roman"/>
                <w:sz w:val="24"/>
              </w:rPr>
            </w:pPr>
            <w:r>
              <w:rPr>
                <w:rFonts w:ascii="Times New Roman" w:hAnsi="Times New Roman" w:eastAsia="宋体" w:cs="Times New Roman"/>
                <w:sz w:val="24"/>
              </w:rPr>
              <w:t>数量</w:t>
            </w:r>
          </w:p>
        </w:tc>
        <w:tc>
          <w:tcPr>
            <w:tcW w:w="1765" w:type="dxa"/>
            <w:noWrap w:val="0"/>
            <w:vAlign w:val="center"/>
          </w:tcPr>
          <w:p w14:paraId="78178E8C">
            <w:pPr>
              <w:jc w:val="center"/>
              <w:rPr>
                <w:rFonts w:ascii="Times New Roman" w:hAnsi="Times New Roman" w:eastAsia="宋体" w:cs="Times New Roman"/>
                <w:sz w:val="24"/>
              </w:rPr>
            </w:pPr>
            <w:r>
              <w:rPr>
                <w:rFonts w:ascii="Times New Roman" w:hAnsi="Times New Roman" w:eastAsia="宋体" w:cs="Times New Roman"/>
                <w:sz w:val="24"/>
              </w:rPr>
              <w:t>交货期</w:t>
            </w:r>
          </w:p>
        </w:tc>
        <w:tc>
          <w:tcPr>
            <w:tcW w:w="2520" w:type="dxa"/>
            <w:noWrap w:val="0"/>
            <w:vAlign w:val="center"/>
          </w:tcPr>
          <w:p w14:paraId="5DCC3C03">
            <w:pPr>
              <w:jc w:val="center"/>
              <w:rPr>
                <w:rFonts w:ascii="Times New Roman" w:hAnsi="Times New Roman" w:eastAsia="宋体" w:cs="Times New Roman"/>
                <w:sz w:val="24"/>
              </w:rPr>
            </w:pPr>
            <w:r>
              <w:rPr>
                <w:rFonts w:ascii="Times New Roman" w:hAnsi="Times New Roman" w:eastAsia="宋体" w:cs="Times New Roman"/>
                <w:sz w:val="24"/>
              </w:rPr>
              <w:t>交货地点</w:t>
            </w:r>
          </w:p>
        </w:tc>
      </w:tr>
      <w:tr w14:paraId="5E5AF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0A294058">
            <w:pPr>
              <w:jc w:val="center"/>
              <w:rPr>
                <w:rFonts w:ascii="Times New Roman" w:hAnsi="Times New Roman" w:eastAsia="宋体" w:cs="Times New Roman"/>
                <w:sz w:val="24"/>
              </w:rPr>
            </w:pPr>
            <w:r>
              <w:rPr>
                <w:rFonts w:ascii="Times New Roman" w:hAnsi="Times New Roman" w:eastAsia="宋体" w:cs="Times New Roman"/>
                <w:sz w:val="24"/>
              </w:rPr>
              <w:t>1</w:t>
            </w:r>
          </w:p>
        </w:tc>
        <w:tc>
          <w:tcPr>
            <w:tcW w:w="2640" w:type="dxa"/>
            <w:noWrap w:val="0"/>
            <w:vAlign w:val="center"/>
          </w:tcPr>
          <w:p w14:paraId="11D0BCD6">
            <w:pPr>
              <w:jc w:val="center"/>
              <w:rPr>
                <w:rFonts w:ascii="Times New Roman" w:hAnsi="Times New Roman" w:eastAsia="宋体" w:cs="Times New Roman"/>
                <w:sz w:val="24"/>
              </w:rPr>
            </w:pPr>
            <w:r>
              <w:rPr>
                <w:rFonts w:ascii="Times New Roman" w:hAnsi="Times New Roman" w:eastAsia="宋体" w:cs="Times New Roman"/>
                <w:sz w:val="24"/>
              </w:rPr>
              <w:t>机载激光雷达</w:t>
            </w:r>
          </w:p>
        </w:tc>
        <w:tc>
          <w:tcPr>
            <w:tcW w:w="635" w:type="dxa"/>
            <w:noWrap w:val="0"/>
            <w:vAlign w:val="center"/>
          </w:tcPr>
          <w:p w14:paraId="685A8631">
            <w:pPr>
              <w:jc w:val="center"/>
              <w:rPr>
                <w:rFonts w:ascii="Times New Roman" w:hAnsi="Times New Roman" w:eastAsia="宋体" w:cs="Times New Roman"/>
                <w:sz w:val="24"/>
              </w:rPr>
            </w:pPr>
            <w:r>
              <w:rPr>
                <w:rFonts w:ascii="Times New Roman" w:hAnsi="Times New Roman" w:eastAsia="宋体" w:cs="Times New Roman"/>
                <w:sz w:val="24"/>
              </w:rPr>
              <w:t>1</w:t>
            </w:r>
          </w:p>
        </w:tc>
        <w:tc>
          <w:tcPr>
            <w:tcW w:w="1765" w:type="dxa"/>
            <w:noWrap w:val="0"/>
            <w:vAlign w:val="center"/>
          </w:tcPr>
          <w:p w14:paraId="1AC9E1F7">
            <w:pPr>
              <w:jc w:val="center"/>
              <w:rPr>
                <w:rFonts w:ascii="Times New Roman" w:hAnsi="Times New Roman" w:eastAsia="宋体" w:cs="Times New Roman"/>
                <w:sz w:val="24"/>
              </w:rPr>
            </w:pPr>
            <w:r>
              <w:rPr>
                <w:rFonts w:ascii="Times New Roman" w:hAnsi="Times New Roman" w:eastAsia="宋体" w:cs="Times New Roman"/>
                <w:sz w:val="24"/>
              </w:rPr>
              <w:t>招标方与中标方供货合同签署生效后1个月内</w:t>
            </w:r>
          </w:p>
        </w:tc>
        <w:tc>
          <w:tcPr>
            <w:tcW w:w="2520" w:type="dxa"/>
            <w:noWrap w:val="0"/>
            <w:vAlign w:val="center"/>
          </w:tcPr>
          <w:p w14:paraId="5D433968">
            <w:pPr>
              <w:jc w:val="center"/>
              <w:rPr>
                <w:rFonts w:ascii="Times New Roman" w:hAnsi="Times New Roman" w:eastAsia="宋体" w:cs="Times New Roman"/>
                <w:sz w:val="24"/>
              </w:rPr>
            </w:pPr>
            <w:r>
              <w:rPr>
                <w:rFonts w:ascii="Times New Roman" w:hAnsi="Times New Roman" w:eastAsia="宋体" w:cs="Times New Roman"/>
                <w:sz w:val="24"/>
              </w:rPr>
              <w:t>广州市天河区兴科路723号中国科学院华南植物园科研区</w:t>
            </w:r>
          </w:p>
        </w:tc>
      </w:tr>
    </w:tbl>
    <w:p w14:paraId="4B8E74C7">
      <w:pPr>
        <w:adjustRightInd w:val="0"/>
        <w:snapToGrid w:val="0"/>
        <w:jc w:val="center"/>
        <w:rPr>
          <w:rFonts w:ascii="Times New Roman" w:hAnsi="Times New Roman" w:eastAsia="宋体" w:cs="Times New Roman"/>
          <w:b/>
          <w:sz w:val="30"/>
          <w:szCs w:val="30"/>
        </w:rPr>
      </w:pPr>
    </w:p>
    <w:p w14:paraId="07E62E8F">
      <w:pPr>
        <w:adjustRightInd w:val="0"/>
        <w:snapToGrid w:val="0"/>
        <w:jc w:val="center"/>
        <w:rPr>
          <w:rFonts w:ascii="Times New Roman" w:hAnsi="Times New Roman" w:eastAsia="宋体" w:cs="Times New Roman"/>
          <w:b/>
          <w:sz w:val="30"/>
          <w:szCs w:val="30"/>
        </w:rPr>
      </w:pPr>
    </w:p>
    <w:p w14:paraId="177BF959">
      <w:pPr>
        <w:rPr>
          <w:rFonts w:ascii="Times New Roman" w:hAnsi="Times New Roman" w:eastAsia="宋体" w:cs="Times New Roman"/>
          <w:sz w:val="24"/>
        </w:rPr>
      </w:pPr>
      <w:r>
        <w:rPr>
          <w:rFonts w:ascii="Times New Roman" w:hAnsi="Times New Roman" w:eastAsia="宋体" w:cs="Times New Roman"/>
          <w:sz w:val="24"/>
        </w:rPr>
        <w:t>注：投标人须对上述投标内容中完整的一包或几包进行投标，不完整的投标将视为非响应性投标予以拒绝。</w:t>
      </w:r>
    </w:p>
    <w:p w14:paraId="3112991F">
      <w:pPr>
        <w:adjustRightInd w:val="0"/>
        <w:snapToGrid w:val="0"/>
        <w:rPr>
          <w:rFonts w:ascii="Times New Roman" w:hAnsi="Times New Roman" w:eastAsia="宋体" w:cs="Times New Roman"/>
          <w:szCs w:val="21"/>
        </w:rPr>
      </w:pPr>
    </w:p>
    <w:p w14:paraId="11EF8373">
      <w:pPr>
        <w:adjustRightInd w:val="0"/>
        <w:snapToGrid w:val="0"/>
        <w:rPr>
          <w:rFonts w:ascii="Times New Roman" w:hAnsi="Times New Roman" w:eastAsia="宋体" w:cs="Times New Roman"/>
          <w:szCs w:val="21"/>
        </w:rPr>
      </w:pPr>
    </w:p>
    <w:p w14:paraId="6B3392F5">
      <w:pPr>
        <w:adjustRightInd w:val="0"/>
        <w:snapToGrid w:val="0"/>
        <w:rPr>
          <w:rFonts w:ascii="Times New Roman" w:hAnsi="Times New Roman" w:eastAsia="宋体" w:cs="Times New Roman"/>
          <w:szCs w:val="21"/>
        </w:rPr>
      </w:pPr>
    </w:p>
    <w:p w14:paraId="628A94CF">
      <w:pPr>
        <w:adjustRightInd w:val="0"/>
        <w:snapToGrid w:val="0"/>
        <w:rPr>
          <w:rFonts w:ascii="Times New Roman" w:hAnsi="Times New Roman" w:eastAsia="宋体" w:cs="Times New Roman"/>
          <w:szCs w:val="21"/>
        </w:rPr>
      </w:pPr>
    </w:p>
    <w:p w14:paraId="6B4BFBC1">
      <w:pPr>
        <w:adjustRightInd w:val="0"/>
        <w:snapToGrid w:val="0"/>
        <w:rPr>
          <w:rFonts w:ascii="Times New Roman" w:hAnsi="Times New Roman" w:eastAsia="宋体" w:cs="Times New Roman"/>
          <w:szCs w:val="21"/>
        </w:rPr>
      </w:pPr>
    </w:p>
    <w:p w14:paraId="147CB706">
      <w:pPr>
        <w:adjustRightInd w:val="0"/>
        <w:snapToGrid w:val="0"/>
        <w:rPr>
          <w:rFonts w:ascii="Times New Roman" w:hAnsi="Times New Roman" w:eastAsia="宋体" w:cs="Times New Roman"/>
          <w:szCs w:val="21"/>
        </w:rPr>
      </w:pPr>
    </w:p>
    <w:p w14:paraId="69956A3B">
      <w:pPr>
        <w:adjustRightInd w:val="0"/>
        <w:snapToGrid w:val="0"/>
        <w:rPr>
          <w:rFonts w:ascii="Times New Roman" w:hAnsi="Times New Roman" w:eastAsia="宋体" w:cs="Times New Roman"/>
          <w:szCs w:val="21"/>
        </w:rPr>
      </w:pPr>
    </w:p>
    <w:p w14:paraId="18D63DDC">
      <w:pPr>
        <w:adjustRightInd w:val="0"/>
        <w:snapToGrid w:val="0"/>
        <w:rPr>
          <w:rFonts w:ascii="Times New Roman" w:hAnsi="Times New Roman" w:eastAsia="宋体" w:cs="Times New Roman"/>
          <w:szCs w:val="21"/>
        </w:rPr>
      </w:pPr>
    </w:p>
    <w:p w14:paraId="76A768FD">
      <w:pPr>
        <w:adjustRightInd w:val="0"/>
        <w:snapToGrid w:val="0"/>
        <w:rPr>
          <w:rFonts w:ascii="Times New Roman" w:hAnsi="Times New Roman" w:eastAsia="宋体" w:cs="Times New Roman"/>
          <w:szCs w:val="21"/>
        </w:rPr>
      </w:pPr>
    </w:p>
    <w:p w14:paraId="4F931E9B">
      <w:pPr>
        <w:adjustRightInd w:val="0"/>
        <w:snapToGrid w:val="0"/>
        <w:rPr>
          <w:rFonts w:ascii="Times New Roman" w:hAnsi="Times New Roman" w:eastAsia="宋体" w:cs="Times New Roman"/>
          <w:szCs w:val="21"/>
        </w:rPr>
      </w:pPr>
    </w:p>
    <w:p w14:paraId="1BFA59E1">
      <w:pPr>
        <w:adjustRightInd w:val="0"/>
        <w:snapToGrid w:val="0"/>
        <w:rPr>
          <w:rFonts w:ascii="Times New Roman" w:hAnsi="Times New Roman" w:eastAsia="宋体" w:cs="Times New Roman"/>
          <w:szCs w:val="21"/>
        </w:rPr>
      </w:pPr>
    </w:p>
    <w:p w14:paraId="0167651D">
      <w:pPr>
        <w:adjustRightInd w:val="0"/>
        <w:snapToGrid w:val="0"/>
        <w:rPr>
          <w:rFonts w:ascii="Times New Roman" w:hAnsi="Times New Roman" w:eastAsia="宋体" w:cs="Times New Roman"/>
          <w:szCs w:val="21"/>
        </w:rPr>
      </w:pPr>
    </w:p>
    <w:p w14:paraId="033AAB78">
      <w:pPr>
        <w:adjustRightInd w:val="0"/>
        <w:snapToGrid w:val="0"/>
        <w:rPr>
          <w:rFonts w:ascii="Times New Roman" w:hAnsi="Times New Roman" w:eastAsia="宋体" w:cs="Times New Roman"/>
          <w:b/>
          <w:sz w:val="30"/>
          <w:szCs w:val="30"/>
        </w:rPr>
      </w:pPr>
      <w:r>
        <w:rPr>
          <w:rFonts w:ascii="Times New Roman" w:hAnsi="Times New Roman" w:eastAsia="宋体" w:cs="Times New Roman"/>
          <w:b/>
          <w:sz w:val="30"/>
          <w:szCs w:val="30"/>
        </w:rPr>
        <w:br w:type="page"/>
      </w:r>
    </w:p>
    <w:p w14:paraId="6817C9CF">
      <w:pPr>
        <w:numPr>
          <w:ilvl w:val="2"/>
          <w:numId w:val="0"/>
        </w:numPr>
        <w:tabs>
          <w:tab w:val="left" w:pos="720"/>
        </w:tabs>
        <w:adjustRightInd w:val="0"/>
        <w:snapToGrid w:val="0"/>
        <w:ind w:left="1560" w:hanging="1560"/>
        <w:jc w:val="center"/>
        <w:rPr>
          <w:rFonts w:ascii="Times New Roman" w:hAnsi="Times New Roman" w:eastAsia="宋体" w:cs="Times New Roman"/>
          <w:b/>
          <w:sz w:val="30"/>
          <w:szCs w:val="30"/>
        </w:rPr>
      </w:pPr>
      <w:r>
        <w:rPr>
          <w:rFonts w:ascii="Times New Roman" w:hAnsi="Times New Roman" w:eastAsia="宋体" w:cs="Times New Roman"/>
          <w:b/>
          <w:sz w:val="30"/>
          <w:szCs w:val="30"/>
        </w:rPr>
        <w:t>二、总则</w:t>
      </w:r>
    </w:p>
    <w:p w14:paraId="5302DAD4">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1、投标要求</w:t>
      </w:r>
    </w:p>
    <w:p w14:paraId="50F4F3BC">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1.1  投标人在准备投标书时，务必在所提供的商品的技术规格文件中，标明型号、商标名称、目录号。</w:t>
      </w:r>
    </w:p>
    <w:p w14:paraId="6E4D6D6A">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7A04F90">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1.3  投标人提供的产品样本，必须是“原件”而非复印件，图表、简图、电路图以及印刷电路板图等都应清晰易读。买方有权不付任何附加费用复制这些资料以供参考。</w:t>
      </w:r>
    </w:p>
    <w:p w14:paraId="4767CE1B">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DD5F74F">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2、评标标准</w:t>
      </w:r>
    </w:p>
    <w:p w14:paraId="78CDF290">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2F5A85D9">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5723E5BB">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2.3  为便于用户进行接收仪器的准备工作，卖方应在合同生效后</w:t>
      </w:r>
      <w:r>
        <w:rPr>
          <w:rFonts w:ascii="Times New Roman" w:hAnsi="Times New Roman" w:eastAsia="宋体" w:cs="Times New Roman"/>
          <w:b/>
          <w:sz w:val="24"/>
        </w:rPr>
        <w:t>60</w:t>
      </w:r>
      <w:r>
        <w:rPr>
          <w:rFonts w:ascii="Times New Roman" w:hAnsi="Times New Roman" w:eastAsia="宋体" w:cs="Times New Roman"/>
          <w:sz w:val="24"/>
        </w:rPr>
        <w:t>天内向用户提供一套完整的使用说明书、操作手册、维修及安装说明等文件。另一套完整上述资料应在交货时随货包装提供给用户，这些费用应计入投标价中。</w:t>
      </w:r>
    </w:p>
    <w:p w14:paraId="471AF0CA">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2.4  关于设备的安装调试，如果有必要的安装准备条件，卖方应在合同生效后一个月内向买方提出详细的要求或计划。安装调试的费用应计入投标价中，并应单独列出，供评标使用。</w:t>
      </w:r>
    </w:p>
    <w:p w14:paraId="4296AFCF">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2.5  制造厂家提供的培训指的是涉及货物的基本原理、操作使用和保养维修等有关内容的培训。培训教员的培训费、旅费、食宿费等费用和培训场地费及培训资料费均应由卖方支付。</w:t>
      </w:r>
    </w:p>
    <w:p w14:paraId="6942E17B">
      <w:pPr>
        <w:spacing w:line="360" w:lineRule="auto"/>
        <w:ind w:left="554" w:hanging="554" w:hangingChars="231"/>
        <w:rPr>
          <w:rFonts w:ascii="Times New Roman" w:hAnsi="Times New Roman" w:eastAsia="宋体" w:cs="Times New Roman"/>
          <w:sz w:val="24"/>
        </w:rPr>
      </w:pPr>
    </w:p>
    <w:p w14:paraId="69133A73">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3、工作条件</w:t>
      </w:r>
    </w:p>
    <w:p w14:paraId="2CD22303">
      <w:pPr>
        <w:spacing w:after="312" w:afterLines="100" w:line="360" w:lineRule="auto"/>
        <w:rPr>
          <w:rFonts w:ascii="Times New Roman" w:hAnsi="Times New Roman" w:eastAsia="宋体" w:cs="Times New Roman"/>
          <w:sz w:val="24"/>
        </w:rPr>
      </w:pPr>
      <w:r>
        <w:rPr>
          <w:rFonts w:ascii="Times New Roman" w:hAnsi="Times New Roman" w:eastAsia="宋体" w:cs="Times New Roman"/>
          <w:sz w:val="24"/>
        </w:rPr>
        <w:t xml:space="preserve">除非在技术规格中另有说明，所有仪器、设备和系统都应符合下列要求： </w:t>
      </w:r>
    </w:p>
    <w:p w14:paraId="1231DF04">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3.1  适于在气温为摄氏</w:t>
      </w:r>
      <w:r>
        <w:rPr>
          <w:rFonts w:ascii="Times New Roman" w:hAnsi="Times New Roman" w:eastAsia="宋体" w:cs="Times New Roman"/>
          <w:b/>
          <w:sz w:val="24"/>
        </w:rPr>
        <w:t>-40℃～＋50℃</w:t>
      </w:r>
      <w:r>
        <w:rPr>
          <w:rFonts w:ascii="Times New Roman" w:hAnsi="Times New Roman" w:eastAsia="宋体" w:cs="Times New Roman"/>
          <w:sz w:val="24"/>
        </w:rPr>
        <w:t>和相对湿度为</w:t>
      </w:r>
      <w:r>
        <w:rPr>
          <w:rFonts w:ascii="Times New Roman" w:hAnsi="Times New Roman" w:eastAsia="宋体" w:cs="Times New Roman"/>
          <w:b/>
          <w:sz w:val="24"/>
        </w:rPr>
        <w:t>90％</w:t>
      </w:r>
      <w:r>
        <w:rPr>
          <w:rFonts w:ascii="Times New Roman" w:hAnsi="Times New Roman" w:eastAsia="宋体" w:cs="Times New Roman"/>
          <w:sz w:val="24"/>
        </w:rPr>
        <w:t>的环境条件下运输和贮存。</w:t>
      </w:r>
    </w:p>
    <w:p w14:paraId="637A3738">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3.2  适于在电源</w:t>
      </w:r>
      <w:r>
        <w:rPr>
          <w:rFonts w:ascii="Times New Roman" w:hAnsi="Times New Roman" w:eastAsia="宋体" w:cs="Times New Roman"/>
          <w:b/>
          <w:sz w:val="24"/>
        </w:rPr>
        <w:t>220V（</w:t>
      </w:r>
      <w:r>
        <w:rPr>
          <w:rFonts w:ascii="Times New Roman" w:hAnsi="Times New Roman" w:eastAsia="宋体" w:cs="Times New Roman"/>
          <w:b/>
          <w:sz w:val="24"/>
        </w:rPr>
        <w:sym w:font="??" w:char="F0B1"/>
      </w:r>
      <w:r>
        <w:rPr>
          <w:rFonts w:ascii="Times New Roman" w:hAnsi="Times New Roman" w:eastAsia="宋体" w:cs="Times New Roman"/>
          <w:b/>
          <w:sz w:val="24"/>
        </w:rPr>
        <w:t>10％）/50Hz</w:t>
      </w:r>
      <w:r>
        <w:rPr>
          <w:rFonts w:ascii="Times New Roman" w:hAnsi="Times New Roman" w:eastAsia="宋体" w:cs="Times New Roman"/>
          <w:sz w:val="24"/>
        </w:rPr>
        <w:t>、气温摄氏</w:t>
      </w:r>
      <w:r>
        <w:rPr>
          <w:rFonts w:ascii="Times New Roman" w:hAnsi="Times New Roman" w:eastAsia="宋体" w:cs="Times New Roman"/>
          <w:b/>
          <w:sz w:val="24"/>
        </w:rPr>
        <w:t>+15℃～＋30℃</w:t>
      </w:r>
      <w:r>
        <w:rPr>
          <w:rFonts w:ascii="Times New Roman" w:hAnsi="Times New Roman" w:eastAsia="宋体" w:cs="Times New Roman"/>
          <w:sz w:val="24"/>
        </w:rPr>
        <w:t>和相对湿度小于</w:t>
      </w:r>
      <w:r>
        <w:rPr>
          <w:rFonts w:ascii="Times New Roman" w:hAnsi="Times New Roman" w:eastAsia="宋体" w:cs="Times New Roman"/>
          <w:b/>
          <w:sz w:val="24"/>
        </w:rPr>
        <w:t>80％</w:t>
      </w:r>
      <w:r>
        <w:rPr>
          <w:rFonts w:ascii="Times New Roman" w:hAnsi="Times New Roman" w:eastAsia="宋体" w:cs="Times New Roman"/>
          <w:sz w:val="24"/>
        </w:rPr>
        <w:t>的环境条件下运行。</w:t>
      </w:r>
      <w:r>
        <w:rPr>
          <w:rFonts w:ascii="Times New Roman" w:hAnsi="Times New Roman" w:eastAsia="宋体" w:cs="Times New Roman"/>
          <w:b/>
          <w:sz w:val="24"/>
        </w:rPr>
        <w:t>能够连续正常工作。</w:t>
      </w:r>
    </w:p>
    <w:p w14:paraId="29CC6E53">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3.3  配置符合中国有关标准要求的插头，如果没有这样的插头，则需提供适当的转换插座。</w:t>
      </w:r>
    </w:p>
    <w:p w14:paraId="3F126B80">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3.4  如产品达不到上述要求，投标人应注明其偏差。如仪器设备需要特殊工作条件（如水、电源、磁场强度、温度、湿度、动强度等）投标人应在投标书中加以说明。</w:t>
      </w:r>
    </w:p>
    <w:p w14:paraId="78F58E99">
      <w:pPr>
        <w:rPr>
          <w:rFonts w:ascii="Times New Roman" w:hAnsi="Times New Roman" w:eastAsia="宋体" w:cs="Times New Roman"/>
          <w:b/>
          <w:bCs/>
          <w:kern w:val="44"/>
          <w:sz w:val="24"/>
        </w:rPr>
      </w:pPr>
    </w:p>
    <w:p w14:paraId="29EE1E5D">
      <w:pPr>
        <w:spacing w:before="156" w:beforeLines="50" w:after="156" w:afterLines="50" w:line="360" w:lineRule="auto"/>
        <w:ind w:left="601" w:hanging="601"/>
        <w:rPr>
          <w:rFonts w:ascii="Times New Roman" w:hAnsi="Times New Roman" w:eastAsia="宋体" w:cs="Times New Roman"/>
          <w:b/>
          <w:sz w:val="28"/>
        </w:rPr>
      </w:pPr>
      <w:r>
        <w:rPr>
          <w:rFonts w:ascii="Times New Roman" w:hAnsi="Times New Roman" w:eastAsia="宋体" w:cs="Times New Roman"/>
          <w:b/>
          <w:sz w:val="28"/>
        </w:rPr>
        <w:t>4、验收标准</w:t>
      </w:r>
    </w:p>
    <w:p w14:paraId="0C8F28A2">
      <w:pPr>
        <w:spacing w:after="312" w:afterLines="100" w:line="360" w:lineRule="auto"/>
        <w:rPr>
          <w:rFonts w:ascii="Times New Roman" w:hAnsi="Times New Roman" w:eastAsia="宋体" w:cs="Times New Roman"/>
          <w:sz w:val="24"/>
        </w:rPr>
      </w:pPr>
      <w:r>
        <w:rPr>
          <w:rFonts w:ascii="Times New Roman" w:hAnsi="Times New Roman" w:eastAsia="宋体" w:cs="Times New Roman"/>
          <w:sz w:val="24"/>
        </w:rPr>
        <w:t xml:space="preserve">除非在技术规格中另有说明，所有仪器、设备和系统按下列要求进行验收： </w:t>
      </w:r>
    </w:p>
    <w:p w14:paraId="043CD0FD">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4.1  仪器设备运抵安装现场后，买方将与卖方共同开箱验收, 如卖方届时不派人来, 则验收结果应以买方的验收报告为最终验收结果。验收时发现短缺、破损, 买方有权要求卖方负责更换。</w:t>
      </w:r>
    </w:p>
    <w:p w14:paraId="26EE9C0F">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21681880">
      <w:pPr>
        <w:spacing w:line="360" w:lineRule="auto"/>
        <w:ind w:left="554" w:hanging="554" w:hangingChars="231"/>
        <w:rPr>
          <w:rFonts w:ascii="Times New Roman" w:hAnsi="Times New Roman" w:eastAsia="宋体" w:cs="Times New Roman"/>
          <w:sz w:val="24"/>
        </w:rPr>
      </w:pPr>
      <w:r>
        <w:rPr>
          <w:rFonts w:ascii="Times New Roman" w:hAnsi="Times New Roman" w:eastAsia="宋体" w:cs="Times New Roman"/>
          <w:sz w:val="24"/>
        </w:rPr>
        <w:t>4.3  验收由采购人、中标人及相关人员依国家有关标准、合同及有关附件要求进行，验收完毕由采购人及中标人在验收报告上签名。</w:t>
      </w:r>
    </w:p>
    <w:p w14:paraId="29F0DFDE">
      <w:pPr>
        <w:pStyle w:val="2"/>
        <w:spacing w:line="360" w:lineRule="auto"/>
        <w:ind w:left="410" w:hanging="410" w:hangingChars="170"/>
        <w:rPr>
          <w:rFonts w:ascii="Times New Roman" w:hAnsi="Times New Roman" w:eastAsia="宋体" w:cs="Times New Roman"/>
          <w:b/>
          <w:sz w:val="24"/>
          <w:szCs w:val="24"/>
        </w:rPr>
      </w:pPr>
    </w:p>
    <w:p w14:paraId="10568079">
      <w:pPr>
        <w:pStyle w:val="2"/>
        <w:spacing w:line="360" w:lineRule="auto"/>
        <w:ind w:left="410" w:hanging="410" w:hangingChars="170"/>
        <w:rPr>
          <w:rFonts w:ascii="Times New Roman" w:hAnsi="Times New Roman" w:eastAsia="宋体" w:cs="Times New Roman"/>
          <w:b/>
          <w:sz w:val="24"/>
          <w:szCs w:val="24"/>
        </w:rPr>
      </w:pPr>
      <w:r>
        <w:rPr>
          <w:rFonts w:ascii="Times New Roman" w:hAnsi="Times New Roman" w:eastAsia="宋体" w:cs="Times New Roman"/>
          <w:b/>
          <w:sz w:val="24"/>
          <w:szCs w:val="24"/>
        </w:rPr>
        <w:t>5、本技术规格书中标注“</w:t>
      </w:r>
      <w:r>
        <w:rPr>
          <w:rFonts w:hint="eastAsia" w:ascii="Times New Roman" w:hAnsi="Times New Roman" w:eastAsia="宋体" w:cs="Times New Roman"/>
          <w:b/>
          <w:sz w:val="24"/>
          <w:szCs w:val="24"/>
          <w:lang w:eastAsia="zh-CN"/>
        </w:rPr>
        <w:t>★</w:t>
      </w:r>
      <w:r>
        <w:rPr>
          <w:rFonts w:ascii="Times New Roman" w:hAnsi="Times New Roman" w:eastAsia="宋体" w:cs="Times New Roman"/>
          <w:b/>
          <w:sz w:val="24"/>
          <w:szCs w:val="24"/>
        </w:rPr>
        <w:t>”号的为实质性要求，不满足其投标将被拒绝。</w:t>
      </w:r>
    </w:p>
    <w:p w14:paraId="606C366B">
      <w:pPr>
        <w:pStyle w:val="2"/>
        <w:spacing w:line="360" w:lineRule="auto"/>
        <w:rPr>
          <w:rFonts w:ascii="Times New Roman" w:hAnsi="Times New Roman" w:eastAsia="宋体" w:cs="Times New Roman"/>
          <w:b/>
          <w:sz w:val="24"/>
          <w:szCs w:val="24"/>
        </w:rPr>
      </w:pPr>
    </w:p>
    <w:p w14:paraId="2256FD69">
      <w:pPr>
        <w:pStyle w:val="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6、如在具体技术规格中有本总则不一致之处，以具体技术规格中的要求为准。</w:t>
      </w:r>
    </w:p>
    <w:p w14:paraId="652023E2">
      <w:pPr>
        <w:spacing w:after="156" w:afterLines="50"/>
        <w:ind w:left="601" w:hanging="601"/>
        <w:rPr>
          <w:rFonts w:ascii="Times New Roman" w:hAnsi="Times New Roman" w:eastAsia="宋体" w:cs="Times New Roman"/>
          <w:b/>
          <w:sz w:val="28"/>
        </w:rPr>
      </w:pPr>
      <w:r>
        <w:rPr>
          <w:rFonts w:ascii="Times New Roman" w:hAnsi="Times New Roman" w:eastAsia="宋体" w:cs="Times New Roman"/>
          <w:b/>
          <w:sz w:val="28"/>
        </w:rPr>
        <w:br w:type="page"/>
      </w:r>
      <w:r>
        <w:rPr>
          <w:rFonts w:ascii="Times New Roman" w:hAnsi="Times New Roman" w:eastAsia="宋体" w:cs="Times New Roman"/>
          <w:b/>
          <w:sz w:val="28"/>
        </w:rPr>
        <w:t>三、具体技术规格</w:t>
      </w:r>
    </w:p>
    <w:p w14:paraId="045913D1">
      <w:pPr>
        <w:jc w:val="center"/>
        <w:rPr>
          <w:rFonts w:ascii="Times New Roman" w:hAnsi="Times New Roman" w:eastAsia="宋体" w:cs="Times New Roman"/>
          <w:b/>
          <w:bCs/>
          <w:sz w:val="32"/>
          <w:szCs w:val="32"/>
        </w:rPr>
      </w:pPr>
      <w:r>
        <w:rPr>
          <w:rFonts w:ascii="Times New Roman" w:hAnsi="Times New Roman" w:eastAsia="宋体" w:cs="Times New Roman"/>
          <w:b/>
          <w:bCs/>
          <w:sz w:val="32"/>
          <w:szCs w:val="32"/>
        </w:rPr>
        <w:t>机载激光雷达</w:t>
      </w:r>
    </w:p>
    <w:p w14:paraId="7FA0A920">
      <w:pPr>
        <w:numPr>
          <w:ilvl w:val="0"/>
          <w:numId w:val="1"/>
        </w:numPr>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sz w:val="24"/>
        </w:rPr>
        <w:t>工作条件：</w:t>
      </w:r>
    </w:p>
    <w:p w14:paraId="2E224913">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1.1适于在气温-40℃～＋50℃和相对湿度小于90％的环境条件下运输和贮存。</w:t>
      </w:r>
    </w:p>
    <w:p w14:paraId="4EBADEFB">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1.2 适于在气温摄氏-20℃-50℃和相对湿度小于80％的环境条件下运行。能够连续正常工作。</w:t>
      </w:r>
    </w:p>
    <w:p w14:paraId="03B81B8A">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1.3配置符合中国有关标准要求的插头，如果没有这样的插头，则需提供适当的转换插座。</w:t>
      </w:r>
    </w:p>
    <w:p w14:paraId="730171FB">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1.4</w:t>
      </w:r>
      <w:r>
        <w:rPr>
          <w:rFonts w:hint="eastAsia" w:ascii="Times New Roman" w:hAnsi="Times New Roman" w:eastAsia="宋体" w:cs="Times New Roman"/>
          <w:sz w:val="24"/>
          <w:lang w:eastAsia="zh-CN"/>
        </w:rPr>
        <w:t>★</w:t>
      </w:r>
      <w:r>
        <w:rPr>
          <w:rFonts w:ascii="Times New Roman" w:hAnsi="Times New Roman" w:eastAsia="宋体" w:cs="Times New Roman"/>
          <w:sz w:val="24"/>
        </w:rPr>
        <w:t xml:space="preserve">为重要技术指标，须完全响应, </w:t>
      </w:r>
      <w:r>
        <w:rPr>
          <w:rFonts w:hint="eastAsia" w:ascii="Times New Roman" w:hAnsi="Times New Roman" w:eastAsia="宋体" w:cs="Times New Roman"/>
          <w:sz w:val="24"/>
          <w:lang w:eastAsia="zh-CN"/>
        </w:rPr>
        <w:t>★</w:t>
      </w:r>
      <w:r>
        <w:rPr>
          <w:rFonts w:ascii="Times New Roman" w:hAnsi="Times New Roman" w:eastAsia="宋体" w:cs="Times New Roman"/>
          <w:sz w:val="24"/>
        </w:rPr>
        <w:t>号参数必须在投标文件中提供技术支持资料。技术支持资料，以产品制造商公开发布的印刷资料或技术白皮书或检测机构出具的检测报告进行确证。</w:t>
      </w:r>
    </w:p>
    <w:p w14:paraId="6AAD7C9C">
      <w:pPr>
        <w:adjustRightInd w:val="0"/>
        <w:snapToGrid w:val="0"/>
        <w:spacing w:line="360" w:lineRule="auto"/>
        <w:rPr>
          <w:rFonts w:ascii="Times New Roman" w:hAnsi="Times New Roman" w:eastAsia="宋体" w:cs="Times New Roman"/>
          <w:b/>
          <w:sz w:val="24"/>
        </w:rPr>
      </w:pPr>
    </w:p>
    <w:p w14:paraId="60091157">
      <w:pPr>
        <w:numPr>
          <w:ilvl w:val="0"/>
          <w:numId w:val="1"/>
        </w:numPr>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sz w:val="24"/>
        </w:rPr>
        <w:t>设备用途：</w:t>
      </w:r>
    </w:p>
    <w:p w14:paraId="085A2896">
      <w:pPr>
        <w:adjustRightInd w:val="0"/>
        <w:snapToGrid w:val="0"/>
        <w:spacing w:line="360" w:lineRule="auto"/>
        <w:ind w:left="425" w:firstLine="480" w:firstLineChars="200"/>
        <w:rPr>
          <w:rFonts w:ascii="Times New Roman" w:hAnsi="Times New Roman" w:eastAsia="宋体" w:cs="Times New Roman"/>
          <w:sz w:val="24"/>
        </w:rPr>
      </w:pPr>
      <w:r>
        <w:rPr>
          <w:rFonts w:ascii="Times New Roman" w:hAnsi="Times New Roman" w:eastAsia="宋体" w:cs="Times New Roman"/>
          <w:sz w:val="24"/>
        </w:rPr>
        <w:t>主要用于搭载在无人机下采集林冠三维结构数据，用于监测林冠树高、叶面积指数和林冠结构复杂度等林冠结构，为解释和预测森林生物多样性和碳汇的变化提供重要数据。</w:t>
      </w:r>
    </w:p>
    <w:p w14:paraId="1C7529C2">
      <w:pPr>
        <w:adjustRightInd w:val="0"/>
        <w:snapToGrid w:val="0"/>
        <w:spacing w:line="360" w:lineRule="auto"/>
        <w:ind w:left="425" w:firstLine="480" w:firstLineChars="200"/>
        <w:rPr>
          <w:rFonts w:ascii="Times New Roman" w:hAnsi="Times New Roman" w:eastAsia="宋体" w:cs="Times New Roman"/>
          <w:sz w:val="24"/>
        </w:rPr>
      </w:pPr>
    </w:p>
    <w:p w14:paraId="2BE2F020">
      <w:pPr>
        <w:widowControl/>
        <w:numPr>
          <w:ilvl w:val="0"/>
          <w:numId w:val="1"/>
        </w:numPr>
        <w:adjustRightInd w:val="0"/>
        <w:snapToGrid w:val="0"/>
        <w:spacing w:line="360" w:lineRule="auto"/>
        <w:jc w:val="left"/>
        <w:rPr>
          <w:rFonts w:ascii="Times New Roman" w:hAnsi="Times New Roman" w:eastAsia="宋体" w:cs="Times New Roman"/>
          <w:b/>
          <w:kern w:val="0"/>
          <w:sz w:val="24"/>
        </w:rPr>
      </w:pPr>
      <w:r>
        <w:rPr>
          <w:rFonts w:ascii="Times New Roman" w:hAnsi="Times New Roman" w:eastAsia="宋体" w:cs="Times New Roman"/>
          <w:b/>
          <w:sz w:val="24"/>
        </w:rPr>
        <w:t>技术规格：</w:t>
      </w:r>
    </w:p>
    <w:p w14:paraId="0478014A">
      <w:pPr>
        <w:adjustRightInd w:val="0"/>
        <w:snapToGrid w:val="0"/>
        <w:spacing w:line="360" w:lineRule="auto"/>
        <w:ind w:left="425"/>
        <w:rPr>
          <w:rFonts w:ascii="Times New Roman" w:hAnsi="Times New Roman" w:eastAsia="宋体" w:cs="Times New Roman"/>
          <w:b/>
          <w:bCs/>
          <w:sz w:val="24"/>
        </w:rPr>
      </w:pPr>
      <w:r>
        <w:rPr>
          <w:rFonts w:ascii="Times New Roman" w:hAnsi="Times New Roman" w:eastAsia="宋体" w:cs="Times New Roman"/>
          <w:b/>
          <w:bCs/>
          <w:sz w:val="24"/>
        </w:rPr>
        <w:t>3.1、机载激光雷达参数</w:t>
      </w:r>
    </w:p>
    <w:p w14:paraId="33D84659">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3.1.1、重量： ≤1kg；</w:t>
      </w:r>
    </w:p>
    <w:p w14:paraId="1FF16E54">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3.1.2、存储介质：≥256GB TF卡；</w:t>
      </w:r>
    </w:p>
    <w:p w14:paraId="1C50893E">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3.1.3、设备接口：支持定制化接口；</w:t>
      </w:r>
    </w:p>
    <w:p w14:paraId="6A13B7BB">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3.1.4、测距能力：300m@90%反射率，10%反射率目标≥200m；</w:t>
      </w:r>
    </w:p>
    <w:p w14:paraId="230E6271">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3.1.5、激光测距精度：不低于±2cm；</w:t>
      </w:r>
    </w:p>
    <w:p w14:paraId="0F2BFFC8">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3.1.6、相机内置，相机有效像素：≥2600万，像幅宽视场角：73°；</w:t>
      </w:r>
    </w:p>
    <w:p w14:paraId="1D8B1258">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3.1.7、水平视场角：360°，垂直视场角：40.3°；</w:t>
      </w:r>
    </w:p>
    <w:p w14:paraId="6692BC0E">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3.1.8、旋转频率：≥20HZ；IMU数据采样频率≥200HZ；</w:t>
      </w:r>
    </w:p>
    <w:p w14:paraId="15CE3202">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3.1.9、每秒激光点数量：≥192万点；</w:t>
      </w:r>
    </w:p>
    <w:p w14:paraId="528E5C4D">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3.1.10、回波模式：单回波/双回波/三回波；</w:t>
      </w:r>
    </w:p>
    <w:p w14:paraId="0760A70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3.1.11、航向精度：heading：≤0.04°，pitch /roll :≤0.008°；</w:t>
      </w:r>
    </w:p>
    <w:p w14:paraId="2BEADCBF">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3.1.12、机载操控软件支持地图底图显示，设备状态实时显示，仿地功能；</w:t>
      </w:r>
    </w:p>
    <w:p w14:paraId="628E13E9">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3.1.13、机载操控软件可以进行点云/影像航迹规划及参数计算，实时RTK点云显示；可以点云、影像数据一体化存储，地物反射率参数设置，自动规划动态对齐；支持航点飞行、建图航拍、航带飞行三种模式；</w:t>
      </w:r>
    </w:p>
    <w:p w14:paraId="2254A366">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3.1.14、机载操控软件支持多种操控模式：SLAM模式/ WIFI操控；</w:t>
      </w:r>
    </w:p>
    <w:p w14:paraId="154C621D">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3.1.15、机载操控软件支持工程任务管理，支持csv或kmz等格式数据导入。</w:t>
      </w:r>
    </w:p>
    <w:p w14:paraId="6C53F411">
      <w:pPr>
        <w:adjustRightInd w:val="0"/>
        <w:snapToGrid w:val="0"/>
        <w:spacing w:line="360" w:lineRule="auto"/>
        <w:ind w:left="425"/>
        <w:rPr>
          <w:rFonts w:ascii="Times New Roman" w:hAnsi="Times New Roman" w:eastAsia="宋体" w:cs="Times New Roman"/>
          <w:b/>
          <w:bCs/>
          <w:sz w:val="24"/>
        </w:rPr>
      </w:pPr>
      <w:r>
        <w:rPr>
          <w:rFonts w:ascii="Times New Roman" w:hAnsi="Times New Roman" w:eastAsia="宋体" w:cs="Times New Roman"/>
          <w:b/>
          <w:bCs/>
          <w:sz w:val="24"/>
        </w:rPr>
        <w:t>3.2、飞行平台系统参数</w:t>
      </w:r>
    </w:p>
    <w:p w14:paraId="6F8576A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3.2.1、最长飞行时间≥55分钟，搭载激光雷达后单架次作业时长≥30分钟；</w:t>
      </w:r>
    </w:p>
    <w:p w14:paraId="4DC50E52">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3.2.2、最大可抗风速≥12m/s；</w:t>
      </w:r>
    </w:p>
    <w:p w14:paraId="78FCC373">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3.2.3、GNSS定位系统支持BeiDou+Galileo+GPS+GLONASS，支持单北斗模式；</w:t>
      </w:r>
    </w:p>
    <w:p w14:paraId="5836926C">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3.2.4、无人机系统GNSS 正常工作时悬停精度：垂直：≤ ±0.5 m，水平：≤ ±1.5 m；</w:t>
      </w:r>
    </w:p>
    <w:p w14:paraId="1C1D7DE4">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3.2.5、无人机系统视觉定位正常工作时悬停精度：垂直：≤ ±0.1 m，水平：≤ ±0.3 m；</w:t>
      </w:r>
    </w:p>
    <w:p w14:paraId="1FC9DE58">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3.2.6、飞行器需内置有RTK模块，具备RTK定位能力，支持通过遥控器连接到网络RTK服务或RTK移动站，获取高精度的位置信息；</w:t>
      </w:r>
    </w:p>
    <w:p w14:paraId="0F95A09C">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3.2.7、无人机系统在 RTK 正常工作时飞行器悬停精度：水平≤ ±0.1m，垂直≤ ±0.1m；</w:t>
      </w:r>
    </w:p>
    <w:p w14:paraId="57A7B925">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3.2.8、飞行器支持搭载云台负载数量≥3；</w:t>
      </w:r>
    </w:p>
    <w:p w14:paraId="3580424C">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 xml:space="preserve">3.2.9、无人机系统应支持双频通信，当其中一个信道阻塞时，飞行器能自动切换到另一个信道通信； </w:t>
      </w:r>
    </w:p>
    <w:p w14:paraId="67D76FD3">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3.2.10、遥控器和飞行器需支持投标人提供的4G模块实现无人机的控制和图像视频传输；</w:t>
      </w:r>
    </w:p>
    <w:p w14:paraId="2B3E4032">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3.2.11、需支持设置SD卡密码，防止数据泄露。设置安全密码后，无人机启动需要输入密码，否则无法读取SD卡中的数据；</w:t>
      </w:r>
    </w:p>
    <w:p w14:paraId="747883F2">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3.2.12、在自主降落过程中，无人机飞行器应能够检测下方地形，当下方地形为不平整地面或水面，飞行器保持悬停，同时应能通过遥控器软件向用户发出提示；</w:t>
      </w:r>
    </w:p>
    <w:p w14:paraId="104E44F4">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3.2.13、通过无人机接收到的飞行信息，需能够分析并获取载人飞机的位置、高度、航向、速度等信息，并与飞行器的当前位置、高度、航向、速度信息等进行比对，实时计算出载人飞机接近的风险等级。根据风险等级的不同，支持通过软件向用户发出警示信息；</w:t>
      </w:r>
    </w:p>
    <w:p w14:paraId="6AA1D2C2">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3.2.14、无人机系统需配备六向（前、后、上、下、左、右）双目视觉系统及红外感知系统，全方位避障，保障飞行安全；</w:t>
      </w:r>
    </w:p>
    <w:p w14:paraId="23EA5E01">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3.2.15、无人机系统支持在水平（前后左右）、上方、下方设置告警距离与自动刹停距离，且飞行器避障行为可设置为刹停；</w:t>
      </w:r>
    </w:p>
    <w:p w14:paraId="13763B7A">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3.2.16、飞行器支持电池热插拔，当飞行器降落需要更换电池时，可不关闭飞行器电源，先更换一块充满电的电池，之后再更换另一块电池；</w:t>
      </w:r>
    </w:p>
    <w:p w14:paraId="3E882FC7">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3.2.17、支持机臂到位检测，能够检测机臂套筒是否拧紧到位，如未拧紧能够在遥控器端进行告警提示；</w:t>
      </w:r>
    </w:p>
    <w:p w14:paraId="5B50E28B">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3.2.18、飞行器应至少具备智能返航、低电量自动返航、失控返航功能；</w:t>
      </w:r>
    </w:p>
    <w:p w14:paraId="1C63BA63">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3.2.19、飞行器应具备FPV相机，并搭载全画幅三轴云台相机，像素≥4500万，像元大小≥4.4um；</w:t>
      </w:r>
    </w:p>
    <w:p w14:paraId="45E283AA">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3.2.20、飞行器应支持航点飞行、建图航拍、倾斜摄影、航带飞行多种航线。支持二维、三维建模作业；</w:t>
      </w:r>
    </w:p>
    <w:p w14:paraId="4EA6678C">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3.2.21、飞行器应具有健康管理系统，包括查看：固件版本、日志管理、异常记录和异常诊断等；</w:t>
      </w:r>
    </w:p>
    <w:p w14:paraId="30BCC34F">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3.2.22、遥控器和显示屏一体化设计，遥控器屏幕尺寸≥7英寸，遥控器显示器分辨率≥1920×1200，遥控器存储空间≥64GB，且支持使用 microSD 卡拓展存储容量；</w:t>
      </w:r>
    </w:p>
    <w:p w14:paraId="5534F9AB">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3.2.23、支持两个遥控器同时与同一台飞行器连接，控制权限可在两个遥控器之间切换。可通过按需抢占控制权的方式来决定当前遥控器可以操作哪些机载设备（如飞行器、云台）；</w:t>
      </w:r>
    </w:p>
    <w:p w14:paraId="48A31E71">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3.2.24、飞行智能电池组至少配置五组，遥控器电池至少配置二块，电池在无任何操作存储达到设定天数（0天~9天可设）后，电池能自动放电至50%左右电量，以保护电池。在低温环境下，电池支持自加热；</w:t>
      </w:r>
    </w:p>
    <w:p w14:paraId="5AF3068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3.2.25、电池箱飞行器电池充电接口≥8；遥控器电池充电接口≥4 ；USB-C 维护接口≥1 ；USB-C 充电口≥1；USB-A 充电接口≥1；同时充电电池数量≥2；</w:t>
      </w:r>
    </w:p>
    <w:p w14:paraId="16DAD983">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3.2.26、遥控器可连接电池箱，即可遥控器中查看电池箱状态，包括电池箱以及电池的版本信息、告警信息等。支持自放电设置以及导出电池箱、电池日志。可升级电池箱、电池固件；</w:t>
      </w:r>
    </w:p>
    <w:p w14:paraId="254A976F">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3.2.27、投标人须提供与机身相等价值的保障服务1年，在额度内免费维修和常规保养，提供镜头在保障额度内免费维修和置换服务，100万三者险一年；</w:t>
      </w:r>
    </w:p>
    <w:p w14:paraId="713D5535">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3.2.28、户外移动电源电池容量≥2000Wh，交流输出220V纯正弦波（不伤电器），额定功率≥2400瓦；</w:t>
      </w:r>
    </w:p>
    <w:p w14:paraId="245AF644">
      <w:pPr>
        <w:adjustRightInd w:val="0"/>
        <w:snapToGrid w:val="0"/>
        <w:spacing w:line="360" w:lineRule="auto"/>
        <w:ind w:left="425"/>
        <w:rPr>
          <w:rFonts w:ascii="Times New Roman" w:hAnsi="Times New Roman" w:eastAsia="宋体" w:cs="Times New Roman"/>
          <w:b/>
          <w:bCs/>
          <w:sz w:val="24"/>
        </w:rPr>
      </w:pPr>
      <w:r>
        <w:rPr>
          <w:rFonts w:ascii="Times New Roman" w:hAnsi="Times New Roman" w:eastAsia="宋体" w:cs="Times New Roman"/>
          <w:b/>
          <w:bCs/>
          <w:sz w:val="24"/>
        </w:rPr>
        <w:t>3.3、数据解算软件</w:t>
      </w:r>
    </w:p>
    <w:p w14:paraId="3FDA5EC9">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3.3.1、支持多源数据导入导出：las、laz、epi、e57、xyz、txt、pos；</w:t>
      </w:r>
    </w:p>
    <w:p w14:paraId="3744E547">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3.3.2、支持多种点云渲染方式；</w:t>
      </w:r>
    </w:p>
    <w:p w14:paraId="480EB43B">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3.3.3、支持2D、3D点云量测，面积量测，密度量测；</w:t>
      </w:r>
    </w:p>
    <w:p w14:paraId="2582DB1A">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3.3.4、支持对点云POS查询，坐标查询，点云框选和删除；</w:t>
      </w:r>
    </w:p>
    <w:p w14:paraId="22C2B9FF">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3.3.5、支持多种视图浏览；</w:t>
      </w:r>
    </w:p>
    <w:p w14:paraId="4086974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3.3.6、POS轨迹解算及POS精度评价；</w:t>
      </w:r>
    </w:p>
    <w:p w14:paraId="081C780D">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3.3.7、支持数据融合解算输出带RGB及地面点分类后点云；</w:t>
      </w:r>
    </w:p>
    <w:p w14:paraId="13D841C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3.3.8、支持航带编辑，航带自动裁切，单片点云赋色及DOM影像赋色；</w:t>
      </w:r>
    </w:p>
    <w:p w14:paraId="548026F6">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3.3.9、支持坐标参数设置与坐标转换；</w:t>
      </w:r>
    </w:p>
    <w:p w14:paraId="4BEE2BE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3.3.10、支持点云去噪，点云平滑，点云抽稀；</w:t>
      </w:r>
    </w:p>
    <w:p w14:paraId="7FD462E7">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3.3.11、点云平面和高程精度检验输出报告；</w:t>
      </w:r>
    </w:p>
    <w:p w14:paraId="7114087E">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3.3.12、支持DEM，DSM，等高线，高程点一键生成；</w:t>
      </w:r>
    </w:p>
    <w:p w14:paraId="24FA3F57">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3.3.13、支持手持SLAM数据自动解算，手持SLAM数据分段处理；</w:t>
      </w:r>
    </w:p>
    <w:p w14:paraId="64003A98">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3.3.14、支持点云密度自动统计，点云回波统计，输出报告；</w:t>
      </w:r>
    </w:p>
    <w:p w14:paraId="5FA679E3">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3.3.15、支持点云自动分类，并可支持保存分类模板及执行；</w:t>
      </w:r>
    </w:p>
    <w:p w14:paraId="391E9635">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3.3.16、支持DEM精度检查及高程点赋值；</w:t>
      </w:r>
    </w:p>
    <w:p w14:paraId="1C8BF63C">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3.3.17、支持剖面视图中自动输出点云厚度并保存；</w:t>
      </w:r>
    </w:p>
    <w:p w14:paraId="4AF2D275">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3.3.18、可支持实时三维建模，边飞边出三维点云，实时建模延迟不超过1分钟；</w:t>
      </w:r>
    </w:p>
    <w:p w14:paraId="1268F388">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3.3.19、二维建图航拍任务，支持实时真正射处理，并可对农田和城市等不同场景做对应优化；</w:t>
      </w:r>
    </w:p>
    <w:p w14:paraId="6527F59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3.3.20、当用以重建的照片数量大于当前电脑配置（内存）可支持的照片数量时，算法自动进入分块处理，以满足重建需求；</w:t>
      </w:r>
    </w:p>
    <w:p w14:paraId="59C6B103">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3.3.21、能够进行快速的三维建模，普通1080Ti配置的PC电脑单机处理100张照片的高精度三维重建耗时不超过1小时；</w:t>
      </w:r>
    </w:p>
    <w:p w14:paraId="2129C987">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3.3.22、支持同时开启多个任务，多任务排队重建；</w:t>
      </w:r>
    </w:p>
    <w:p w14:paraId="44190054">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3.3.23、可将生成的多个二维模型进行叠加显示，加载效率为秒级；</w:t>
      </w:r>
    </w:p>
    <w:p w14:paraId="713C412E">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3.3.24、支持一个任务同时输出二维和三维成果；</w:t>
      </w:r>
    </w:p>
    <w:p w14:paraId="4936CD67">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3.3.25、可导入控制点、检查点，并可通过刺点结果实时调整预刺位置；</w:t>
      </w:r>
    </w:p>
    <w:p w14:paraId="34A92CE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3.3.26、在进行刺点操作时，支持自动识别像控点功能，系统将根据手动刺点自动识别其他照片的刺点；</w:t>
      </w:r>
    </w:p>
    <w:p w14:paraId="0363589F">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3.3.27、支持POS数据导入，可自定义POS精度；</w:t>
      </w:r>
    </w:p>
    <w:p w14:paraId="53FAA0F7">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3.3.28、在三维重建项目中，水面平整功能，可识别水面区域并自动平整；</w:t>
      </w:r>
    </w:p>
    <w:p w14:paraId="44923FCD">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3.3.29. 软件为国产软件，中文界面。</w:t>
      </w:r>
    </w:p>
    <w:p w14:paraId="20CDA0FD">
      <w:pPr>
        <w:adjustRightInd w:val="0"/>
        <w:snapToGrid w:val="0"/>
        <w:spacing w:line="360" w:lineRule="auto"/>
        <w:ind w:left="425"/>
        <w:rPr>
          <w:rFonts w:ascii="Times New Roman" w:hAnsi="Times New Roman" w:eastAsia="宋体" w:cs="Times New Roman"/>
          <w:b/>
          <w:bCs/>
          <w:sz w:val="24"/>
        </w:rPr>
      </w:pPr>
      <w:r>
        <w:rPr>
          <w:rFonts w:ascii="Times New Roman" w:hAnsi="Times New Roman" w:eastAsia="宋体" w:cs="Times New Roman"/>
          <w:b/>
          <w:bCs/>
          <w:sz w:val="24"/>
        </w:rPr>
        <w:t>3.4、数据处理软件</w:t>
      </w:r>
    </w:p>
    <w:p w14:paraId="5162F2DF">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3.4.1、软件可以处理市面上所有点云标准数据格式，功能上包括但不限于点云去噪、点云分割、条带平差、滤波、点云提取、点云分类、林地信息提取、矢量化、生成高程产品等，可以应用于测绘、林业、电力、农业、矿山、地质等不同行业应用；</w:t>
      </w:r>
    </w:p>
    <w:p w14:paraId="687EDF02">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3.4.2、软件具备点云预处理功能，包括格式及坐标系统转换，如：txt、laz转Las，不同las版本转换，栅格DSM转换，点云切块、合并，偏移las文件，变换尺度因子并另存等；</w:t>
      </w:r>
    </w:p>
    <w:p w14:paraId="16F86BCD">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3.4.3、软件植被信息提取包括但不限于：机载LiDAR单木分割、单木参数信息提取，地基/移动/背包 LiDAR树干分割、树干参数信息提取，地基/背包 LiDAR单株果树分割，机载LiDAR单株玉米分割，树冠体积和绿量参数信息提取，叶片参数信息提取；</w:t>
      </w:r>
    </w:p>
    <w:p w14:paraId="4163874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3.4.4、软件可生成测绘高程成果：生成等高线，生成高程产品（DSM/DEM/NDSM）软件可输出高程点；</w:t>
      </w:r>
    </w:p>
    <w:p w14:paraId="3C915B8E">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3.4.5、软件具备林地信息提取功能，支持一键式精分类机载点云单木分割和参数提取功能；</w:t>
      </w:r>
    </w:p>
    <w:p w14:paraId="4292114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3.4.6、软件支持树冠体积和绿量参数信息提取、叶片参数信息提取；</w:t>
      </w:r>
    </w:p>
    <w:p w14:paraId="1CBC3A1F">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3.4.7、软件支持机载LiDAR森林/草地样地参数信息提取；</w:t>
      </w:r>
    </w:p>
    <w:p w14:paraId="7D37157C">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3.4.8、软件具有“一键式机载激光雷达点云地形关键点提取”模块；</w:t>
      </w:r>
    </w:p>
    <w:p w14:paraId="46BB10E8">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3.4.9、有“地基/背包/手持LiADR点云单木（树干）提取功能、地基/背包/手持LiADR点云果树信息提取、地基/背包/手持点云薄化处理”等3个一键式点云处理、分析和信息提取模块；</w:t>
      </w:r>
    </w:p>
    <w:p w14:paraId="69158574">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3.4.10、一键、无参的点云滤波支持有人机机载、无人机机载、地基、车载、船载、背包/手持等类型的激光雷达点云等；</w:t>
      </w:r>
    </w:p>
    <w:p w14:paraId="00CBBA83">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3.4.11、软件支持一键式单木（树干和树冠）提取功能，可以同时完成树干和单木（包含树干和树冠）的识别，另外可以输出胸径等信息；</w:t>
      </w:r>
    </w:p>
    <w:p w14:paraId="5DAB26F3">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3.4.12、软件支持点云坐标转换；</w:t>
      </w:r>
    </w:p>
    <w:p w14:paraId="09B60389">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3.4.13、软件为国产软件，中文界面。</w:t>
      </w:r>
    </w:p>
    <w:p w14:paraId="57F74EAF">
      <w:pPr>
        <w:adjustRightInd w:val="0"/>
        <w:snapToGrid w:val="0"/>
        <w:spacing w:line="360" w:lineRule="auto"/>
        <w:rPr>
          <w:rFonts w:ascii="Times New Roman" w:hAnsi="Times New Roman" w:eastAsia="宋体" w:cs="Times New Roman"/>
          <w:kern w:val="0"/>
          <w:sz w:val="24"/>
        </w:rPr>
      </w:pPr>
    </w:p>
    <w:p w14:paraId="654FC1BD">
      <w:pPr>
        <w:numPr>
          <w:ilvl w:val="0"/>
          <w:numId w:val="1"/>
        </w:numPr>
        <w:tabs>
          <w:tab w:val="left" w:pos="540"/>
        </w:tabs>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sz w:val="24"/>
        </w:rPr>
        <w:t>产品配置要求：</w:t>
      </w:r>
    </w:p>
    <w:p w14:paraId="5D2E1792">
      <w:pPr>
        <w:widowControl/>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机载激光雷达包括激光雷达系统、无人机系统和软件系统，各部分配置如下：</w:t>
      </w:r>
    </w:p>
    <w:p w14:paraId="00294A5D">
      <w:pPr>
        <w:adjustRightInd w:val="0"/>
        <w:snapToGrid w:val="0"/>
        <w:spacing w:line="360" w:lineRule="auto"/>
        <w:ind w:left="425"/>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4.</w:t>
      </w:r>
      <w:r>
        <w:rPr>
          <w:rFonts w:ascii="Times New Roman" w:hAnsi="Times New Roman" w:eastAsia="宋体" w:cs="Times New Roman"/>
          <w:b/>
          <w:bCs/>
          <w:sz w:val="24"/>
        </w:rPr>
        <w:t>1、 激光雷达系统配置</w:t>
      </w:r>
      <w:r>
        <w:rPr>
          <w:rFonts w:ascii="Times New Roman" w:hAnsi="Times New Roman" w:eastAsia="宋体" w:cs="Times New Roman"/>
          <w:sz w:val="24"/>
        </w:rPr>
        <w:t xml:space="preserve">： </w:t>
      </w:r>
    </w:p>
    <w:p w14:paraId="772DF0DA">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（1）激光雷达主机1套；</w:t>
      </w:r>
    </w:p>
    <w:p w14:paraId="78B024F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（2）GNSS地面基站1套；</w:t>
      </w:r>
    </w:p>
    <w:p w14:paraId="2B3FB625">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（3）设备安装附件及线缆</w:t>
      </w:r>
      <w:r>
        <w:rPr>
          <w:rFonts w:ascii="Times New Roman" w:hAnsi="Times New Roman" w:eastAsia="宋体" w:cs="Times New Roman"/>
          <w:sz w:val="24"/>
        </w:rPr>
        <w:tab/>
      </w:r>
      <w:r>
        <w:rPr>
          <w:rFonts w:ascii="Times New Roman" w:hAnsi="Times New Roman" w:eastAsia="宋体" w:cs="Times New Roman"/>
          <w:sz w:val="24"/>
        </w:rPr>
        <w:t>1套。</w:t>
      </w:r>
    </w:p>
    <w:p w14:paraId="5AF6186A">
      <w:pPr>
        <w:adjustRightInd w:val="0"/>
        <w:snapToGrid w:val="0"/>
        <w:spacing w:line="360" w:lineRule="auto"/>
        <w:ind w:left="210"/>
        <w:rPr>
          <w:rFonts w:ascii="Times New Roman" w:hAnsi="Times New Roman" w:eastAsia="宋体" w:cs="Times New Roman"/>
          <w:b/>
          <w:bCs/>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4.</w:t>
      </w:r>
      <w:r>
        <w:rPr>
          <w:rFonts w:ascii="Times New Roman" w:hAnsi="Times New Roman" w:eastAsia="宋体" w:cs="Times New Roman"/>
          <w:b/>
          <w:bCs/>
          <w:sz w:val="24"/>
        </w:rPr>
        <w:t>2、无人机系统</w:t>
      </w:r>
    </w:p>
    <w:p w14:paraId="1567433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（1）无人机主机1套（含4G图传模块）；</w:t>
      </w:r>
    </w:p>
    <w:p w14:paraId="00B8A4C9">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（2）正射相机1套；</w:t>
      </w:r>
    </w:p>
    <w:p w14:paraId="08F59351">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（3）无人机遥控器1套；</w:t>
      </w:r>
    </w:p>
    <w:p w14:paraId="552142A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（4）无人机电池5组，遥控器电池2块；</w:t>
      </w:r>
    </w:p>
    <w:p w14:paraId="38CAB4B0">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（5）户外移动电源1套；</w:t>
      </w:r>
    </w:p>
    <w:p w14:paraId="7E476C6C">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（6）双云台组件1套；</w:t>
      </w:r>
    </w:p>
    <w:p w14:paraId="22BC017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（7）无人机安装附件1套。</w:t>
      </w:r>
    </w:p>
    <w:p w14:paraId="392E6703">
      <w:pPr>
        <w:adjustRightInd w:val="0"/>
        <w:snapToGrid w:val="0"/>
        <w:spacing w:line="360" w:lineRule="auto"/>
        <w:ind w:left="425"/>
        <w:rPr>
          <w:rFonts w:ascii="Times New Roman" w:hAnsi="Times New Roman" w:eastAsia="宋体" w:cs="Times New Roman"/>
          <w:b/>
          <w:bCs/>
          <w:sz w:val="24"/>
        </w:rPr>
      </w:pPr>
      <w:r>
        <w:rPr>
          <w:rFonts w:hint="eastAsia" w:ascii="Times New Roman" w:hAnsi="Times New Roman" w:eastAsia="宋体" w:cs="Times New Roman"/>
          <w:sz w:val="24"/>
          <w:lang w:eastAsia="zh-CN"/>
        </w:rPr>
        <w:t>★</w:t>
      </w:r>
      <w:r>
        <w:rPr>
          <w:rFonts w:ascii="Times New Roman" w:hAnsi="Times New Roman" w:eastAsia="宋体" w:cs="Times New Roman"/>
          <w:sz w:val="24"/>
        </w:rPr>
        <w:t>4.</w:t>
      </w:r>
      <w:r>
        <w:rPr>
          <w:rFonts w:ascii="Times New Roman" w:hAnsi="Times New Roman" w:eastAsia="宋体" w:cs="Times New Roman"/>
          <w:b/>
          <w:bCs/>
          <w:sz w:val="24"/>
        </w:rPr>
        <w:t>3、 软件系统</w:t>
      </w:r>
    </w:p>
    <w:p w14:paraId="1A9C3C18">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（1）数据预处理软件1套；</w:t>
      </w:r>
    </w:p>
    <w:p w14:paraId="02BC9676">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sz w:val="24"/>
        </w:rPr>
        <w:t>（2）点云处理配套软件1套。</w:t>
      </w:r>
    </w:p>
    <w:p w14:paraId="05ACCC92">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b/>
          <w:bCs/>
          <w:sz w:val="24"/>
        </w:rPr>
        <w:t>4.4、产品主体部分说明：</w:t>
      </w:r>
      <w:r>
        <w:rPr>
          <w:rFonts w:ascii="Times New Roman" w:hAnsi="Times New Roman" w:eastAsia="宋体" w:cs="Times New Roman"/>
          <w:sz w:val="24"/>
        </w:rPr>
        <w:t>无人机系统为激光雷达系统的载体，激光雷达系统用于点云数据获取和影像数据的获取，软件系统用于数据结算、激光雷达和影像数据的显示、处理和分析。</w:t>
      </w:r>
    </w:p>
    <w:p w14:paraId="68C43BEB">
      <w:pPr>
        <w:adjustRightInd w:val="0"/>
        <w:snapToGrid w:val="0"/>
        <w:spacing w:line="360" w:lineRule="auto"/>
        <w:ind w:left="425"/>
        <w:rPr>
          <w:rFonts w:ascii="Times New Roman" w:hAnsi="Times New Roman" w:eastAsia="宋体" w:cs="Times New Roman"/>
          <w:sz w:val="24"/>
        </w:rPr>
      </w:pPr>
      <w:r>
        <w:rPr>
          <w:rFonts w:ascii="Times New Roman" w:hAnsi="Times New Roman" w:eastAsia="宋体" w:cs="Times New Roman"/>
          <w:b/>
          <w:bCs/>
          <w:sz w:val="24"/>
        </w:rPr>
        <w:t xml:space="preserve">4.5、 </w:t>
      </w:r>
      <w:r>
        <w:rPr>
          <w:rFonts w:ascii="Times New Roman" w:hAnsi="Times New Roman" w:eastAsia="宋体" w:cs="Times New Roman"/>
          <w:sz w:val="24"/>
        </w:rPr>
        <w:t>其它保证仪器设备的正常运行和常规保养所需的附件、专用工具和消耗品。</w:t>
      </w:r>
    </w:p>
    <w:p w14:paraId="02D9DA20">
      <w:pPr>
        <w:tabs>
          <w:tab w:val="left" w:pos="540"/>
        </w:tabs>
        <w:adjustRightInd w:val="0"/>
        <w:snapToGrid w:val="0"/>
        <w:spacing w:line="360" w:lineRule="auto"/>
        <w:rPr>
          <w:rFonts w:ascii="Times New Roman" w:hAnsi="Times New Roman" w:eastAsia="宋体" w:cs="Times New Roman"/>
          <w:sz w:val="24"/>
        </w:rPr>
      </w:pPr>
    </w:p>
    <w:p w14:paraId="72211F4D">
      <w:pPr>
        <w:tabs>
          <w:tab w:val="left" w:pos="540"/>
        </w:tabs>
        <w:adjustRightInd w:val="0"/>
        <w:snapToGrid w:val="0"/>
        <w:spacing w:line="360" w:lineRule="auto"/>
        <w:rPr>
          <w:rFonts w:ascii="Times New Roman" w:hAnsi="Times New Roman" w:eastAsia="宋体" w:cs="Times New Roman"/>
          <w:b/>
          <w:sz w:val="24"/>
        </w:rPr>
      </w:pPr>
      <w:r>
        <w:rPr>
          <w:rFonts w:ascii="Times New Roman" w:hAnsi="Times New Roman" w:eastAsia="宋体" w:cs="Times New Roman"/>
          <w:b/>
          <w:sz w:val="24"/>
        </w:rPr>
        <w:t>5.  技术文件：</w:t>
      </w:r>
    </w:p>
    <w:p w14:paraId="104CC27E">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5.1中标方须在合同生效后30天内向买方提供一套完整的产品资料，包括产品操作手册、产品维修手册、产品原理框图、部件的结构图、电气线路图、印刷线路板图、各种应用参数等与应用、操作、维护有关的资料，本项资料的提供不影响随机资料、投标资料的提供。</w:t>
      </w:r>
    </w:p>
    <w:p w14:paraId="3910788C">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5.2厂商须随机提供至少一套完整的产品资料原件。所有资料应清晰易读，且购买方合法拥有。产品资料原件如5.1中所述。</w:t>
      </w:r>
    </w:p>
    <w:p w14:paraId="798159D9">
      <w:pPr>
        <w:adjustRightInd w:val="0"/>
        <w:snapToGrid w:val="0"/>
        <w:spacing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5.3如对水、电、气、通风、避光、防震、隔音、防尘、电磁屏蔽、基础设施等安装条件方面有特殊要求，中标方须在合同生效后30天内向买方提供书面详细安装要求文档。</w:t>
      </w:r>
    </w:p>
    <w:p w14:paraId="173B9DE6">
      <w:pPr>
        <w:adjustRightInd w:val="0"/>
        <w:snapToGrid w:val="0"/>
        <w:spacing w:line="360" w:lineRule="auto"/>
        <w:rPr>
          <w:rFonts w:ascii="Times New Roman" w:hAnsi="Times New Roman" w:eastAsia="宋体" w:cs="Times New Roman"/>
          <w:color w:val="000000"/>
          <w:sz w:val="24"/>
        </w:rPr>
      </w:pPr>
    </w:p>
    <w:p w14:paraId="2EDE3872">
      <w:pPr>
        <w:adjustRightInd w:val="0"/>
        <w:snapToGrid w:val="0"/>
        <w:spacing w:line="360" w:lineRule="auto"/>
        <w:ind w:left="482" w:hanging="482" w:hangingChars="200"/>
        <w:rPr>
          <w:rFonts w:ascii="Times New Roman" w:hAnsi="Times New Roman" w:eastAsia="宋体" w:cs="Times New Roman"/>
          <w:color w:val="000000"/>
          <w:sz w:val="24"/>
        </w:rPr>
      </w:pPr>
      <w:r>
        <w:rPr>
          <w:rFonts w:ascii="Times New Roman" w:hAnsi="Times New Roman" w:eastAsia="宋体" w:cs="Times New Roman"/>
          <w:b/>
          <w:sz w:val="24"/>
        </w:rPr>
        <w:t>6.  技术服务：</w:t>
      </w:r>
    </w:p>
    <w:p w14:paraId="29BEC0E3">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6.1 设备安装调试：</w:t>
      </w:r>
    </w:p>
    <w:p w14:paraId="21845974">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6.1.1关于设备的安装调试，如果有必要的安装准备条件，卖方应在合同生效后一个月内向买方提出详细的要求或计划。安装调试的费用应计入投标价中，并应单独列出，供评标使用。</w:t>
      </w:r>
    </w:p>
    <w:p w14:paraId="6575FC22">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6.1.2 仪器到达用户所在地后, 在接到用户通知后1周内执行安装调试直至达到验收指标。投标人提供给买方的货物，其所有部件都必须是原厂生产的最新、全新优质产品，且在中国境内买方拥有合法的产权和使用权。</w:t>
      </w:r>
    </w:p>
    <w:p w14:paraId="191A0149">
      <w:pPr>
        <w:adjustRightInd w:val="0"/>
        <w:snapToGrid w:val="0"/>
        <w:spacing w:line="360" w:lineRule="auto"/>
        <w:ind w:left="479" w:leftChars="228"/>
        <w:rPr>
          <w:rFonts w:ascii="Times New Roman" w:hAnsi="Times New Roman" w:eastAsia="宋体" w:cs="Times New Roman"/>
          <w:color w:val="000000"/>
          <w:sz w:val="24"/>
        </w:rPr>
      </w:pPr>
      <w:r>
        <w:rPr>
          <w:rFonts w:ascii="Times New Roman" w:hAnsi="Times New Roman" w:eastAsia="宋体" w:cs="Times New Roman"/>
          <w:sz w:val="24"/>
        </w:rPr>
        <w:t>6.1.3</w:t>
      </w:r>
      <w:r>
        <w:rPr>
          <w:rFonts w:ascii="Times New Roman" w:hAnsi="Times New Roman" w:eastAsia="宋体" w:cs="Times New Roman"/>
          <w:color w:val="000000"/>
          <w:sz w:val="24"/>
        </w:rPr>
        <w:t>每台仪器的安装调试期不应长于10个工作日。</w:t>
      </w:r>
    </w:p>
    <w:p w14:paraId="18D0AED4">
      <w:pPr>
        <w:adjustRightInd w:val="0"/>
        <w:snapToGrid w:val="0"/>
        <w:spacing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6.1.4仪器安装调试时，涉及的水、电、气、通风、避光、防震、隔音、防尘、电磁屏蔽、基础设施等安装条件方面的配套施工应由中标方完成。</w:t>
      </w:r>
    </w:p>
    <w:p w14:paraId="679CD37A">
      <w:pPr>
        <w:adjustRightInd w:val="0"/>
        <w:snapToGrid w:val="0"/>
        <w:spacing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6.2  技术培训： </w:t>
      </w:r>
    </w:p>
    <w:p w14:paraId="6BBB332D">
      <w:pPr>
        <w:adjustRightInd w:val="0"/>
        <w:snapToGrid w:val="0"/>
        <w:spacing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6.2.1免费向用户提供三次现场操作培训，</w:t>
      </w:r>
      <w:r>
        <w:rPr>
          <w:rFonts w:ascii="Times New Roman" w:hAnsi="Times New Roman" w:eastAsia="宋体" w:cs="Times New Roman"/>
          <w:sz w:val="24"/>
        </w:rPr>
        <w:t>第一次在仪器安装完毕，第二和第三次由采购人与中标人商定培训时间。培训应</w:t>
      </w:r>
      <w:r>
        <w:rPr>
          <w:rFonts w:ascii="Times New Roman" w:hAnsi="Times New Roman" w:eastAsia="宋体" w:cs="Times New Roman"/>
          <w:color w:val="000000"/>
          <w:sz w:val="24"/>
        </w:rPr>
        <w:t>达到如下要求：</w:t>
      </w:r>
      <w:r>
        <w:rPr>
          <w:rFonts w:hint="eastAsia" w:ascii="宋体" w:hAnsi="宋体" w:eastAsia="宋体" w:cs="宋体"/>
          <w:color w:val="000000"/>
          <w:sz w:val="24"/>
        </w:rPr>
        <w:t>①</w:t>
      </w:r>
      <w:r>
        <w:rPr>
          <w:rFonts w:ascii="Times New Roman" w:hAnsi="Times New Roman" w:eastAsia="宋体" w:cs="Times New Roman"/>
          <w:color w:val="000000"/>
          <w:sz w:val="24"/>
        </w:rPr>
        <w:t>不少于2名专职技术人员完全掌握仪器基本工作原理，熟练操作仪器，独立进行仪器日常基本维护；</w:t>
      </w:r>
      <w:r>
        <w:rPr>
          <w:rFonts w:hint="eastAsia" w:ascii="宋体" w:hAnsi="宋体" w:eastAsia="宋体" w:cs="宋体"/>
          <w:color w:val="000000"/>
          <w:sz w:val="24"/>
        </w:rPr>
        <w:t>②</w:t>
      </w:r>
      <w:r>
        <w:rPr>
          <w:rFonts w:ascii="Times New Roman" w:hAnsi="Times New Roman" w:eastAsia="宋体" w:cs="Times New Roman"/>
          <w:color w:val="000000"/>
          <w:sz w:val="24"/>
        </w:rPr>
        <w:t>其他用户了解仪器基本工作原理，能独立操作仪器或在专职技术人员指导下操作仪器。</w:t>
      </w:r>
    </w:p>
    <w:p w14:paraId="0DF38992">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6.2.2免费提供2人次国内技术应用中心所在地集中培训。培训课程由基础理论、使用操作、日常维护、简单的维修、应用方法等内容组成。</w:t>
      </w:r>
    </w:p>
    <w:p w14:paraId="74A5DC95">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6.3 维修保养：</w:t>
      </w:r>
    </w:p>
    <w:p w14:paraId="22F495D2">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6.3.1保修期：中标方提供1年的免费保修，保修期自项目验收签字之日起计算。维修方式：上门维修。保修期满前1个月内中标方应负责一次免费全面检查，并写出正式报告，如发现潜在问题，应负责排除。</w:t>
      </w:r>
    </w:p>
    <w:p w14:paraId="09711259">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6.3.2 维修响应时间：中标方应在24小时内对用户的服务要求作出响应，一般问题应在48小时内解决，重大问题或其它无法迅速解决的问题应在一周内解决或提出明确解决方案，否则中标方应赔偿相应损失。保修期内，如仪器出现故障（消耗品和人为损坏除外），保修期顺延。保修期内，由于仪器设计缺陷或仪器本身的质量问题，出现故障而连续3个月内未将其修好，供货商保证免费更换全新的仪器(如有新型号同类仪器，均免费更换)。</w:t>
      </w:r>
    </w:p>
    <w:p w14:paraId="4AF31855">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6.3.3厂商须提供为保证仪器设备正常运行和维护所需要的专用工具、常用消耗品等。并列明常用消耗品，易损材料等数量、单价供买方选购参考。</w:t>
      </w:r>
    </w:p>
    <w:p w14:paraId="3BB3CD52">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6.4 软、硬件升级：</w:t>
      </w:r>
    </w:p>
    <w:p w14:paraId="1272AD79">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6.4.1中标方应免费向用户提供自验收之后未来3年的仪器软件升级，优惠提供仪器硬件升级。</w:t>
      </w:r>
    </w:p>
    <w:p w14:paraId="14DF6A29">
      <w:pPr>
        <w:adjustRightInd w:val="0"/>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6.4.2中标方提供的所有计算机软件都须是正版软件，其软件必须有原始安装盘，且购买方合法拥有。所有计算机软件须提供操作、安装、维护手册。</w:t>
      </w:r>
    </w:p>
    <w:p w14:paraId="56E903EF">
      <w:pPr>
        <w:adjustRightInd w:val="0"/>
        <w:snapToGrid w:val="0"/>
        <w:spacing w:line="360" w:lineRule="auto"/>
        <w:ind w:left="482" w:hanging="482" w:hangingChars="200"/>
        <w:rPr>
          <w:rFonts w:ascii="Times New Roman" w:hAnsi="Times New Roman" w:eastAsia="宋体" w:cs="Times New Roman"/>
          <w:b/>
          <w:sz w:val="24"/>
        </w:rPr>
      </w:pPr>
    </w:p>
    <w:p w14:paraId="5DED81A2">
      <w:pPr>
        <w:numPr>
          <w:ilvl w:val="0"/>
          <w:numId w:val="2"/>
        </w:numPr>
        <w:adjustRightInd w:val="0"/>
        <w:snapToGrid w:val="0"/>
        <w:spacing w:line="360" w:lineRule="auto"/>
        <w:ind w:left="482" w:hanging="482" w:hangingChars="200"/>
        <w:rPr>
          <w:rFonts w:ascii="Times New Roman" w:hAnsi="Times New Roman" w:eastAsia="宋体" w:cs="Times New Roman"/>
          <w:b/>
          <w:color w:val="000000"/>
          <w:sz w:val="24"/>
        </w:rPr>
      </w:pPr>
      <w:r>
        <w:rPr>
          <w:rFonts w:ascii="Times New Roman" w:hAnsi="Times New Roman" w:eastAsia="宋体" w:cs="Times New Roman"/>
          <w:b/>
          <w:sz w:val="24"/>
        </w:rPr>
        <w:t xml:space="preserve"> 订货数量：</w:t>
      </w:r>
    </w:p>
    <w:p w14:paraId="179358FD">
      <w:pPr>
        <w:adjustRightInd w:val="0"/>
        <w:snapToGrid w:val="0"/>
        <w:spacing w:line="360" w:lineRule="auto"/>
        <w:ind w:left="480" w:hanging="480" w:hangingChars="200"/>
        <w:rPr>
          <w:rFonts w:ascii="Times New Roman" w:hAnsi="Times New Roman" w:eastAsia="宋体" w:cs="Times New Roman"/>
          <w:color w:val="000000"/>
          <w:sz w:val="24"/>
        </w:rPr>
      </w:pPr>
      <w:r>
        <w:rPr>
          <w:rFonts w:ascii="Times New Roman" w:hAnsi="Times New Roman" w:eastAsia="宋体" w:cs="Times New Roman"/>
          <w:sz w:val="24"/>
        </w:rPr>
        <w:t xml:space="preserve"> 一套</w:t>
      </w:r>
    </w:p>
    <w:p w14:paraId="2197FE71">
      <w:pPr>
        <w:adjustRightInd w:val="0"/>
        <w:snapToGrid w:val="0"/>
        <w:spacing w:line="360" w:lineRule="auto"/>
        <w:ind w:left="480" w:hanging="480" w:hangingChars="200"/>
        <w:rPr>
          <w:rFonts w:ascii="Times New Roman" w:hAnsi="Times New Roman" w:eastAsia="宋体" w:cs="Times New Roman"/>
          <w:color w:val="000000"/>
          <w:sz w:val="24"/>
        </w:rPr>
      </w:pPr>
    </w:p>
    <w:p w14:paraId="53377CBE">
      <w:pPr>
        <w:numPr>
          <w:ilvl w:val="0"/>
          <w:numId w:val="2"/>
        </w:numPr>
        <w:adjustRightInd w:val="0"/>
        <w:snapToGrid w:val="0"/>
        <w:spacing w:line="360" w:lineRule="auto"/>
        <w:ind w:left="482" w:hanging="482" w:hangingChars="200"/>
        <w:rPr>
          <w:rFonts w:ascii="Times New Roman" w:hAnsi="Times New Roman" w:eastAsia="宋体" w:cs="Times New Roman"/>
          <w:b/>
          <w:color w:val="000000"/>
          <w:sz w:val="24"/>
        </w:rPr>
      </w:pPr>
      <w:r>
        <w:rPr>
          <w:rFonts w:ascii="Times New Roman" w:hAnsi="Times New Roman" w:eastAsia="宋体" w:cs="Times New Roman"/>
          <w:b/>
          <w:sz w:val="24"/>
        </w:rPr>
        <w:t xml:space="preserve"> 最终用户所在地：</w:t>
      </w:r>
    </w:p>
    <w:p w14:paraId="6B967527">
      <w:pPr>
        <w:adjustRightInd w:val="0"/>
        <w:snapToGrid w:val="0"/>
        <w:spacing w:line="360" w:lineRule="auto"/>
        <w:ind w:left="480" w:hanging="480" w:hangingChars="200"/>
        <w:rPr>
          <w:rFonts w:ascii="Times New Roman" w:hAnsi="Times New Roman" w:eastAsia="宋体" w:cs="Times New Roman"/>
          <w:color w:val="000000"/>
          <w:sz w:val="24"/>
        </w:rPr>
      </w:pPr>
      <w:r>
        <w:rPr>
          <w:rFonts w:ascii="Times New Roman" w:hAnsi="Times New Roman" w:eastAsia="宋体" w:cs="Times New Roman"/>
          <w:sz w:val="24"/>
        </w:rPr>
        <w:t>广州市天河区兴科路723号中国科学院华南植物园科研区</w:t>
      </w:r>
    </w:p>
    <w:p w14:paraId="7F580970">
      <w:pPr>
        <w:adjustRightInd w:val="0"/>
        <w:snapToGrid w:val="0"/>
        <w:spacing w:line="360" w:lineRule="auto"/>
        <w:ind w:left="482" w:hanging="482" w:hangingChars="200"/>
        <w:rPr>
          <w:rFonts w:ascii="Times New Roman" w:hAnsi="Times New Roman" w:eastAsia="宋体" w:cs="Times New Roman"/>
          <w:b/>
          <w:sz w:val="24"/>
        </w:rPr>
      </w:pPr>
    </w:p>
    <w:p w14:paraId="59F2FD5C">
      <w:pPr>
        <w:adjustRightInd w:val="0"/>
        <w:snapToGrid w:val="0"/>
        <w:spacing w:line="360" w:lineRule="auto"/>
        <w:ind w:left="482" w:hanging="482" w:hangingChars="200"/>
        <w:rPr>
          <w:rFonts w:ascii="Times New Roman" w:hAnsi="Times New Roman" w:eastAsia="宋体" w:cs="Times New Roman"/>
          <w:b/>
          <w:color w:val="000000"/>
          <w:sz w:val="24"/>
        </w:rPr>
      </w:pPr>
      <w:r>
        <w:rPr>
          <w:rFonts w:ascii="Times New Roman" w:hAnsi="Times New Roman" w:eastAsia="宋体" w:cs="Times New Roman"/>
          <w:b/>
          <w:sz w:val="24"/>
        </w:rPr>
        <w:t>9.  交货日期：</w:t>
      </w:r>
    </w:p>
    <w:p w14:paraId="65FE5BD5">
      <w:pPr>
        <w:adjustRightInd w:val="0"/>
        <w:snapToGrid w:val="0"/>
        <w:spacing w:line="360" w:lineRule="auto"/>
        <w:ind w:left="480" w:hanging="480" w:hangingChars="200"/>
        <w:rPr>
          <w:rFonts w:ascii="Times New Roman" w:hAnsi="Times New Roman" w:eastAsia="宋体" w:cs="Times New Roman"/>
          <w:color w:val="000000"/>
          <w:sz w:val="24"/>
        </w:rPr>
      </w:pPr>
      <w:r>
        <w:rPr>
          <w:rFonts w:ascii="Times New Roman" w:hAnsi="Times New Roman" w:eastAsia="宋体" w:cs="Times New Roman"/>
          <w:sz w:val="24"/>
        </w:rPr>
        <w:t>招标方与中标方供货合同签署生效后1个月内。</w:t>
      </w:r>
    </w:p>
    <w:p w14:paraId="07A4FBCC">
      <w:pPr>
        <w:spacing w:line="360" w:lineRule="auto"/>
      </w:pPr>
    </w:p>
    <w:p w14:paraId="351679CD"/>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
    <w:altName w:val="Segoe Print"/>
    <w:panose1 w:val="020B0604020202020204"/>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3B2F3">
    <w:pPr>
      <w:pStyle w:val="3"/>
      <w:jc w:val="center"/>
    </w:pPr>
    <w:r>
      <w:fldChar w:fldCharType="begin"/>
    </w:r>
    <w:r>
      <w:instrText xml:space="preserve">PAGE   \* MERGEFORMAT</w:instrText>
    </w:r>
    <w:r>
      <w:fldChar w:fldCharType="separate"/>
    </w:r>
    <w:r>
      <w:rPr>
        <w:lang w:val="zh-CN"/>
      </w:rPr>
      <w:t>80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B46CD">
    <w:pPr>
      <w:pStyle w:val="3"/>
      <w:jc w:val="center"/>
    </w:pPr>
    <w:r>
      <w:fldChar w:fldCharType="begin"/>
    </w:r>
    <w:r>
      <w:instrText xml:space="preserve">PAGE   \* MERGEFORMAT</w:instrText>
    </w:r>
    <w:r>
      <w:fldChar w:fldCharType="separate"/>
    </w:r>
    <w:r>
      <w:rPr>
        <w:lang w:val="zh-CN"/>
      </w:rPr>
      <w:t>42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6AED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380BB"/>
    <w:multiLevelType w:val="multilevel"/>
    <w:tmpl w:val="AD5380B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19333D43"/>
    <w:multiLevelType w:val="singleLevel"/>
    <w:tmpl w:val="19333D43"/>
    <w:lvl w:ilvl="0" w:tentative="0">
      <w:start w:val="7"/>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wNmYzNTdjN2ZlYjFiMTM1ZDhlN2NmZmFiODU3YTQifQ=="/>
  </w:docVars>
  <w:rsids>
    <w:rsidRoot w:val="69D16477"/>
    <w:rsid w:val="4D992A0E"/>
    <w:rsid w:val="69D164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等线" w:cs="仿宋_GB2312"/>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Tahoma" w:hAnsi="Cambria"/>
      <w:szCs w:val="20"/>
    </w:r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6612</Words>
  <Characters>7504</Characters>
  <Lines>0</Lines>
  <Paragraphs>0</Paragraphs>
  <TotalTime>0</TotalTime>
  <ScaleCrop>false</ScaleCrop>
  <LinksUpToDate>false</LinksUpToDate>
  <CharactersWithSpaces>7595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2024-08-23T07:30:00Z</dcterms:created>
  <dc:creator>DF</dc:creator>
  <cp:lastModifiedBy>清</cp:lastModifiedBy>
  <dcterms:modified xsi:type="dcterms:W3CDTF">2024-08-24T01:22:50Z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0F6576FF330242D3B51CD2FCB751DF55_13</vt:lpwstr>
  </property>
</Properties>
</file>