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7BF3D">
      <w:pPr>
        <w:pStyle w:val="2"/>
        <w:spacing w:before="156" w:beforeLines="50" w:after="156" w:afterLines="50" w:line="360" w:lineRule="auto"/>
        <w:ind w:firstLine="477" w:firstLineChars="198"/>
        <w:rPr>
          <w:rFonts w:ascii="宋体" w:hAnsi="宋体" w:eastAsia="宋体"/>
          <w:sz w:val="24"/>
          <w:szCs w:val="24"/>
        </w:rPr>
      </w:pPr>
      <w:bookmarkStart w:id="3" w:name="_GoBack"/>
      <w:bookmarkEnd w:id="3"/>
      <w:bookmarkStart w:id="0" w:name="_Toc217446094"/>
      <w:r>
        <w:rPr>
          <w:rFonts w:hint="eastAsia" w:ascii="宋体" w:hAnsi="宋体" w:eastAsia="宋体"/>
          <w:sz w:val="24"/>
          <w:szCs w:val="24"/>
        </w:rPr>
        <w:t>前提：本章中标注“★”的条款为本项目的实质性条款，投标人不满足的，将按照无效投标处理。</w:t>
      </w:r>
    </w:p>
    <w:p w14:paraId="7EB30FA6">
      <w:pPr>
        <w:pStyle w:val="2"/>
        <w:spacing w:before="156" w:beforeLines="50" w:after="156" w:afterLines="50" w:line="360" w:lineRule="auto"/>
        <w:ind w:firstLine="236" w:firstLineChars="98"/>
        <w:rPr>
          <w:rFonts w:ascii="宋体" w:hAnsi="宋体" w:eastAsia="宋体"/>
          <w:sz w:val="24"/>
          <w:szCs w:val="24"/>
        </w:rPr>
      </w:pPr>
      <w:r>
        <w:rPr>
          <w:rFonts w:hint="eastAsia" w:ascii="宋体" w:hAnsi="宋体" w:eastAsia="宋体"/>
          <w:sz w:val="24"/>
          <w:szCs w:val="24"/>
        </w:rPr>
        <w:t>一、项目概述</w:t>
      </w:r>
      <w:bookmarkEnd w:id="0"/>
    </w:p>
    <w:p w14:paraId="040C7816">
      <w:pPr>
        <w:pStyle w:val="3"/>
        <w:spacing w:before="156" w:beforeLines="50" w:after="156" w:afterLines="50" w:line="360" w:lineRule="auto"/>
        <w:ind w:firstLine="0" w:firstLineChars="0"/>
        <w:rPr>
          <w:rFonts w:ascii="宋体" w:hAnsi="宋体"/>
          <w:bCs/>
          <w:sz w:val="24"/>
        </w:rPr>
      </w:pPr>
      <w:bookmarkStart w:id="1" w:name="_Toc217446095"/>
      <w:r>
        <w:rPr>
          <w:rFonts w:hint="eastAsia" w:ascii="宋体" w:hAnsi="宋体"/>
          <w:bCs/>
          <w:sz w:val="24"/>
        </w:rPr>
        <w:t>1、项目</w:t>
      </w:r>
      <w:r>
        <w:rPr>
          <w:rFonts w:ascii="宋体" w:hAnsi="宋体"/>
          <w:bCs/>
          <w:sz w:val="24"/>
        </w:rPr>
        <w:t>概况</w:t>
      </w:r>
      <w:r>
        <w:rPr>
          <w:rFonts w:hint="eastAsia" w:ascii="宋体" w:hAnsi="宋体"/>
          <w:bCs/>
          <w:sz w:val="24"/>
        </w:rPr>
        <w:t>：</w:t>
      </w:r>
      <w:r>
        <w:rPr>
          <w:rFonts w:hint="eastAsia" w:ascii="宋体" w:hAnsi="宋体"/>
          <w:sz w:val="24"/>
        </w:rPr>
        <w:t>本项目共1个包，采购电子顺磁共振波谱仪一台。</w:t>
      </w:r>
    </w:p>
    <w:p w14:paraId="2571E519">
      <w:pPr>
        <w:pStyle w:val="3"/>
        <w:spacing w:before="156" w:beforeLines="50" w:after="156" w:afterLines="50" w:line="360" w:lineRule="auto"/>
        <w:ind w:firstLine="0" w:firstLineChars="0"/>
        <w:rPr>
          <w:rFonts w:ascii="宋体" w:hAnsi="宋体"/>
          <w:bCs/>
          <w:sz w:val="24"/>
        </w:rPr>
      </w:pPr>
      <w:r>
        <w:rPr>
          <w:rFonts w:hint="eastAsia" w:ascii="宋体" w:hAnsi="宋体"/>
          <w:bCs/>
          <w:sz w:val="24"/>
        </w:rPr>
        <w:t>2、标的名称及所属行业</w:t>
      </w:r>
      <w:r>
        <w:rPr>
          <w:rFonts w:hint="eastAsia" w:ascii="宋体" w:hAnsi="宋体"/>
          <w:b/>
          <w:sz w:val="24"/>
        </w:rPr>
        <w:t>（中小企业声明函填写标的相关信息依据下表）</w:t>
      </w:r>
      <w:r>
        <w:rPr>
          <w:rFonts w:hint="eastAsia" w:ascii="宋体" w:hAnsi="宋体"/>
          <w:bCs/>
          <w:sz w:val="24"/>
        </w:rPr>
        <w:t>：</w:t>
      </w:r>
    </w:p>
    <w:tbl>
      <w:tblPr>
        <w:tblStyle w:val="4"/>
        <w:tblW w:w="7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988"/>
        <w:gridCol w:w="1726"/>
        <w:gridCol w:w="1656"/>
        <w:gridCol w:w="947"/>
        <w:gridCol w:w="1661"/>
      </w:tblGrid>
      <w:tr w14:paraId="1F2A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69" w:type="dxa"/>
            <w:noWrap w:val="0"/>
            <w:vAlign w:val="center"/>
          </w:tcPr>
          <w:p w14:paraId="2CC49D47">
            <w:pPr>
              <w:spacing w:after="0" w:line="360" w:lineRule="auto"/>
              <w:jc w:val="center"/>
              <w:rPr>
                <w:rFonts w:ascii="宋体" w:hAnsi="宋体"/>
                <w:b/>
                <w:bCs/>
                <w:szCs w:val="21"/>
              </w:rPr>
            </w:pPr>
            <w:r>
              <w:rPr>
                <w:rFonts w:hint="eastAsia" w:ascii="宋体" w:hAnsi="宋体"/>
                <w:b/>
                <w:bCs/>
                <w:szCs w:val="21"/>
              </w:rPr>
              <w:t>包号</w:t>
            </w:r>
          </w:p>
        </w:tc>
        <w:tc>
          <w:tcPr>
            <w:tcW w:w="988" w:type="dxa"/>
            <w:noWrap w:val="0"/>
            <w:vAlign w:val="center"/>
          </w:tcPr>
          <w:p w14:paraId="23848F9E">
            <w:pPr>
              <w:spacing w:after="0" w:line="360" w:lineRule="auto"/>
              <w:jc w:val="center"/>
              <w:rPr>
                <w:rFonts w:ascii="宋体" w:hAnsi="宋体"/>
                <w:b/>
                <w:bCs/>
                <w:szCs w:val="21"/>
              </w:rPr>
            </w:pPr>
            <w:r>
              <w:rPr>
                <w:rFonts w:hint="eastAsia" w:ascii="宋体" w:hAnsi="宋体"/>
                <w:b/>
                <w:bCs/>
                <w:szCs w:val="21"/>
              </w:rPr>
              <w:t>品目号</w:t>
            </w:r>
          </w:p>
        </w:tc>
        <w:tc>
          <w:tcPr>
            <w:tcW w:w="1726" w:type="dxa"/>
            <w:noWrap w:val="0"/>
            <w:vAlign w:val="center"/>
          </w:tcPr>
          <w:p w14:paraId="56442A1E">
            <w:pPr>
              <w:spacing w:after="0" w:line="360" w:lineRule="auto"/>
              <w:jc w:val="center"/>
              <w:rPr>
                <w:rFonts w:ascii="宋体" w:hAnsi="宋体"/>
                <w:b/>
                <w:bCs/>
                <w:szCs w:val="21"/>
              </w:rPr>
            </w:pPr>
            <w:r>
              <w:rPr>
                <w:rFonts w:hint="eastAsia" w:ascii="宋体" w:hAnsi="宋体"/>
                <w:b/>
                <w:bCs/>
                <w:szCs w:val="21"/>
              </w:rPr>
              <w:t>标的</w:t>
            </w:r>
            <w:r>
              <w:rPr>
                <w:rFonts w:ascii="宋体" w:hAnsi="宋体"/>
                <w:b/>
                <w:bCs/>
                <w:szCs w:val="21"/>
              </w:rPr>
              <w:t>名称</w:t>
            </w:r>
          </w:p>
        </w:tc>
        <w:tc>
          <w:tcPr>
            <w:tcW w:w="1656" w:type="dxa"/>
            <w:noWrap w:val="0"/>
            <w:vAlign w:val="center"/>
          </w:tcPr>
          <w:p w14:paraId="7B0E91E8">
            <w:pPr>
              <w:spacing w:after="0" w:line="360" w:lineRule="auto"/>
              <w:jc w:val="center"/>
              <w:rPr>
                <w:rFonts w:ascii="宋体" w:hAnsi="宋体"/>
                <w:b/>
                <w:bCs/>
                <w:szCs w:val="21"/>
              </w:rPr>
            </w:pPr>
            <w:r>
              <w:rPr>
                <w:rFonts w:hint="eastAsia" w:ascii="宋体" w:hAnsi="宋体"/>
                <w:b/>
                <w:bCs/>
                <w:szCs w:val="21"/>
              </w:rPr>
              <w:t>所属行业</w:t>
            </w:r>
          </w:p>
        </w:tc>
        <w:tc>
          <w:tcPr>
            <w:tcW w:w="947" w:type="dxa"/>
            <w:noWrap w:val="0"/>
            <w:vAlign w:val="center"/>
          </w:tcPr>
          <w:p w14:paraId="22A33EDC">
            <w:pPr>
              <w:spacing w:after="0" w:line="360" w:lineRule="auto"/>
              <w:jc w:val="center"/>
              <w:rPr>
                <w:rFonts w:ascii="宋体" w:hAnsi="宋体"/>
                <w:b/>
                <w:bCs/>
                <w:szCs w:val="21"/>
              </w:rPr>
            </w:pPr>
            <w:r>
              <w:rPr>
                <w:rFonts w:hint="eastAsia" w:ascii="宋体" w:hAnsi="宋体"/>
                <w:b/>
                <w:bCs/>
                <w:szCs w:val="21"/>
              </w:rPr>
              <w:t>★数量</w:t>
            </w:r>
          </w:p>
        </w:tc>
        <w:tc>
          <w:tcPr>
            <w:tcW w:w="1661" w:type="dxa"/>
            <w:noWrap w:val="0"/>
            <w:vAlign w:val="center"/>
          </w:tcPr>
          <w:p w14:paraId="13B82F74">
            <w:pPr>
              <w:spacing w:after="0" w:line="360" w:lineRule="auto"/>
              <w:jc w:val="center"/>
              <w:rPr>
                <w:rFonts w:ascii="宋体" w:hAnsi="宋体"/>
                <w:b/>
                <w:bCs/>
                <w:szCs w:val="21"/>
              </w:rPr>
            </w:pPr>
            <w:r>
              <w:rPr>
                <w:rFonts w:hint="eastAsia" w:ascii="宋体" w:hAnsi="宋体"/>
                <w:b/>
                <w:bCs/>
                <w:szCs w:val="21"/>
              </w:rPr>
              <w:t>是否允许进口产品</w:t>
            </w:r>
          </w:p>
        </w:tc>
      </w:tr>
      <w:tr w14:paraId="7623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69" w:type="dxa"/>
            <w:noWrap w:val="0"/>
            <w:vAlign w:val="center"/>
          </w:tcPr>
          <w:p w14:paraId="56618AA6">
            <w:pPr>
              <w:spacing w:after="0" w:line="360" w:lineRule="auto"/>
              <w:jc w:val="center"/>
              <w:rPr>
                <w:rFonts w:ascii="宋体" w:hAnsi="宋体"/>
                <w:szCs w:val="21"/>
              </w:rPr>
            </w:pPr>
            <w:r>
              <w:rPr>
                <w:rFonts w:ascii="宋体" w:hAnsi="宋体"/>
                <w:szCs w:val="21"/>
              </w:rPr>
              <w:t>01</w:t>
            </w:r>
          </w:p>
        </w:tc>
        <w:tc>
          <w:tcPr>
            <w:tcW w:w="988" w:type="dxa"/>
            <w:noWrap w:val="0"/>
            <w:vAlign w:val="center"/>
          </w:tcPr>
          <w:p w14:paraId="6125F092">
            <w:pPr>
              <w:spacing w:after="0" w:line="360" w:lineRule="auto"/>
              <w:jc w:val="center"/>
              <w:rPr>
                <w:rFonts w:ascii="宋体" w:hAnsi="宋体"/>
                <w:szCs w:val="21"/>
              </w:rPr>
            </w:pPr>
            <w:r>
              <w:rPr>
                <w:rFonts w:ascii="宋体" w:hAnsi="宋体"/>
                <w:szCs w:val="21"/>
              </w:rPr>
              <w:t>01</w:t>
            </w:r>
            <w:r>
              <w:rPr>
                <w:rFonts w:hint="eastAsia" w:ascii="宋体" w:hAnsi="宋体"/>
                <w:szCs w:val="21"/>
              </w:rPr>
              <w:t>-1</w:t>
            </w:r>
          </w:p>
        </w:tc>
        <w:tc>
          <w:tcPr>
            <w:tcW w:w="1726" w:type="dxa"/>
            <w:noWrap w:val="0"/>
            <w:vAlign w:val="center"/>
          </w:tcPr>
          <w:p w14:paraId="2CBDBBAB">
            <w:pPr>
              <w:spacing w:after="0" w:line="360" w:lineRule="auto"/>
              <w:jc w:val="center"/>
              <w:rPr>
                <w:rFonts w:ascii="宋体" w:hAnsi="宋体"/>
                <w:szCs w:val="21"/>
              </w:rPr>
            </w:pPr>
            <w:r>
              <w:rPr>
                <w:rFonts w:hint="eastAsia" w:ascii="宋体" w:hAnsi="宋体"/>
                <w:szCs w:val="21"/>
              </w:rPr>
              <w:t>电子顺磁共振波谱仪</w:t>
            </w:r>
          </w:p>
        </w:tc>
        <w:tc>
          <w:tcPr>
            <w:tcW w:w="1656" w:type="dxa"/>
            <w:noWrap w:val="0"/>
            <w:vAlign w:val="center"/>
          </w:tcPr>
          <w:p w14:paraId="0EBB0464">
            <w:pPr>
              <w:spacing w:after="0" w:line="360" w:lineRule="auto"/>
              <w:jc w:val="center"/>
              <w:rPr>
                <w:rFonts w:ascii="宋体" w:hAnsi="宋体"/>
                <w:szCs w:val="21"/>
              </w:rPr>
            </w:pPr>
            <w:r>
              <w:rPr>
                <w:rFonts w:hint="eastAsia" w:ascii="宋体" w:hAnsi="宋体"/>
                <w:szCs w:val="21"/>
              </w:rPr>
              <w:t>工业</w:t>
            </w:r>
          </w:p>
        </w:tc>
        <w:tc>
          <w:tcPr>
            <w:tcW w:w="947" w:type="dxa"/>
            <w:noWrap w:val="0"/>
            <w:vAlign w:val="center"/>
          </w:tcPr>
          <w:p w14:paraId="44208F52">
            <w:pPr>
              <w:spacing w:after="0" w:line="360" w:lineRule="auto"/>
              <w:jc w:val="center"/>
              <w:rPr>
                <w:rFonts w:ascii="宋体" w:hAnsi="宋体"/>
                <w:szCs w:val="21"/>
              </w:rPr>
            </w:pPr>
            <w:r>
              <w:rPr>
                <w:rFonts w:hint="eastAsia" w:ascii="宋体" w:hAnsi="宋体"/>
                <w:szCs w:val="21"/>
              </w:rPr>
              <w:t>1台</w:t>
            </w:r>
          </w:p>
        </w:tc>
        <w:tc>
          <w:tcPr>
            <w:tcW w:w="1661" w:type="dxa"/>
            <w:noWrap w:val="0"/>
            <w:vAlign w:val="center"/>
          </w:tcPr>
          <w:p w14:paraId="28F14225">
            <w:pPr>
              <w:spacing w:after="0" w:line="360" w:lineRule="auto"/>
              <w:jc w:val="center"/>
              <w:rPr>
                <w:rFonts w:ascii="宋体" w:hAnsi="宋体"/>
                <w:szCs w:val="21"/>
              </w:rPr>
            </w:pPr>
            <w:r>
              <w:rPr>
                <w:rFonts w:hint="eastAsia" w:ascii="宋体" w:hAnsi="宋体"/>
                <w:szCs w:val="21"/>
              </w:rPr>
              <w:t>允许</w:t>
            </w:r>
          </w:p>
        </w:tc>
      </w:tr>
    </w:tbl>
    <w:p w14:paraId="58922005">
      <w:pPr>
        <w:pStyle w:val="3"/>
        <w:spacing w:before="156" w:beforeLines="50" w:after="156" w:afterLines="50" w:line="360" w:lineRule="auto"/>
        <w:ind w:firstLine="0" w:firstLineChars="0"/>
        <w:rPr>
          <w:rFonts w:hint="eastAsia" w:ascii="宋体" w:hAnsi="宋体"/>
          <w:bCs/>
          <w:sz w:val="24"/>
        </w:rPr>
      </w:pPr>
      <w:r>
        <w:rPr>
          <w:rFonts w:hint="eastAsia" w:ascii="宋体" w:hAnsi="宋体"/>
          <w:bCs/>
          <w:sz w:val="24"/>
        </w:rPr>
        <w:t>3、拟采购设备用途说明：</w:t>
      </w:r>
    </w:p>
    <w:p w14:paraId="47B906BE">
      <w:pPr>
        <w:pStyle w:val="3"/>
        <w:spacing w:before="156" w:beforeLines="50" w:after="156" w:afterLines="50" w:line="360" w:lineRule="auto"/>
        <w:ind w:firstLine="0" w:firstLineChars="0"/>
        <w:rPr>
          <w:rFonts w:hint="eastAsia" w:ascii="宋体" w:hAnsi="宋体"/>
          <w:bCs/>
          <w:sz w:val="24"/>
        </w:rPr>
      </w:pPr>
      <w:r>
        <w:rPr>
          <w:rFonts w:hint="eastAsia" w:ascii="宋体" w:hAnsi="宋体"/>
          <w:bCs/>
          <w:sz w:val="24"/>
        </w:rPr>
        <w:t>本次采购的电子顺磁共振波谱仪主要用于化学、物理、材料学、医学和环境等学科中含未成对电子的电子顺磁共振特性相关研究，如自由基及过渡金属离子及其络合物等的检测。</w:t>
      </w:r>
    </w:p>
    <w:p w14:paraId="5D96578F">
      <w:pPr>
        <w:pStyle w:val="3"/>
        <w:spacing w:before="156" w:beforeLines="50" w:after="156" w:afterLines="50" w:line="360" w:lineRule="auto"/>
        <w:ind w:firstLine="0" w:firstLineChars="0"/>
        <w:rPr>
          <w:rFonts w:hint="eastAsia" w:ascii="宋体" w:hAnsi="宋体"/>
          <w:bCs/>
          <w:sz w:val="24"/>
        </w:rPr>
      </w:pPr>
    </w:p>
    <w:p w14:paraId="59D68E01">
      <w:pPr>
        <w:pStyle w:val="2"/>
        <w:spacing w:before="156" w:beforeLines="50" w:after="156" w:afterLines="50" w:line="360" w:lineRule="auto"/>
        <w:ind w:firstLine="236" w:firstLineChars="98"/>
        <w:rPr>
          <w:rFonts w:ascii="宋体" w:hAnsi="宋体" w:eastAsia="宋体"/>
          <w:sz w:val="24"/>
          <w:szCs w:val="24"/>
        </w:rPr>
      </w:pPr>
      <w:r>
        <w:rPr>
          <w:rFonts w:hint="eastAsia" w:ascii="宋体" w:hAnsi="宋体" w:eastAsia="宋体"/>
          <w:sz w:val="24"/>
          <w:szCs w:val="24"/>
        </w:rPr>
        <w:t>二、商务要求</w:t>
      </w:r>
    </w:p>
    <w:p w14:paraId="0BF1F44D">
      <w:pPr>
        <w:spacing w:before="156" w:beforeLines="50" w:after="156" w:afterLines="50" w:line="360" w:lineRule="auto"/>
        <w:rPr>
          <w:rFonts w:ascii="宋体" w:hAnsi="宋体"/>
          <w:b/>
          <w:sz w:val="24"/>
        </w:rPr>
      </w:pPr>
      <w:r>
        <w:rPr>
          <w:rFonts w:hint="eastAsia" w:ascii="宋体" w:hAnsi="宋体"/>
          <w:sz w:val="24"/>
        </w:rPr>
        <w:t>★1.交货期及地点</w:t>
      </w:r>
    </w:p>
    <w:p w14:paraId="0764362F">
      <w:pPr>
        <w:spacing w:before="156" w:beforeLines="50" w:after="156" w:afterLines="50" w:line="360" w:lineRule="auto"/>
        <w:rPr>
          <w:rFonts w:ascii="宋体" w:hAnsi="宋体"/>
          <w:b/>
          <w:sz w:val="24"/>
        </w:rPr>
      </w:pPr>
      <w:r>
        <w:rPr>
          <w:rFonts w:hint="eastAsia" w:ascii="宋体" w:hAnsi="宋体"/>
          <w:sz w:val="24"/>
        </w:rPr>
        <w:t>1.1交货期：合同生效后12个月内交货。</w:t>
      </w:r>
    </w:p>
    <w:p w14:paraId="1FD7BC58">
      <w:pPr>
        <w:spacing w:before="156" w:beforeLines="50" w:after="156" w:afterLines="50" w:line="360" w:lineRule="auto"/>
        <w:rPr>
          <w:rFonts w:ascii="宋体" w:hAnsi="宋体"/>
          <w:b/>
          <w:sz w:val="24"/>
        </w:rPr>
      </w:pPr>
      <w:r>
        <w:rPr>
          <w:rFonts w:hint="eastAsia" w:ascii="宋体" w:hAnsi="宋体"/>
          <w:sz w:val="24"/>
        </w:rPr>
        <w:t>1.2交货地点：四川大学（采购人指定地点）。</w:t>
      </w:r>
    </w:p>
    <w:p w14:paraId="6652FCEC">
      <w:pPr>
        <w:spacing w:before="156" w:beforeLines="50" w:after="156" w:afterLines="50" w:line="360" w:lineRule="auto"/>
        <w:rPr>
          <w:rFonts w:ascii="宋体" w:hAnsi="宋体"/>
          <w:b/>
          <w:sz w:val="24"/>
        </w:rPr>
      </w:pPr>
      <w:r>
        <w:rPr>
          <w:rFonts w:hint="eastAsia" w:ascii="宋体" w:hAnsi="宋体"/>
          <w:sz w:val="24"/>
        </w:rPr>
        <w:t>★2.付款方法和条件（以下两种付款方式，投标人根据自身所投产品情况选择其中之一响应即可）：</w:t>
      </w:r>
    </w:p>
    <w:p w14:paraId="3BE0FD86">
      <w:pPr>
        <w:spacing w:before="156" w:beforeLines="50" w:after="156" w:afterLines="50" w:line="360" w:lineRule="auto"/>
        <w:rPr>
          <w:rFonts w:ascii="宋体" w:hAnsi="宋体"/>
          <w:b/>
          <w:sz w:val="24"/>
        </w:rPr>
      </w:pPr>
      <w:r>
        <w:rPr>
          <w:rFonts w:hint="eastAsia" w:ascii="宋体" w:hAnsi="宋体"/>
          <w:sz w:val="24"/>
        </w:rPr>
        <w:t>2.1国产设备付款方式：</w:t>
      </w:r>
    </w:p>
    <w:p w14:paraId="3A6A7002">
      <w:pPr>
        <w:spacing w:before="156" w:beforeLines="50" w:after="156" w:afterLines="50" w:line="360" w:lineRule="auto"/>
        <w:rPr>
          <w:rFonts w:ascii="宋体" w:hAnsi="宋体"/>
          <w:b/>
          <w:sz w:val="24"/>
        </w:rPr>
      </w:pPr>
      <w:r>
        <w:rPr>
          <w:rFonts w:hint="eastAsia" w:ascii="宋体" w:hAnsi="宋体"/>
          <w:sz w:val="24"/>
        </w:rPr>
        <w:t>采购人在合同生效后向中标人支付合同金额百分之三十款项；全部货物安装调试完毕并经采购人验收合格建立固定资产后支付合同总价的百分之七十款项。若遇采购人寒暑假或财务扎帐时期等原因，付款时间可做适当顺延。</w:t>
      </w:r>
    </w:p>
    <w:p w14:paraId="70EEC016">
      <w:pPr>
        <w:spacing w:before="156" w:beforeLines="50" w:after="156" w:afterLines="50" w:line="360" w:lineRule="auto"/>
        <w:rPr>
          <w:rFonts w:ascii="宋体" w:hAnsi="宋体"/>
          <w:b/>
          <w:sz w:val="24"/>
        </w:rPr>
      </w:pPr>
      <w:r>
        <w:rPr>
          <w:rFonts w:hint="eastAsia" w:ascii="宋体" w:hAnsi="宋体"/>
          <w:sz w:val="24"/>
        </w:rPr>
        <w:t>中标人应在采购人付款前，向采购人开具真实、合法、有效的和足额的发票。若中标人延期提供发票，采购人付款时间相应顺延。</w:t>
      </w:r>
    </w:p>
    <w:p w14:paraId="4B452816">
      <w:pPr>
        <w:spacing w:before="156" w:beforeLines="50" w:after="156" w:afterLines="50" w:line="360" w:lineRule="auto"/>
        <w:rPr>
          <w:rFonts w:ascii="宋体" w:hAnsi="宋体"/>
          <w:b/>
          <w:sz w:val="24"/>
        </w:rPr>
      </w:pPr>
      <w:r>
        <w:rPr>
          <w:rFonts w:hint="eastAsia" w:ascii="宋体" w:hAnsi="宋体"/>
          <w:sz w:val="24"/>
        </w:rPr>
        <w:t>2.2进口设备付款方式：</w:t>
      </w:r>
    </w:p>
    <w:p w14:paraId="7B3FF8E8">
      <w:pPr>
        <w:spacing w:before="156" w:beforeLines="50" w:after="156" w:afterLines="50" w:line="360" w:lineRule="auto"/>
        <w:rPr>
          <w:rFonts w:ascii="宋体" w:hAnsi="宋体"/>
          <w:b/>
          <w:sz w:val="24"/>
        </w:rPr>
      </w:pPr>
      <w:r>
        <w:rPr>
          <w:rFonts w:hint="eastAsia" w:ascii="宋体" w:hAnsi="宋体"/>
          <w:sz w:val="24"/>
        </w:rPr>
        <w:t>采购人与采购人所委托的进口代理公司签订代理进口委托协议后，将进口项目货款支付给进口代理公司指定的银行账户，项目货款仅用于本进口项目的信用证或TT付汇及进口相关费用等。进口代理公司收到采购人合同货款后，按外贸合同要求及时履行与中标人委托的境外代理公司的付款义务。原则上100%不可撤销信用证，设备验收合格后兑付全款。</w:t>
      </w:r>
    </w:p>
    <w:p w14:paraId="67FB2546">
      <w:pPr>
        <w:spacing w:before="156" w:beforeLines="50" w:after="156" w:afterLines="50" w:line="360" w:lineRule="auto"/>
        <w:rPr>
          <w:rFonts w:ascii="宋体" w:hAnsi="宋体"/>
          <w:b/>
          <w:sz w:val="24"/>
        </w:rPr>
      </w:pPr>
      <w:r>
        <w:rPr>
          <w:rFonts w:hint="eastAsia" w:ascii="宋体" w:hAnsi="宋体"/>
          <w:sz w:val="24"/>
        </w:rPr>
        <w:t>★3.涉及的商品包装和快递包装，均应符合《商品包装政府采购需求标准（试行）》《快递包装政府采购需求标准（试行）》的要求，包装应适应于远距离运输、防潮、防震、防锈和防野蛮装卸，以确保货物安全无损运抵指定地点。</w:t>
      </w:r>
    </w:p>
    <w:p w14:paraId="6C1141D4">
      <w:pPr>
        <w:spacing w:before="156" w:beforeLines="50" w:after="156" w:afterLines="50" w:line="360" w:lineRule="auto"/>
        <w:rPr>
          <w:rFonts w:ascii="宋体" w:hAnsi="宋体"/>
          <w:b/>
          <w:sz w:val="24"/>
        </w:rPr>
      </w:pPr>
      <w:r>
        <w:rPr>
          <w:rFonts w:hint="eastAsia" w:ascii="宋体" w:hAnsi="宋体"/>
          <w:sz w:val="24"/>
        </w:rPr>
        <w:t>4.售后服务要求</w:t>
      </w:r>
    </w:p>
    <w:p w14:paraId="7324C464">
      <w:pPr>
        <w:spacing w:before="156" w:beforeLines="50" w:after="156" w:afterLines="50" w:line="360" w:lineRule="auto"/>
        <w:rPr>
          <w:rFonts w:ascii="宋体" w:hAnsi="宋体"/>
          <w:b/>
          <w:sz w:val="24"/>
        </w:rPr>
      </w:pPr>
      <w:r>
        <w:rPr>
          <w:rFonts w:hint="eastAsia" w:ascii="宋体" w:hAnsi="宋体"/>
          <w:sz w:val="24"/>
        </w:rPr>
        <w:t>4.1安装调试：</w:t>
      </w:r>
    </w:p>
    <w:p w14:paraId="3E650EBE">
      <w:pPr>
        <w:spacing w:before="156" w:beforeLines="50" w:after="156" w:afterLines="50" w:line="360" w:lineRule="auto"/>
        <w:rPr>
          <w:rFonts w:ascii="宋体" w:hAnsi="宋体"/>
          <w:b/>
          <w:sz w:val="24"/>
        </w:rPr>
      </w:pPr>
      <w:r>
        <w:rPr>
          <w:rFonts w:hint="eastAsia" w:ascii="宋体" w:hAnsi="宋体"/>
          <w:sz w:val="24"/>
        </w:rPr>
        <w:t>合同签订一个月内投标方应提供设备安装、调试等必备的技术文件，以便采购人能提前作好设备安装的准备工作。</w:t>
      </w:r>
    </w:p>
    <w:p w14:paraId="584AEC49">
      <w:pPr>
        <w:spacing w:before="156" w:beforeLines="50" w:after="156" w:afterLines="50" w:line="360" w:lineRule="auto"/>
        <w:rPr>
          <w:rFonts w:ascii="宋体" w:hAnsi="宋体"/>
          <w:b/>
          <w:sz w:val="24"/>
        </w:rPr>
      </w:pPr>
      <w:r>
        <w:rPr>
          <w:rFonts w:hint="eastAsia" w:ascii="宋体" w:hAnsi="宋体"/>
          <w:sz w:val="24"/>
        </w:rPr>
        <w:t>货物交付时需提供技术资料：培训教材1份，操作规程（说明书或光盘）1份。</w:t>
      </w:r>
    </w:p>
    <w:p w14:paraId="2F9E656B">
      <w:pPr>
        <w:spacing w:before="156" w:beforeLines="50" w:after="156" w:afterLines="50" w:line="360" w:lineRule="auto"/>
        <w:rPr>
          <w:rFonts w:ascii="宋体" w:hAnsi="宋体"/>
          <w:b/>
          <w:sz w:val="24"/>
        </w:rPr>
      </w:pPr>
      <w:r>
        <w:rPr>
          <w:rFonts w:hint="eastAsia" w:ascii="宋体" w:hAnsi="宋体"/>
          <w:sz w:val="24"/>
        </w:rPr>
        <w:t>当货物到达采购人指定的安装现场后，中标人按照采购人通知的日期</w:t>
      </w:r>
      <w:r>
        <w:rPr>
          <w:rFonts w:hint="eastAsia" w:ascii="宋体" w:hAnsi="宋体"/>
          <w:sz w:val="24"/>
          <w:lang w:eastAsia="zh-CN"/>
        </w:rPr>
        <w:t>安</w:t>
      </w:r>
      <w:r>
        <w:rPr>
          <w:rFonts w:hint="eastAsia" w:ascii="宋体" w:hAnsi="宋体"/>
          <w:sz w:val="24"/>
        </w:rPr>
        <w:t>排具有安装调试经验的技术人员负责安装，调试。（安装调试不再另行收取费用，费用包含在投标报价中）。</w:t>
      </w:r>
    </w:p>
    <w:p w14:paraId="77C7E9B0">
      <w:pPr>
        <w:spacing w:before="156" w:beforeLines="50" w:after="156" w:afterLines="50" w:line="360" w:lineRule="auto"/>
        <w:rPr>
          <w:rFonts w:ascii="宋体" w:hAnsi="宋体"/>
          <w:b/>
          <w:sz w:val="24"/>
        </w:rPr>
      </w:pPr>
      <w:r>
        <w:rPr>
          <w:rFonts w:hint="eastAsia" w:ascii="宋体" w:hAnsi="宋体"/>
          <w:sz w:val="24"/>
        </w:rPr>
        <w:t>4.2质保与培训：</w:t>
      </w:r>
    </w:p>
    <w:p w14:paraId="1186D444">
      <w:pPr>
        <w:spacing w:before="156" w:beforeLines="50" w:after="156" w:afterLines="50" w:line="360" w:lineRule="auto"/>
        <w:rPr>
          <w:rFonts w:ascii="宋体" w:hAnsi="宋体"/>
          <w:b/>
          <w:sz w:val="24"/>
        </w:rPr>
      </w:pPr>
      <w:r>
        <w:rPr>
          <w:rFonts w:hint="eastAsia" w:ascii="宋体" w:hAnsi="宋体"/>
          <w:sz w:val="24"/>
        </w:rPr>
        <w:t>★4.2.1质保期：整机保修≥一年（自验收合格之日起算）。</w:t>
      </w:r>
    </w:p>
    <w:p w14:paraId="355DA331">
      <w:pPr>
        <w:spacing w:before="156" w:beforeLines="50" w:after="156" w:afterLines="50" w:line="360" w:lineRule="auto"/>
        <w:rPr>
          <w:rFonts w:ascii="宋体" w:hAnsi="宋体"/>
          <w:b/>
          <w:sz w:val="24"/>
        </w:rPr>
      </w:pPr>
      <w:r>
        <w:rPr>
          <w:rFonts w:hint="eastAsia" w:ascii="宋体" w:hAnsi="宋体"/>
          <w:sz w:val="24"/>
        </w:rPr>
        <w:t>4.2.2质保期内，如产品存在由于设计、制造引起的质量问题，中标人应及时（最迟不应超过3日）更换全新产品（费用包括在投标总价中，不再另行支付费用）。如产品（含主机）出现故障问题，中标人应负责维修维护工作，应在接到采购人通知后2小时内作出响应，如4小时内无法电话解决问题，中标人的维修工程师需在接到故障报告后24小时内到达采购人现场修理和更换零件（费用包括在投标总价中，不再另行支付费用），如5个工作日无法正常使用，需提供全新备用机。否则采购人一切损失由中标人承担。</w:t>
      </w:r>
    </w:p>
    <w:p w14:paraId="6277A63C">
      <w:pPr>
        <w:spacing w:before="156" w:beforeLines="50" w:after="156" w:afterLines="50" w:line="360" w:lineRule="auto"/>
        <w:rPr>
          <w:rFonts w:ascii="宋体" w:hAnsi="宋体"/>
          <w:b/>
          <w:sz w:val="24"/>
        </w:rPr>
      </w:pPr>
      <w:r>
        <w:rPr>
          <w:rFonts w:hint="eastAsia" w:ascii="宋体" w:hAnsi="宋体"/>
          <w:sz w:val="24"/>
        </w:rPr>
        <w:t>4.2.3在质保期届满后，中标人保证继续为采购人提供设备的维修服务，保证在中标产品使用期内以不高于中标产品相关配件及服务的价格，向采购人提供备品、备件及维修服务。</w:t>
      </w:r>
    </w:p>
    <w:p w14:paraId="6BDCB7BF">
      <w:pPr>
        <w:spacing w:before="156" w:beforeLines="50" w:after="156" w:afterLines="50" w:line="360" w:lineRule="auto"/>
        <w:rPr>
          <w:rFonts w:ascii="宋体" w:hAnsi="宋体"/>
          <w:b/>
          <w:sz w:val="24"/>
        </w:rPr>
      </w:pPr>
      <w:r>
        <w:rPr>
          <w:rFonts w:hint="eastAsia" w:ascii="宋体" w:hAnsi="宋体"/>
          <w:sz w:val="24"/>
        </w:rPr>
        <w:t>4.2.4培训计划：仪器安装时进行2天的现场培训，内容包括仪器的技术原理、操作、数据处理、基本维护等；设备安装完成后使用满3个月，提供3天用户现场培训；为采购人单位2名人员提供到供应商实验室进行1周技术培训服务，所需费用包含在投标报价中。</w:t>
      </w:r>
    </w:p>
    <w:p w14:paraId="4545EEC6">
      <w:pPr>
        <w:spacing w:before="156" w:beforeLines="50" w:after="156" w:afterLines="50" w:line="360" w:lineRule="auto"/>
        <w:rPr>
          <w:rFonts w:ascii="宋体" w:hAnsi="宋体"/>
          <w:b/>
          <w:sz w:val="24"/>
        </w:rPr>
      </w:pPr>
      <w:r>
        <w:rPr>
          <w:rFonts w:hint="eastAsia" w:ascii="宋体" w:hAnsi="宋体"/>
          <w:sz w:val="24"/>
        </w:rPr>
        <w:t>4.3投标人在中国大陆应设有维修站。中标后向采购人需提供负责售后服务的部门名称及联系方法以及维修人员的姓名和联系电话。</w:t>
      </w:r>
    </w:p>
    <w:p w14:paraId="5EC84FE7">
      <w:pPr>
        <w:spacing w:before="156" w:beforeLines="50" w:after="156" w:afterLines="50" w:line="360" w:lineRule="auto"/>
        <w:rPr>
          <w:rFonts w:ascii="宋体" w:hAnsi="宋体"/>
          <w:b/>
          <w:sz w:val="24"/>
        </w:rPr>
      </w:pPr>
      <w:r>
        <w:rPr>
          <w:rFonts w:hint="eastAsia" w:ascii="宋体" w:hAnsi="宋体"/>
          <w:sz w:val="24"/>
        </w:rPr>
        <w:t>★5.履约验收：</w:t>
      </w:r>
    </w:p>
    <w:p w14:paraId="12F9FB4F">
      <w:pPr>
        <w:spacing w:before="156" w:beforeLines="50" w:after="156" w:afterLines="50" w:line="360" w:lineRule="auto"/>
        <w:rPr>
          <w:rFonts w:ascii="宋体" w:hAnsi="宋体"/>
          <w:b/>
          <w:sz w:val="24"/>
        </w:rPr>
      </w:pPr>
      <w:r>
        <w:rPr>
          <w:rFonts w:hint="eastAsia" w:ascii="宋体" w:hAnsi="宋体"/>
          <w:sz w:val="24"/>
        </w:rPr>
        <w:t>5.1仪器到达交货地点后由采购人组织验收。</w:t>
      </w:r>
    </w:p>
    <w:p w14:paraId="533ED17C">
      <w:pPr>
        <w:spacing w:before="156" w:beforeLines="50" w:after="156" w:afterLines="50" w:line="360" w:lineRule="auto"/>
        <w:rPr>
          <w:rFonts w:ascii="宋体" w:hAnsi="宋体"/>
          <w:b/>
          <w:sz w:val="24"/>
        </w:rPr>
      </w:pPr>
      <w:r>
        <w:rPr>
          <w:rFonts w:hint="eastAsia" w:ascii="宋体" w:hAnsi="宋体"/>
          <w:sz w:val="24"/>
        </w:rPr>
        <w:t>5.2仪器性能参数按合同规定的各项参数检验，未予说明的，按照国家标准、行业标准、企业标准的顺序进行检验。仪器附件按照配置清单进行验收。</w:t>
      </w:r>
    </w:p>
    <w:p w14:paraId="6247EFFB">
      <w:pPr>
        <w:spacing w:before="156" w:beforeLines="50" w:after="156" w:afterLines="50" w:line="360" w:lineRule="auto"/>
        <w:rPr>
          <w:rFonts w:ascii="宋体" w:hAnsi="宋体"/>
          <w:b/>
          <w:sz w:val="24"/>
        </w:rPr>
      </w:pPr>
      <w:r>
        <w:rPr>
          <w:rFonts w:hint="eastAsia" w:ascii="宋体" w:hAnsi="宋体"/>
          <w:sz w:val="24"/>
        </w:rPr>
        <w:t>5.3仪器设备的各项指标必须符合合同及投标文件响应的技术指标。</w:t>
      </w:r>
    </w:p>
    <w:p w14:paraId="7151DEC7">
      <w:pPr>
        <w:spacing w:before="156" w:beforeLines="50" w:after="156" w:afterLines="50" w:line="360" w:lineRule="auto"/>
        <w:rPr>
          <w:rFonts w:ascii="宋体" w:hAnsi="宋体"/>
          <w:b/>
          <w:sz w:val="24"/>
        </w:rPr>
      </w:pPr>
      <w:r>
        <w:rPr>
          <w:rFonts w:hint="eastAsia" w:ascii="宋体" w:hAnsi="宋体"/>
          <w:sz w:val="24"/>
        </w:rPr>
        <w:t>5.4仪器验收合格后需填写《四川大学仪器设备验收单》（模板由采购人提供）。</w:t>
      </w:r>
    </w:p>
    <w:p w14:paraId="5F57EE8C">
      <w:pPr>
        <w:spacing w:before="156" w:beforeLines="50" w:after="156" w:afterLines="50" w:line="360" w:lineRule="auto"/>
        <w:rPr>
          <w:rFonts w:hint="eastAsia" w:ascii="宋体" w:hAnsi="宋体"/>
          <w:bCs/>
          <w:sz w:val="24"/>
        </w:rPr>
      </w:pPr>
      <w:r>
        <w:rPr>
          <w:rFonts w:hint="eastAsia" w:ascii="宋体" w:hAnsi="宋体"/>
          <w:sz w:val="24"/>
        </w:rPr>
        <w:t>5.5中标人应积极配合采购人做好安装调试，安装调试完毕后向采购人提出验收申请，国产设备采购人应在30个工作日内完成验收并签署验收意见，进口设备采购人应在3个月内完成验收并签署验收意</w:t>
      </w:r>
      <w:r>
        <w:rPr>
          <w:rFonts w:hint="eastAsia" w:ascii="宋体" w:hAnsi="宋体"/>
          <w:bCs/>
          <w:sz w:val="24"/>
        </w:rPr>
        <w:t>见。</w:t>
      </w:r>
    </w:p>
    <w:p w14:paraId="771C3F97">
      <w:pPr>
        <w:spacing w:before="156" w:beforeLines="50" w:after="156" w:afterLines="50" w:line="360" w:lineRule="auto"/>
        <w:rPr>
          <w:rFonts w:ascii="宋体" w:hAnsi="宋体"/>
          <w:bCs/>
          <w:sz w:val="24"/>
        </w:rPr>
      </w:pPr>
    </w:p>
    <w:p w14:paraId="498B3CEF">
      <w:pPr>
        <w:pStyle w:val="2"/>
        <w:spacing w:before="156" w:beforeLines="50" w:after="156" w:afterLines="50" w:line="360" w:lineRule="auto"/>
        <w:ind w:firstLine="236" w:firstLineChars="98"/>
        <w:rPr>
          <w:rFonts w:ascii="宋体" w:hAnsi="宋体" w:eastAsia="宋体"/>
          <w:sz w:val="24"/>
          <w:szCs w:val="24"/>
        </w:rPr>
      </w:pPr>
      <w:r>
        <w:rPr>
          <w:rFonts w:hint="eastAsia" w:ascii="宋体" w:hAnsi="宋体" w:eastAsia="宋体"/>
          <w:sz w:val="24"/>
          <w:szCs w:val="24"/>
        </w:rPr>
        <w:t>三、技术、服务要求</w:t>
      </w:r>
      <w:bookmarkEnd w:id="1"/>
    </w:p>
    <w:p w14:paraId="0CC42FAF">
      <w:pPr>
        <w:spacing w:before="156" w:beforeLines="50" w:after="156" w:afterLines="50" w:line="360" w:lineRule="auto"/>
        <w:rPr>
          <w:rFonts w:ascii="宋体" w:hAnsi="宋体"/>
          <w:b/>
          <w:sz w:val="24"/>
        </w:rPr>
      </w:pPr>
      <w:r>
        <w:rPr>
          <w:rFonts w:hint="eastAsia" w:ascii="宋体" w:hAnsi="宋体"/>
          <w:sz w:val="24"/>
        </w:rPr>
        <w:t>1、工作条件：</w:t>
      </w:r>
    </w:p>
    <w:p w14:paraId="204145D3">
      <w:pPr>
        <w:spacing w:before="156" w:beforeLines="50" w:after="156" w:afterLines="50" w:line="360" w:lineRule="auto"/>
        <w:rPr>
          <w:rFonts w:ascii="宋体" w:hAnsi="宋体"/>
          <w:b/>
          <w:sz w:val="24"/>
        </w:rPr>
      </w:pPr>
      <w:r>
        <w:rPr>
          <w:rFonts w:hint="eastAsia" w:ascii="宋体" w:hAnsi="宋体"/>
          <w:sz w:val="24"/>
        </w:rPr>
        <w:t>1.1、电源电压：50Hz的三相380V（±10%）；</w:t>
      </w:r>
    </w:p>
    <w:p w14:paraId="71EC2FAE">
      <w:pPr>
        <w:spacing w:before="156" w:beforeLines="50" w:after="156" w:afterLines="50" w:line="360" w:lineRule="auto"/>
        <w:rPr>
          <w:rFonts w:ascii="宋体" w:hAnsi="宋体"/>
          <w:b/>
          <w:sz w:val="24"/>
        </w:rPr>
      </w:pPr>
      <w:r>
        <w:rPr>
          <w:rFonts w:hint="eastAsia" w:ascii="宋体" w:hAnsi="宋体"/>
          <w:sz w:val="24"/>
        </w:rPr>
        <w:t>1.2、环境温度：15~30℃；</w:t>
      </w:r>
    </w:p>
    <w:p w14:paraId="078A6234">
      <w:pPr>
        <w:spacing w:before="156" w:beforeLines="50" w:after="156" w:afterLines="50" w:line="360" w:lineRule="auto"/>
        <w:rPr>
          <w:rFonts w:ascii="宋体" w:hAnsi="宋体"/>
          <w:b/>
          <w:sz w:val="24"/>
        </w:rPr>
      </w:pPr>
      <w:r>
        <w:rPr>
          <w:rFonts w:hint="eastAsia" w:ascii="宋体" w:hAnsi="宋体"/>
          <w:sz w:val="24"/>
        </w:rPr>
        <w:t>1.3、相对湿度：≤80%；</w:t>
      </w:r>
    </w:p>
    <w:p w14:paraId="6E2585F5">
      <w:pPr>
        <w:spacing w:before="156" w:beforeLines="50" w:after="156" w:afterLines="50" w:line="360" w:lineRule="auto"/>
        <w:rPr>
          <w:rFonts w:ascii="宋体" w:hAnsi="宋体"/>
          <w:b/>
          <w:sz w:val="24"/>
        </w:rPr>
      </w:pPr>
      <w:r>
        <w:rPr>
          <w:rFonts w:hint="eastAsia" w:ascii="宋体" w:hAnsi="宋体"/>
          <w:sz w:val="24"/>
        </w:rPr>
        <w:t>1.4、操作持续时间：至少连续工作168小时。</w:t>
      </w:r>
    </w:p>
    <w:p w14:paraId="612729C5">
      <w:pPr>
        <w:spacing w:before="156" w:beforeLines="50" w:after="156" w:afterLines="50" w:line="360" w:lineRule="auto"/>
        <w:rPr>
          <w:rFonts w:ascii="宋体" w:hAnsi="宋体"/>
          <w:b/>
          <w:sz w:val="24"/>
        </w:rPr>
      </w:pPr>
      <w:r>
        <w:rPr>
          <w:rFonts w:hint="eastAsia" w:ascii="宋体" w:hAnsi="宋体"/>
          <w:sz w:val="24"/>
        </w:rPr>
        <w:t>2、主要技术规格及要求：</w:t>
      </w:r>
    </w:p>
    <w:p w14:paraId="4A7D6761">
      <w:pPr>
        <w:spacing w:before="156" w:beforeLines="50" w:after="156" w:afterLines="50" w:line="360" w:lineRule="auto"/>
        <w:rPr>
          <w:rFonts w:ascii="宋体" w:hAnsi="宋体"/>
          <w:b/>
          <w:sz w:val="24"/>
        </w:rPr>
      </w:pPr>
      <w:r>
        <w:rPr>
          <w:rFonts w:hint="eastAsia" w:ascii="宋体" w:hAnsi="宋体"/>
          <w:sz w:val="24"/>
        </w:rPr>
        <w:t>2.1、仪器总体要求</w:t>
      </w:r>
    </w:p>
    <w:p w14:paraId="0E36C07C">
      <w:pPr>
        <w:spacing w:before="156" w:beforeLines="50" w:after="156" w:afterLines="50" w:line="360" w:lineRule="auto"/>
        <w:rPr>
          <w:rFonts w:ascii="宋体" w:hAnsi="宋体"/>
          <w:b/>
          <w:sz w:val="24"/>
        </w:rPr>
      </w:pPr>
      <w:r>
        <w:rPr>
          <w:rFonts w:hint="eastAsia" w:ascii="宋体" w:hAnsi="宋体"/>
          <w:sz w:val="24"/>
        </w:rPr>
        <w:t>电子顺磁共振波谱仪应具有顺磁共振实验功能，且需是生产厂商正式发布、公开发售（用户可获得其公开资料）的型号。具有获得图谱的数据采集、处理和输出能力，以及数据文件管理能力的软件。</w:t>
      </w:r>
    </w:p>
    <w:p w14:paraId="3CB17B4D">
      <w:pPr>
        <w:spacing w:before="156" w:beforeLines="50" w:after="156" w:afterLines="50" w:line="360" w:lineRule="auto"/>
        <w:rPr>
          <w:rFonts w:ascii="宋体" w:hAnsi="宋体"/>
          <w:b/>
          <w:sz w:val="24"/>
        </w:rPr>
      </w:pPr>
      <w:r>
        <w:rPr>
          <w:rFonts w:hint="eastAsia" w:ascii="宋体" w:hAnsi="宋体"/>
          <w:sz w:val="24"/>
        </w:rPr>
        <w:t>2.2、重要指标</w:t>
      </w:r>
    </w:p>
    <w:p w14:paraId="1C424A99">
      <w:pPr>
        <w:spacing w:before="156" w:beforeLines="50" w:after="156" w:afterLines="50" w:line="360" w:lineRule="auto"/>
        <w:rPr>
          <w:rFonts w:ascii="宋体" w:hAnsi="宋体"/>
          <w:b/>
          <w:sz w:val="24"/>
        </w:rPr>
      </w:pPr>
      <w:r>
        <w:rPr>
          <w:rFonts w:hint="eastAsia" w:ascii="宋体" w:hAnsi="宋体"/>
          <w:sz w:val="24"/>
        </w:rPr>
        <w:t>2.2.1、灵敏度：</w:t>
      </w:r>
    </w:p>
    <w:p w14:paraId="1197D876">
      <w:pPr>
        <w:spacing w:before="156" w:beforeLines="50" w:after="156" w:afterLines="50" w:line="360" w:lineRule="auto"/>
        <w:rPr>
          <w:rFonts w:ascii="宋体" w:hAnsi="宋体"/>
          <w:b/>
          <w:sz w:val="24"/>
        </w:rPr>
      </w:pPr>
      <w:r>
        <w:rPr>
          <w:rFonts w:hint="eastAsia" w:ascii="宋体" w:hAnsi="宋体"/>
          <w:sz w:val="24"/>
        </w:rPr>
        <w:t>▲2.2.1.1、可检测最小绝对自旋数≤1</w:t>
      </w:r>
      <w:r>
        <w:rPr>
          <w:rFonts w:hint="eastAsia" w:ascii="宋体" w:hAnsi="宋体"/>
          <w:sz w:val="24"/>
        </w:rPr>
        <w:sym w:font="Symbol" w:char="F0B4"/>
      </w:r>
      <w:r>
        <w:rPr>
          <w:rFonts w:hint="eastAsia" w:ascii="宋体" w:hAnsi="宋体"/>
          <w:sz w:val="24"/>
        </w:rPr>
        <w:t>10</w:t>
      </w:r>
      <w:r>
        <w:rPr>
          <w:rFonts w:ascii="宋体" w:hAnsi="宋体"/>
          <w:b/>
          <w:sz w:val="24"/>
          <w:vertAlign w:val="superscript"/>
        </w:rPr>
        <w:t>9</w:t>
      </w:r>
      <w:r>
        <w:rPr>
          <w:rFonts w:hint="eastAsia" w:ascii="宋体" w:hAnsi="宋体"/>
          <w:sz w:val="24"/>
        </w:rPr>
        <w:t xml:space="preserve"> spins/G</w:t>
      </w:r>
      <w:r>
        <w:rPr>
          <w:rFonts w:hint="eastAsia" w:ascii="宋体" w:hAnsi="宋体"/>
          <w:bCs/>
          <w:sz w:val="24"/>
        </w:rPr>
        <w:t>线宽</w:t>
      </w:r>
      <w:r>
        <w:rPr>
          <w:rFonts w:hint="eastAsia" w:ascii="宋体" w:hAnsi="宋体"/>
          <w:sz w:val="24"/>
        </w:rPr>
        <w:t>（要求提供生产厂家官方网站截图或提供由CMA资质的检测机构出具的检测报告作为依据）；</w:t>
      </w:r>
    </w:p>
    <w:p w14:paraId="109BB60C">
      <w:pPr>
        <w:spacing w:before="156" w:beforeLines="50" w:after="156" w:afterLines="50" w:line="360" w:lineRule="auto"/>
        <w:rPr>
          <w:rFonts w:ascii="宋体" w:hAnsi="宋体"/>
          <w:b/>
          <w:sz w:val="24"/>
        </w:rPr>
      </w:pPr>
      <w:r>
        <w:rPr>
          <w:rFonts w:hint="eastAsia" w:ascii="宋体" w:hAnsi="宋体"/>
          <w:sz w:val="24"/>
        </w:rPr>
        <w:t>▲2.2.1.2、信噪比S/N ≥3000：1（以弱沥青为标样，测试噪声时的微波衰减需为0dB。提供生产厂家官方网站公示的参数截图，以及测试谱图和数据作为佐证）；</w:t>
      </w:r>
    </w:p>
    <w:p w14:paraId="2BDB802A">
      <w:pPr>
        <w:spacing w:before="156" w:beforeLines="50" w:after="156" w:afterLines="50" w:line="360" w:lineRule="auto"/>
        <w:rPr>
          <w:rFonts w:ascii="宋体" w:hAnsi="宋体"/>
          <w:b/>
          <w:sz w:val="24"/>
        </w:rPr>
      </w:pPr>
      <w:r>
        <w:rPr>
          <w:rFonts w:hint="eastAsia" w:ascii="宋体" w:hAnsi="宋体"/>
          <w:sz w:val="24"/>
        </w:rPr>
        <w:t>2.2.2、分辨率：</w:t>
      </w:r>
    </w:p>
    <w:p w14:paraId="27E84774">
      <w:pPr>
        <w:spacing w:before="156" w:beforeLines="50" w:after="156" w:afterLines="50" w:line="360" w:lineRule="auto"/>
        <w:rPr>
          <w:rFonts w:ascii="宋体" w:hAnsi="宋体"/>
          <w:b/>
          <w:sz w:val="24"/>
        </w:rPr>
      </w:pPr>
      <w:r>
        <w:rPr>
          <w:rFonts w:hint="eastAsia" w:ascii="宋体" w:hAnsi="宋体"/>
          <w:sz w:val="24"/>
        </w:rPr>
        <w:t>▲2.2.2.1、数字化分辨率≥32bit（要求提供生产厂家官方网站截图或提供由CMA资质的检测机构出具的检测报告作为依据）；</w:t>
      </w:r>
    </w:p>
    <w:p w14:paraId="074F7269">
      <w:pPr>
        <w:spacing w:before="156" w:beforeLines="50" w:after="156" w:afterLines="50" w:line="360" w:lineRule="auto"/>
        <w:rPr>
          <w:rFonts w:ascii="宋体" w:hAnsi="宋体"/>
          <w:b/>
          <w:sz w:val="24"/>
        </w:rPr>
      </w:pPr>
      <w:r>
        <w:rPr>
          <w:rFonts w:hint="eastAsia" w:ascii="宋体" w:hAnsi="宋体"/>
          <w:sz w:val="24"/>
        </w:rPr>
        <w:t>2.2.2.2、磁体分辨率≤10mG；</w:t>
      </w:r>
    </w:p>
    <w:p w14:paraId="4CB12028">
      <w:pPr>
        <w:spacing w:before="156" w:beforeLines="50" w:after="156" w:afterLines="50" w:line="360" w:lineRule="auto"/>
        <w:rPr>
          <w:rFonts w:ascii="宋体" w:hAnsi="宋体"/>
          <w:b/>
          <w:sz w:val="24"/>
        </w:rPr>
      </w:pPr>
      <w:r>
        <w:rPr>
          <w:rFonts w:hint="eastAsia" w:ascii="宋体" w:hAnsi="宋体"/>
          <w:sz w:val="24"/>
        </w:rPr>
        <w:t>2.2.3、稳定性：</w:t>
      </w:r>
    </w:p>
    <w:p w14:paraId="51F70822">
      <w:pPr>
        <w:spacing w:before="156" w:beforeLines="50" w:after="156" w:afterLines="50" w:line="360" w:lineRule="auto"/>
        <w:rPr>
          <w:rFonts w:ascii="宋体" w:hAnsi="宋体"/>
          <w:b/>
          <w:sz w:val="24"/>
        </w:rPr>
      </w:pPr>
      <w:r>
        <w:rPr>
          <w:rFonts w:hint="eastAsia" w:ascii="宋体" w:hAnsi="宋体"/>
          <w:sz w:val="24"/>
        </w:rPr>
        <w:t>2.2.3.1、磁场噪声（3分钟稳定性）：≤5mG；</w:t>
      </w:r>
    </w:p>
    <w:p w14:paraId="037BF054">
      <w:pPr>
        <w:spacing w:before="156" w:beforeLines="50" w:after="156" w:afterLines="50" w:line="360" w:lineRule="auto"/>
        <w:rPr>
          <w:rFonts w:ascii="宋体" w:hAnsi="宋体"/>
          <w:b/>
          <w:sz w:val="24"/>
        </w:rPr>
      </w:pPr>
      <w:r>
        <w:rPr>
          <w:rFonts w:hint="eastAsia" w:ascii="宋体" w:hAnsi="宋体"/>
          <w:sz w:val="24"/>
        </w:rPr>
        <w:t>2.2.3.2、磁场稳定性（60分钟稳定性）：≤10mG；</w:t>
      </w:r>
    </w:p>
    <w:p w14:paraId="7986C214">
      <w:pPr>
        <w:spacing w:before="156" w:beforeLines="50" w:after="156" w:afterLines="50" w:line="360" w:lineRule="auto"/>
        <w:rPr>
          <w:rFonts w:ascii="宋体" w:hAnsi="宋体"/>
          <w:b/>
          <w:sz w:val="24"/>
        </w:rPr>
      </w:pPr>
      <w:r>
        <w:rPr>
          <w:rFonts w:hint="eastAsia" w:ascii="宋体" w:hAnsi="宋体"/>
          <w:sz w:val="24"/>
        </w:rPr>
        <w:t>2.3、微波系统性能要求：</w:t>
      </w:r>
    </w:p>
    <w:p w14:paraId="25DF5170">
      <w:pPr>
        <w:spacing w:before="156" w:beforeLines="50" w:after="156" w:afterLines="50" w:line="360" w:lineRule="auto"/>
        <w:rPr>
          <w:rFonts w:ascii="宋体" w:hAnsi="宋体"/>
          <w:b/>
          <w:sz w:val="24"/>
        </w:rPr>
      </w:pPr>
      <w:r>
        <w:rPr>
          <w:rFonts w:hint="eastAsia" w:ascii="宋体" w:hAnsi="宋体"/>
          <w:sz w:val="24"/>
        </w:rPr>
        <w:t>2.3.1、微波工作频率：X波段（9.2GHz~9.9GHz）；</w:t>
      </w:r>
    </w:p>
    <w:p w14:paraId="30B4FF2C">
      <w:pPr>
        <w:spacing w:before="156" w:beforeLines="50" w:after="156" w:afterLines="50" w:line="360" w:lineRule="auto"/>
        <w:rPr>
          <w:rFonts w:ascii="宋体" w:hAnsi="宋体"/>
          <w:b/>
          <w:sz w:val="24"/>
        </w:rPr>
      </w:pPr>
      <w:r>
        <w:rPr>
          <w:rFonts w:hint="eastAsia" w:ascii="宋体" w:hAnsi="宋体"/>
          <w:sz w:val="24"/>
        </w:rPr>
        <w:t>2.3.2、微波源：耿氏固体源；</w:t>
      </w:r>
    </w:p>
    <w:p w14:paraId="360B0401">
      <w:pPr>
        <w:spacing w:before="156" w:beforeLines="50" w:after="156" w:afterLines="50" w:line="360" w:lineRule="auto"/>
        <w:rPr>
          <w:rFonts w:ascii="宋体" w:hAnsi="宋体"/>
          <w:b/>
          <w:sz w:val="24"/>
        </w:rPr>
      </w:pPr>
      <w:r>
        <w:rPr>
          <w:rFonts w:hint="eastAsia" w:ascii="宋体" w:hAnsi="宋体"/>
          <w:sz w:val="24"/>
        </w:rPr>
        <w:t>▲2.3.3、最大功率输出：≥600mW，最大校平输出功率：≥200mW（要求提供生产厂家官方网站截图或提供由CMA资质的检测机构出具的检测报告作为依据）；</w:t>
      </w:r>
    </w:p>
    <w:p w14:paraId="2A08C822">
      <w:pPr>
        <w:spacing w:before="156" w:beforeLines="50" w:after="156" w:afterLines="50" w:line="360" w:lineRule="auto"/>
        <w:rPr>
          <w:rFonts w:ascii="宋体" w:hAnsi="宋体"/>
          <w:b/>
          <w:sz w:val="24"/>
        </w:rPr>
      </w:pPr>
      <w:r>
        <w:rPr>
          <w:rFonts w:hint="eastAsia" w:ascii="宋体" w:hAnsi="宋体"/>
          <w:sz w:val="24"/>
        </w:rPr>
        <w:t>2.3.4、微波功率衰减：0~60dB, 分辨率1dB,精度为±0.2dB；</w:t>
      </w:r>
    </w:p>
    <w:p w14:paraId="1D5954D8">
      <w:pPr>
        <w:spacing w:before="156" w:beforeLines="50" w:after="156" w:afterLines="50" w:line="360" w:lineRule="auto"/>
        <w:rPr>
          <w:rFonts w:ascii="宋体" w:hAnsi="宋体"/>
          <w:b/>
          <w:sz w:val="24"/>
        </w:rPr>
      </w:pPr>
      <w:r>
        <w:rPr>
          <w:rFonts w:hint="eastAsia" w:ascii="宋体" w:hAnsi="宋体"/>
          <w:sz w:val="24"/>
        </w:rPr>
        <w:t>2.3.5、频率计：分辨率为≤1kHz；</w:t>
      </w:r>
    </w:p>
    <w:p w14:paraId="120FC4DE">
      <w:pPr>
        <w:spacing w:before="156" w:beforeLines="50" w:after="156" w:afterLines="50" w:line="360" w:lineRule="auto"/>
        <w:rPr>
          <w:rFonts w:ascii="宋体" w:hAnsi="宋体"/>
          <w:b/>
          <w:sz w:val="24"/>
        </w:rPr>
      </w:pPr>
      <w:r>
        <w:rPr>
          <w:rFonts w:hint="eastAsia" w:ascii="宋体" w:hAnsi="宋体"/>
          <w:sz w:val="24"/>
        </w:rPr>
        <w:t>2.3.6、自动调谐功能和谐振腔自动匹配；</w:t>
      </w:r>
    </w:p>
    <w:p w14:paraId="704A9C21">
      <w:pPr>
        <w:spacing w:before="156" w:beforeLines="50" w:after="156" w:afterLines="50" w:line="360" w:lineRule="auto"/>
        <w:rPr>
          <w:rFonts w:ascii="宋体" w:hAnsi="宋体"/>
          <w:b/>
          <w:sz w:val="24"/>
        </w:rPr>
      </w:pPr>
      <w:r>
        <w:rPr>
          <w:rFonts w:hint="eastAsia" w:ascii="宋体" w:hAnsi="宋体"/>
          <w:sz w:val="24"/>
        </w:rPr>
        <w:t>2.3.7、通过软件控制微波参数；</w:t>
      </w:r>
    </w:p>
    <w:p w14:paraId="6FF087E6">
      <w:pPr>
        <w:spacing w:before="156" w:beforeLines="50" w:after="156" w:afterLines="50" w:line="360" w:lineRule="auto"/>
        <w:rPr>
          <w:rFonts w:ascii="宋体" w:hAnsi="宋体"/>
          <w:b/>
          <w:sz w:val="24"/>
        </w:rPr>
      </w:pPr>
      <w:r>
        <w:rPr>
          <w:rFonts w:hint="eastAsia" w:ascii="宋体" w:hAnsi="宋体"/>
          <w:sz w:val="24"/>
        </w:rPr>
        <w:t>2.3.8、具备微波调谐模图样的放大功能；</w:t>
      </w:r>
    </w:p>
    <w:p w14:paraId="64C42A49">
      <w:pPr>
        <w:spacing w:before="156" w:beforeLines="50" w:after="156" w:afterLines="50" w:line="360" w:lineRule="auto"/>
        <w:rPr>
          <w:rFonts w:ascii="宋体" w:hAnsi="宋体"/>
          <w:b/>
          <w:sz w:val="24"/>
        </w:rPr>
      </w:pPr>
      <w:r>
        <w:rPr>
          <w:rFonts w:hint="eastAsia" w:ascii="宋体" w:hAnsi="宋体"/>
          <w:sz w:val="24"/>
        </w:rPr>
        <w:t>2.3.9、AFC频率稳定性：不低于10</w:t>
      </w:r>
      <w:r>
        <w:rPr>
          <w:rFonts w:hint="eastAsia" w:ascii="宋体" w:hAnsi="宋体"/>
          <w:b/>
          <w:bCs/>
          <w:sz w:val="24"/>
          <w:vertAlign w:val="superscript"/>
        </w:rPr>
        <w:t>-8</w:t>
      </w:r>
      <w:r>
        <w:rPr>
          <w:rFonts w:hint="eastAsia" w:ascii="宋体" w:hAnsi="宋体"/>
          <w:sz w:val="24"/>
        </w:rPr>
        <w:t>；</w:t>
      </w:r>
    </w:p>
    <w:p w14:paraId="43EB3533">
      <w:pPr>
        <w:spacing w:before="156" w:beforeLines="50" w:after="156" w:afterLines="50" w:line="360" w:lineRule="auto"/>
        <w:rPr>
          <w:rFonts w:ascii="宋体" w:hAnsi="宋体"/>
          <w:b/>
          <w:sz w:val="24"/>
        </w:rPr>
      </w:pPr>
      <w:r>
        <w:rPr>
          <w:rFonts w:hint="eastAsia" w:ascii="宋体" w:hAnsi="宋体"/>
          <w:sz w:val="24"/>
        </w:rPr>
        <w:t>2.3.10、AFC 动态范围：±6MHz；</w:t>
      </w:r>
    </w:p>
    <w:p w14:paraId="15D294F7">
      <w:pPr>
        <w:spacing w:before="156" w:beforeLines="50" w:after="156" w:afterLines="50" w:line="360" w:lineRule="auto"/>
        <w:rPr>
          <w:rFonts w:ascii="宋体" w:hAnsi="宋体"/>
          <w:b/>
          <w:sz w:val="24"/>
        </w:rPr>
      </w:pPr>
      <w:r>
        <w:rPr>
          <w:rFonts w:hint="eastAsia" w:ascii="宋体" w:hAnsi="宋体"/>
          <w:sz w:val="24"/>
        </w:rPr>
        <w:t>▲2.3.11、前置放大器：30Hz</w:t>
      </w:r>
      <w:r>
        <w:rPr>
          <w:rFonts w:ascii="宋体" w:hAnsi="宋体" w:cs="Courier New"/>
          <w:sz w:val="24"/>
        </w:rPr>
        <w:t>–</w:t>
      </w:r>
      <w:r>
        <w:rPr>
          <w:rFonts w:hint="eastAsia" w:ascii="宋体" w:hAnsi="宋体"/>
          <w:sz w:val="24"/>
        </w:rPr>
        <w:t>6.5MHz（要求提供生产厂家官方网站截图或提供由CMA资质的检测机构出具的检测报告作为依据）；</w:t>
      </w:r>
    </w:p>
    <w:p w14:paraId="51F4D238">
      <w:pPr>
        <w:spacing w:before="156" w:beforeLines="50" w:after="156" w:afterLines="50" w:line="360" w:lineRule="auto"/>
        <w:rPr>
          <w:rFonts w:ascii="宋体" w:hAnsi="宋体"/>
          <w:b/>
          <w:sz w:val="24"/>
        </w:rPr>
      </w:pPr>
      <w:r>
        <w:rPr>
          <w:rFonts w:hint="eastAsia" w:ascii="宋体" w:hAnsi="宋体"/>
          <w:sz w:val="24"/>
        </w:rPr>
        <w:t>2.3.12、能够自动测定有载Q值，并显示在软件中，并与其它参数同样存储在仪器的数据文件里；</w:t>
      </w:r>
    </w:p>
    <w:p w14:paraId="4D15DA7D">
      <w:pPr>
        <w:spacing w:before="156" w:beforeLines="50" w:after="156" w:afterLines="50" w:line="360" w:lineRule="auto"/>
        <w:rPr>
          <w:rFonts w:ascii="宋体" w:hAnsi="宋体"/>
          <w:b/>
          <w:sz w:val="24"/>
        </w:rPr>
      </w:pPr>
      <w:r>
        <w:rPr>
          <w:rFonts w:hint="eastAsia" w:ascii="宋体" w:hAnsi="宋体"/>
          <w:sz w:val="24"/>
        </w:rPr>
        <w:t>2.4、谐振腔性能要求：</w:t>
      </w:r>
    </w:p>
    <w:p w14:paraId="132567AE">
      <w:pPr>
        <w:spacing w:before="156" w:beforeLines="50" w:after="156" w:afterLines="50" w:line="360" w:lineRule="auto"/>
        <w:rPr>
          <w:rFonts w:ascii="宋体" w:hAnsi="宋体"/>
          <w:b/>
          <w:sz w:val="24"/>
        </w:rPr>
      </w:pPr>
      <w:r>
        <w:rPr>
          <w:rFonts w:hint="eastAsia" w:ascii="宋体" w:hAnsi="宋体"/>
          <w:sz w:val="24"/>
        </w:rPr>
        <w:t>2.4.1、最大调制幅度≥20G；</w:t>
      </w:r>
    </w:p>
    <w:p w14:paraId="391254F5">
      <w:pPr>
        <w:spacing w:before="156" w:beforeLines="50" w:after="156" w:afterLines="50" w:line="360" w:lineRule="auto"/>
        <w:rPr>
          <w:rFonts w:ascii="宋体" w:hAnsi="宋体"/>
          <w:b/>
          <w:sz w:val="24"/>
        </w:rPr>
      </w:pPr>
      <w:r>
        <w:rPr>
          <w:rFonts w:hint="eastAsia" w:ascii="宋体" w:hAnsi="宋体"/>
          <w:sz w:val="24"/>
        </w:rPr>
        <w:t>2.4.2、最大≥10mm样品入口；</w:t>
      </w:r>
    </w:p>
    <w:p w14:paraId="5A0CFF93">
      <w:pPr>
        <w:spacing w:before="156" w:beforeLines="50" w:after="156" w:afterLines="50" w:line="360" w:lineRule="auto"/>
        <w:rPr>
          <w:rFonts w:ascii="宋体" w:hAnsi="宋体"/>
          <w:b/>
          <w:sz w:val="24"/>
        </w:rPr>
      </w:pPr>
      <w:r>
        <w:rPr>
          <w:rFonts w:hint="eastAsia" w:ascii="宋体" w:hAnsi="宋体"/>
          <w:sz w:val="24"/>
        </w:rPr>
        <w:t>2.4.3、无载Q值≥16000；</w:t>
      </w:r>
    </w:p>
    <w:p w14:paraId="31084E54">
      <w:pPr>
        <w:spacing w:before="156" w:beforeLines="50" w:after="156" w:afterLines="50" w:line="360" w:lineRule="auto"/>
        <w:rPr>
          <w:rFonts w:ascii="宋体" w:hAnsi="宋体"/>
          <w:b/>
          <w:sz w:val="24"/>
        </w:rPr>
      </w:pPr>
      <w:r>
        <w:rPr>
          <w:rFonts w:hint="eastAsia" w:ascii="宋体" w:hAnsi="宋体"/>
          <w:sz w:val="24"/>
        </w:rPr>
        <w:t>2.4.4、可检测有损耗和无损耗的样品；</w:t>
      </w:r>
    </w:p>
    <w:p w14:paraId="1291F2EA">
      <w:pPr>
        <w:spacing w:before="156" w:beforeLines="50" w:after="156" w:afterLines="50" w:line="360" w:lineRule="auto"/>
        <w:rPr>
          <w:rFonts w:ascii="宋体" w:hAnsi="宋体"/>
          <w:b/>
          <w:sz w:val="24"/>
        </w:rPr>
      </w:pPr>
      <w:r>
        <w:rPr>
          <w:rFonts w:hint="eastAsia" w:ascii="宋体" w:hAnsi="宋体"/>
          <w:sz w:val="24"/>
        </w:rPr>
        <w:t>2.4.5、能用于液氮、液氦变温单元；</w:t>
      </w:r>
    </w:p>
    <w:p w14:paraId="6E1E0200">
      <w:pPr>
        <w:spacing w:before="156" w:beforeLines="50" w:after="156" w:afterLines="50" w:line="360" w:lineRule="auto"/>
        <w:rPr>
          <w:rFonts w:ascii="宋体" w:hAnsi="宋体"/>
          <w:b/>
          <w:sz w:val="24"/>
        </w:rPr>
      </w:pPr>
      <w:r>
        <w:rPr>
          <w:rFonts w:hint="eastAsia" w:ascii="宋体" w:hAnsi="宋体"/>
          <w:sz w:val="24"/>
        </w:rPr>
        <w:t>2.4.6、能用于各种光照系统；</w:t>
      </w:r>
    </w:p>
    <w:p w14:paraId="795F2C7E">
      <w:pPr>
        <w:spacing w:before="156" w:beforeLines="50" w:after="156" w:afterLines="50" w:line="360" w:lineRule="auto"/>
        <w:rPr>
          <w:rFonts w:ascii="宋体" w:hAnsi="宋体"/>
          <w:b/>
          <w:sz w:val="24"/>
        </w:rPr>
      </w:pPr>
      <w:r>
        <w:rPr>
          <w:rFonts w:hint="eastAsia" w:ascii="宋体" w:hAnsi="宋体"/>
          <w:sz w:val="24"/>
        </w:rPr>
        <w:t>2.5、磁体系统性能要求：</w:t>
      </w:r>
    </w:p>
    <w:p w14:paraId="721A53CA">
      <w:pPr>
        <w:spacing w:before="156" w:beforeLines="50" w:after="156" w:afterLines="50" w:line="360" w:lineRule="auto"/>
        <w:rPr>
          <w:rFonts w:ascii="宋体" w:hAnsi="宋体"/>
          <w:b/>
          <w:sz w:val="24"/>
        </w:rPr>
      </w:pPr>
      <w:r>
        <w:rPr>
          <w:rFonts w:hint="eastAsia" w:ascii="宋体" w:hAnsi="宋体"/>
          <w:sz w:val="24"/>
        </w:rPr>
        <w:t>2.5.1、≥10英寸双轭磁体</w:t>
      </w:r>
    </w:p>
    <w:p w14:paraId="6E958214">
      <w:pPr>
        <w:spacing w:before="156" w:beforeLines="50" w:after="156" w:afterLines="50" w:line="360" w:lineRule="auto"/>
        <w:rPr>
          <w:rFonts w:ascii="宋体" w:hAnsi="宋体"/>
          <w:b/>
          <w:sz w:val="24"/>
        </w:rPr>
      </w:pPr>
      <w:r>
        <w:rPr>
          <w:rFonts w:hint="eastAsia" w:ascii="宋体" w:hAnsi="宋体"/>
          <w:sz w:val="24"/>
        </w:rPr>
        <w:t>2.5.1.1、最大磁场强度≥14500G；</w:t>
      </w:r>
    </w:p>
    <w:p w14:paraId="18597C62">
      <w:pPr>
        <w:spacing w:before="156" w:beforeLines="50" w:after="156" w:afterLines="50" w:line="360" w:lineRule="auto"/>
        <w:rPr>
          <w:rFonts w:ascii="宋体" w:hAnsi="宋体"/>
          <w:b/>
          <w:sz w:val="24"/>
        </w:rPr>
      </w:pPr>
      <w:r>
        <w:rPr>
          <w:rFonts w:hint="eastAsia" w:ascii="宋体" w:hAnsi="宋体"/>
          <w:sz w:val="24"/>
        </w:rPr>
        <w:t>2.5.1.2、双轭磁体的空气狭缝≥72mm；</w:t>
      </w:r>
    </w:p>
    <w:p w14:paraId="61AB18DE">
      <w:pPr>
        <w:spacing w:before="156" w:beforeLines="50" w:after="156" w:afterLines="50" w:line="360" w:lineRule="auto"/>
        <w:rPr>
          <w:rFonts w:ascii="宋体" w:hAnsi="宋体"/>
          <w:b/>
          <w:sz w:val="24"/>
        </w:rPr>
      </w:pPr>
      <w:r>
        <w:rPr>
          <w:rFonts w:hint="eastAsia" w:ascii="宋体" w:hAnsi="宋体"/>
          <w:sz w:val="24"/>
        </w:rPr>
        <w:t>2.5.1.3、适合于变温单元；</w:t>
      </w:r>
    </w:p>
    <w:p w14:paraId="48C0B160">
      <w:pPr>
        <w:spacing w:before="156" w:beforeLines="50" w:after="156" w:afterLines="50" w:line="360" w:lineRule="auto"/>
        <w:rPr>
          <w:rFonts w:ascii="宋体" w:hAnsi="宋体"/>
          <w:b/>
          <w:sz w:val="24"/>
        </w:rPr>
      </w:pPr>
      <w:r>
        <w:rPr>
          <w:rFonts w:hint="eastAsia" w:ascii="宋体" w:hAnsi="宋体"/>
          <w:sz w:val="24"/>
        </w:rPr>
        <w:t>▲2.5.1.4、磁体重量：</w:t>
      </w:r>
      <w:bookmarkStart w:id="2" w:name="_Hlk173485983"/>
      <w:r>
        <w:rPr>
          <w:rFonts w:hint="eastAsia" w:ascii="宋体" w:hAnsi="宋体"/>
          <w:sz w:val="24"/>
        </w:rPr>
        <w:t>≤</w:t>
      </w:r>
      <w:bookmarkEnd w:id="2"/>
      <w:r>
        <w:rPr>
          <w:rFonts w:hint="eastAsia" w:ascii="宋体" w:hAnsi="宋体"/>
          <w:sz w:val="24"/>
        </w:rPr>
        <w:t>1900 kg ，磁体体积≤970</w:t>
      </w:r>
      <w:r>
        <w:rPr>
          <w:rFonts w:hint="eastAsia" w:ascii="宋体" w:hAnsi="宋体"/>
          <w:sz w:val="24"/>
        </w:rPr>
        <w:sym w:font="Symbol" w:char="F0B4"/>
      </w:r>
      <w:r>
        <w:rPr>
          <w:rFonts w:hint="eastAsia" w:ascii="宋体" w:hAnsi="宋体"/>
          <w:sz w:val="24"/>
        </w:rPr>
        <w:t>1100</w:t>
      </w:r>
      <w:r>
        <w:rPr>
          <w:rFonts w:hint="eastAsia" w:ascii="宋体" w:hAnsi="宋体"/>
          <w:sz w:val="24"/>
        </w:rPr>
        <w:sym w:font="Symbol" w:char="F0B4"/>
      </w:r>
      <w:r>
        <w:rPr>
          <w:rFonts w:hint="eastAsia" w:ascii="宋体" w:hAnsi="宋体"/>
          <w:sz w:val="24"/>
        </w:rPr>
        <w:t>1280mm（要求提供生产厂家官方网站截图或提供由CMA资质的检测机构出具的检测报告作为依据）；</w:t>
      </w:r>
    </w:p>
    <w:p w14:paraId="4A2F0C23">
      <w:pPr>
        <w:spacing w:before="156" w:beforeLines="50" w:after="156" w:afterLines="50" w:line="360" w:lineRule="auto"/>
        <w:rPr>
          <w:rFonts w:ascii="宋体" w:hAnsi="宋体"/>
          <w:b/>
          <w:sz w:val="24"/>
        </w:rPr>
      </w:pPr>
      <w:r>
        <w:rPr>
          <w:rFonts w:hint="eastAsia" w:ascii="宋体" w:hAnsi="宋体"/>
          <w:sz w:val="24"/>
        </w:rPr>
        <w:t>▲2.5.1.5、均匀性：≤10mG（在10（Z）</w:t>
      </w:r>
      <w:r>
        <w:rPr>
          <w:rFonts w:hint="eastAsia" w:ascii="宋体" w:hAnsi="宋体"/>
          <w:sz w:val="24"/>
        </w:rPr>
        <w:sym w:font="Symbol" w:char="F0B4"/>
      </w:r>
      <w:r>
        <w:rPr>
          <w:rFonts w:hint="eastAsia" w:ascii="宋体" w:hAnsi="宋体"/>
          <w:sz w:val="24"/>
        </w:rPr>
        <w:t>10（X）</w:t>
      </w:r>
      <w:r>
        <w:rPr>
          <w:rFonts w:hint="eastAsia" w:ascii="宋体" w:hAnsi="宋体"/>
          <w:sz w:val="24"/>
        </w:rPr>
        <w:sym w:font="Symbol" w:char="F0B4"/>
      </w:r>
      <w:r>
        <w:rPr>
          <w:rFonts w:hint="eastAsia" w:ascii="宋体" w:hAnsi="宋体"/>
          <w:sz w:val="24"/>
        </w:rPr>
        <w:t>22（Y）mm体积内）（要求提供生产厂家官方网站截图或提供由CMA资质的检测机构出具的检测报告作为依据）</w:t>
      </w:r>
    </w:p>
    <w:p w14:paraId="04389386">
      <w:pPr>
        <w:spacing w:before="156" w:beforeLines="50" w:after="156" w:afterLines="50" w:line="360" w:lineRule="auto"/>
        <w:rPr>
          <w:rFonts w:ascii="宋体" w:hAnsi="宋体"/>
          <w:b/>
          <w:sz w:val="24"/>
        </w:rPr>
      </w:pPr>
      <w:r>
        <w:rPr>
          <w:rFonts w:hint="eastAsia" w:ascii="宋体" w:hAnsi="宋体"/>
          <w:sz w:val="24"/>
        </w:rPr>
        <w:t>2.5.2、12 kW磁体电源：</w:t>
      </w:r>
    </w:p>
    <w:p w14:paraId="10CCFDAA">
      <w:pPr>
        <w:spacing w:before="156" w:beforeLines="50" w:after="156" w:afterLines="50" w:line="360" w:lineRule="auto"/>
        <w:rPr>
          <w:rFonts w:ascii="宋体" w:hAnsi="宋体"/>
          <w:b/>
          <w:sz w:val="24"/>
        </w:rPr>
      </w:pPr>
      <w:r>
        <w:rPr>
          <w:rFonts w:hint="eastAsia" w:ascii="宋体" w:hAnsi="宋体"/>
          <w:sz w:val="24"/>
        </w:rPr>
        <w:t>2.5.2.1、磁体和磁体电源支持水冷却；</w:t>
      </w:r>
    </w:p>
    <w:p w14:paraId="4C51F1BA">
      <w:pPr>
        <w:spacing w:before="156" w:beforeLines="50" w:after="156" w:afterLines="50" w:line="360" w:lineRule="auto"/>
        <w:rPr>
          <w:rFonts w:ascii="宋体" w:hAnsi="宋体"/>
          <w:b/>
          <w:sz w:val="24"/>
        </w:rPr>
      </w:pPr>
      <w:r>
        <w:rPr>
          <w:rFonts w:hint="eastAsia" w:ascii="宋体" w:hAnsi="宋体"/>
          <w:sz w:val="24"/>
        </w:rPr>
        <w:t>2.5.2.2、能和所提供的磁体相匹配；</w:t>
      </w:r>
    </w:p>
    <w:p w14:paraId="3FADF8E9">
      <w:pPr>
        <w:spacing w:before="156" w:beforeLines="50" w:after="156" w:afterLines="50" w:line="360" w:lineRule="auto"/>
        <w:rPr>
          <w:rFonts w:ascii="宋体" w:hAnsi="宋体"/>
          <w:b/>
          <w:sz w:val="24"/>
        </w:rPr>
      </w:pPr>
      <w:r>
        <w:rPr>
          <w:rFonts w:hint="eastAsia" w:ascii="宋体" w:hAnsi="宋体"/>
          <w:sz w:val="24"/>
        </w:rPr>
        <w:t xml:space="preserve">2.5.2.3、稳定性：≤1.0 </w:t>
      </w:r>
      <w:r>
        <w:rPr>
          <w:rFonts w:ascii="宋体" w:hAnsi="宋体"/>
          <w:sz w:val="24"/>
        </w:rPr>
        <w:sym w:font="Symbol" w:char="F0B4"/>
      </w:r>
      <w:r>
        <w:rPr>
          <w:rFonts w:hint="eastAsia" w:ascii="宋体" w:hAnsi="宋体"/>
          <w:sz w:val="24"/>
        </w:rPr>
        <w:t xml:space="preserve"> 10</w:t>
      </w:r>
      <w:r>
        <w:rPr>
          <w:rFonts w:ascii="宋体" w:hAnsi="宋体"/>
          <w:b/>
          <w:sz w:val="24"/>
          <w:vertAlign w:val="superscript"/>
        </w:rPr>
        <w:t>-6</w:t>
      </w:r>
      <w:r>
        <w:rPr>
          <w:rFonts w:hint="eastAsia" w:ascii="宋体" w:hAnsi="宋体"/>
          <w:sz w:val="24"/>
        </w:rPr>
        <w:t>；</w:t>
      </w:r>
    </w:p>
    <w:p w14:paraId="2BEBA512">
      <w:pPr>
        <w:spacing w:before="156" w:beforeLines="50" w:after="156" w:afterLines="50" w:line="360" w:lineRule="auto"/>
        <w:rPr>
          <w:rFonts w:ascii="宋体" w:hAnsi="宋体"/>
          <w:b/>
          <w:sz w:val="24"/>
        </w:rPr>
      </w:pPr>
      <w:r>
        <w:rPr>
          <w:rFonts w:hint="eastAsia" w:ascii="宋体" w:hAnsi="宋体"/>
          <w:sz w:val="24"/>
        </w:rPr>
        <w:t>2.6、场控制器性能要求：</w:t>
      </w:r>
    </w:p>
    <w:p w14:paraId="68FCF164">
      <w:pPr>
        <w:spacing w:before="156" w:beforeLines="50" w:after="156" w:afterLines="50" w:line="360" w:lineRule="auto"/>
        <w:rPr>
          <w:rFonts w:ascii="宋体" w:hAnsi="宋体"/>
          <w:b/>
          <w:sz w:val="24"/>
        </w:rPr>
      </w:pPr>
      <w:r>
        <w:rPr>
          <w:rFonts w:hint="eastAsia" w:ascii="宋体" w:hAnsi="宋体"/>
          <w:sz w:val="24"/>
        </w:rPr>
        <w:t>2.6.1、一次磁场扫描的最大扫描范围：-18kG至+18kG（要求提供生产厂家官方网站截图或提供由CMA资质的检测机构出具的检测报告作为依据）；</w:t>
      </w:r>
    </w:p>
    <w:p w14:paraId="39B1F344">
      <w:pPr>
        <w:spacing w:before="156" w:beforeLines="50" w:after="156" w:afterLines="50" w:line="360" w:lineRule="auto"/>
        <w:rPr>
          <w:rFonts w:ascii="宋体" w:hAnsi="宋体"/>
          <w:b/>
          <w:sz w:val="24"/>
        </w:rPr>
      </w:pPr>
      <w:r>
        <w:rPr>
          <w:rFonts w:hint="eastAsia" w:ascii="宋体" w:hAnsi="宋体"/>
          <w:sz w:val="24"/>
        </w:rPr>
        <w:t>2.6.2、全程磁场准确度≤500mG</w:t>
      </w:r>
    </w:p>
    <w:p w14:paraId="00C9AC50">
      <w:pPr>
        <w:spacing w:before="156" w:beforeLines="50" w:after="156" w:afterLines="50" w:line="360" w:lineRule="auto"/>
        <w:rPr>
          <w:rFonts w:ascii="宋体" w:hAnsi="宋体"/>
          <w:b/>
          <w:sz w:val="24"/>
        </w:rPr>
      </w:pPr>
      <w:r>
        <w:rPr>
          <w:rFonts w:hint="eastAsia" w:ascii="宋体" w:hAnsi="宋体"/>
          <w:sz w:val="24"/>
        </w:rPr>
        <w:t>▲2.6.3、磁场扫描速度：≥1500G/5s（提供BDPA为标样，扫宽为100G，采样时间为0.5s测试得到的无畸变谱图为证据）；</w:t>
      </w:r>
    </w:p>
    <w:p w14:paraId="2F482C50">
      <w:pPr>
        <w:spacing w:before="156" w:beforeLines="50" w:after="156" w:afterLines="50" w:line="360" w:lineRule="auto"/>
        <w:rPr>
          <w:rFonts w:ascii="宋体" w:hAnsi="宋体"/>
          <w:b/>
          <w:sz w:val="24"/>
        </w:rPr>
      </w:pPr>
      <w:r>
        <w:rPr>
          <w:rFonts w:hint="eastAsia" w:ascii="宋体" w:hAnsi="宋体"/>
          <w:sz w:val="24"/>
        </w:rPr>
        <w:t>2.6.4、最大数据采集点数：≥256000点；</w:t>
      </w:r>
    </w:p>
    <w:p w14:paraId="336E689F">
      <w:pPr>
        <w:spacing w:before="156" w:beforeLines="50" w:after="156" w:afterLines="50" w:line="360" w:lineRule="auto"/>
        <w:rPr>
          <w:rFonts w:ascii="宋体" w:hAnsi="宋体"/>
          <w:b/>
          <w:sz w:val="24"/>
        </w:rPr>
      </w:pPr>
      <w:r>
        <w:rPr>
          <w:rFonts w:hint="eastAsia" w:ascii="宋体" w:hAnsi="宋体"/>
          <w:sz w:val="24"/>
        </w:rPr>
        <w:t>▲2.6.5、信号转换速率：320微秒/点～5秒/点（提供生产厂家官方网站公示的参数截图或提供由CMA资质的检测机构出具的检测报告，以及以BDPA为标样，扫宽为100G，转换时间为320微秒条件下测试得到的无畸变谱图）</w:t>
      </w:r>
    </w:p>
    <w:p w14:paraId="0D4E05C6">
      <w:pPr>
        <w:spacing w:before="156" w:beforeLines="50" w:after="156" w:afterLines="50" w:line="360" w:lineRule="auto"/>
        <w:rPr>
          <w:rFonts w:ascii="宋体" w:hAnsi="宋体"/>
          <w:b/>
          <w:sz w:val="24"/>
        </w:rPr>
      </w:pPr>
      <w:r>
        <w:rPr>
          <w:rFonts w:hint="eastAsia" w:ascii="宋体" w:hAnsi="宋体"/>
          <w:sz w:val="24"/>
        </w:rPr>
        <w:t>2.7、信号处理单元性能要求：</w:t>
      </w:r>
    </w:p>
    <w:p w14:paraId="1F8950CC">
      <w:pPr>
        <w:spacing w:before="156" w:beforeLines="50" w:after="156" w:afterLines="50" w:line="360" w:lineRule="auto"/>
        <w:rPr>
          <w:rFonts w:ascii="宋体" w:hAnsi="宋体"/>
          <w:b/>
          <w:sz w:val="24"/>
        </w:rPr>
      </w:pPr>
      <w:r>
        <w:rPr>
          <w:rFonts w:hint="eastAsia" w:ascii="宋体" w:hAnsi="宋体"/>
          <w:sz w:val="24"/>
        </w:rPr>
        <w:t>2.7.1、检测带宽：30MHz；</w:t>
      </w:r>
    </w:p>
    <w:p w14:paraId="61EE5A6D">
      <w:pPr>
        <w:spacing w:before="156" w:beforeLines="50" w:after="156" w:afterLines="50" w:line="360" w:lineRule="auto"/>
        <w:rPr>
          <w:rFonts w:ascii="宋体" w:hAnsi="宋体"/>
          <w:b/>
          <w:sz w:val="24"/>
        </w:rPr>
      </w:pPr>
      <w:r>
        <w:rPr>
          <w:rFonts w:hint="eastAsia" w:ascii="宋体" w:hAnsi="宋体"/>
          <w:sz w:val="24"/>
        </w:rPr>
        <w:t>2.7.2、不少于2个独立的输入通道；每通道允许不少于4 路常规信号输入；</w:t>
      </w:r>
    </w:p>
    <w:p w14:paraId="286D4044">
      <w:pPr>
        <w:spacing w:before="156" w:beforeLines="50" w:after="156" w:afterLines="50" w:line="360" w:lineRule="auto"/>
        <w:rPr>
          <w:rFonts w:ascii="宋体" w:hAnsi="宋体"/>
          <w:b/>
          <w:sz w:val="24"/>
        </w:rPr>
      </w:pPr>
      <w:r>
        <w:rPr>
          <w:rFonts w:hint="eastAsia" w:ascii="宋体" w:hAnsi="宋体"/>
          <w:sz w:val="24"/>
        </w:rPr>
        <w:t>2.7.3、有外部触发接口：可由外到内/由内到外触发；</w:t>
      </w:r>
    </w:p>
    <w:p w14:paraId="5EEA32F2">
      <w:pPr>
        <w:spacing w:before="156" w:beforeLines="50" w:after="156" w:afterLines="50" w:line="360" w:lineRule="auto"/>
        <w:rPr>
          <w:rFonts w:ascii="宋体" w:hAnsi="宋体"/>
          <w:b/>
          <w:sz w:val="24"/>
        </w:rPr>
      </w:pPr>
      <w:r>
        <w:rPr>
          <w:rFonts w:hint="eastAsia" w:ascii="宋体" w:hAnsi="宋体"/>
          <w:sz w:val="24"/>
        </w:rPr>
        <w:t>2.7.4、检测模式：</w:t>
      </w:r>
    </w:p>
    <w:p w14:paraId="0D9CCF6A">
      <w:pPr>
        <w:spacing w:before="156" w:beforeLines="50" w:after="156" w:afterLines="50" w:line="360" w:lineRule="auto"/>
        <w:rPr>
          <w:rFonts w:ascii="宋体" w:hAnsi="宋体"/>
          <w:b/>
          <w:sz w:val="24"/>
        </w:rPr>
      </w:pPr>
      <w:r>
        <w:rPr>
          <w:rFonts w:hint="eastAsia" w:ascii="宋体" w:hAnsi="宋体"/>
          <w:sz w:val="24"/>
        </w:rPr>
        <w:t>★2.7.4.1、模式要求：具有锁相，快扫和瞬态三种模式（要求分别提供三种检测模式的操作软件参数设置截图以及三种模式采集到的谱图作为依据）。</w:t>
      </w:r>
    </w:p>
    <w:p w14:paraId="3A2C77AE">
      <w:pPr>
        <w:spacing w:before="156" w:beforeLines="50" w:after="156" w:afterLines="50" w:line="360" w:lineRule="auto"/>
        <w:rPr>
          <w:rFonts w:ascii="宋体" w:hAnsi="宋体"/>
          <w:b/>
          <w:sz w:val="24"/>
        </w:rPr>
      </w:pPr>
      <w:r>
        <w:rPr>
          <w:rFonts w:hint="eastAsia" w:ascii="宋体" w:hAnsi="宋体"/>
          <w:sz w:val="24"/>
        </w:rPr>
        <w:t>2.7.4.2、锁相模式</w:t>
      </w:r>
    </w:p>
    <w:p w14:paraId="7CDC818F">
      <w:pPr>
        <w:spacing w:before="156" w:beforeLines="50" w:after="156" w:afterLines="50" w:line="360" w:lineRule="auto"/>
        <w:rPr>
          <w:rFonts w:ascii="宋体" w:hAnsi="宋体"/>
          <w:b/>
          <w:sz w:val="24"/>
        </w:rPr>
      </w:pPr>
      <w:r>
        <w:rPr>
          <w:rFonts w:hint="eastAsia" w:ascii="宋体" w:hAnsi="宋体"/>
          <w:sz w:val="24"/>
        </w:rPr>
        <w:t>▲2.7.4.2.1、频率范围：80Hz 到200 kHz（要求提供生产厂家官方网站截图或提供由CMA资质的检测机构出具的检测报告，并提供BDPA样品在频率范围内的10个不同频率下（必须包括200 kHz这一频率）测试的谱图为依据）。</w:t>
      </w:r>
    </w:p>
    <w:p w14:paraId="731A7DF9">
      <w:pPr>
        <w:spacing w:before="156" w:beforeLines="50" w:after="156" w:afterLines="50" w:line="360" w:lineRule="auto"/>
        <w:rPr>
          <w:rFonts w:ascii="宋体" w:hAnsi="宋体"/>
          <w:b/>
          <w:sz w:val="24"/>
        </w:rPr>
      </w:pPr>
      <w:r>
        <w:rPr>
          <w:rFonts w:hint="eastAsia" w:ascii="宋体" w:hAnsi="宋体"/>
          <w:sz w:val="24"/>
        </w:rPr>
        <w:t>2.7.4.2.2、在规定频率范围内，对任何频率的幅度和相位进行自动定标；</w:t>
      </w:r>
    </w:p>
    <w:p w14:paraId="2F10CE54">
      <w:pPr>
        <w:spacing w:before="156" w:beforeLines="50" w:after="156" w:afterLines="50" w:line="360" w:lineRule="auto"/>
        <w:rPr>
          <w:rFonts w:ascii="宋体" w:hAnsi="宋体"/>
          <w:b/>
          <w:sz w:val="24"/>
        </w:rPr>
      </w:pPr>
      <w:r>
        <w:rPr>
          <w:rFonts w:hint="eastAsia" w:ascii="宋体" w:hAnsi="宋体"/>
          <w:sz w:val="24"/>
        </w:rPr>
        <w:t>2.7.4.2.3、相位分辨率：0.1°；</w:t>
      </w:r>
    </w:p>
    <w:p w14:paraId="28F42CF2">
      <w:pPr>
        <w:spacing w:before="156" w:beforeLines="50" w:after="156" w:afterLines="50" w:line="360" w:lineRule="auto"/>
        <w:rPr>
          <w:rFonts w:ascii="宋体" w:hAnsi="宋体"/>
          <w:b/>
          <w:sz w:val="24"/>
        </w:rPr>
      </w:pPr>
      <w:r>
        <w:rPr>
          <w:rFonts w:hint="eastAsia" w:ascii="宋体" w:hAnsi="宋体"/>
          <w:sz w:val="24"/>
        </w:rPr>
        <w:t>▲2.7.4.2.4、可实现最高5 阶谐波同时检测（要求提供生产厂家官方网站截图或提供由CMA资质的检测机构出具的检测报告，并提供以BDPA为样品，同时检测得到的5阶谐波谱图为依据）。</w:t>
      </w:r>
    </w:p>
    <w:p w14:paraId="7FA0FE8F">
      <w:pPr>
        <w:spacing w:before="156" w:beforeLines="50" w:after="156" w:afterLines="50" w:line="360" w:lineRule="auto"/>
        <w:rPr>
          <w:rFonts w:ascii="宋体" w:hAnsi="宋体"/>
          <w:b/>
          <w:sz w:val="24"/>
        </w:rPr>
      </w:pPr>
      <w:r>
        <w:rPr>
          <w:rFonts w:hint="eastAsia" w:ascii="宋体" w:hAnsi="宋体"/>
          <w:sz w:val="24"/>
        </w:rPr>
        <w:t>2.7.4.3、快扫模式</w:t>
      </w:r>
    </w:p>
    <w:p w14:paraId="45AC3305">
      <w:pPr>
        <w:spacing w:before="156" w:beforeLines="50" w:after="156" w:afterLines="50" w:line="360" w:lineRule="auto"/>
        <w:rPr>
          <w:rFonts w:ascii="宋体" w:hAnsi="宋体"/>
          <w:b/>
          <w:sz w:val="24"/>
        </w:rPr>
      </w:pPr>
      <w:r>
        <w:rPr>
          <w:rFonts w:hint="eastAsia" w:ascii="宋体" w:hAnsi="宋体"/>
          <w:sz w:val="24"/>
        </w:rPr>
        <w:t>2.7.4.3.1、磁场扫描范围：≥200G；</w:t>
      </w:r>
    </w:p>
    <w:p w14:paraId="7C9990E6">
      <w:pPr>
        <w:spacing w:before="156" w:beforeLines="50" w:after="156" w:afterLines="50" w:line="360" w:lineRule="auto"/>
        <w:rPr>
          <w:rFonts w:ascii="宋体" w:hAnsi="宋体"/>
          <w:b/>
          <w:sz w:val="24"/>
        </w:rPr>
      </w:pPr>
      <w:r>
        <w:rPr>
          <w:rFonts w:hint="eastAsia" w:ascii="宋体" w:hAnsi="宋体"/>
          <w:sz w:val="24"/>
        </w:rPr>
        <w:t>▲2.7.4.3.2 、扫描速率：≤5.12ms扫描200 G（要求提供生产厂家官方网站截图或提供由CMA资质的检测机构出具的检测报告，以及快扫模式下参数设置截图以及采集到的谱图作为依据）</w:t>
      </w:r>
    </w:p>
    <w:p w14:paraId="6F70B16B">
      <w:pPr>
        <w:spacing w:before="156" w:beforeLines="50" w:after="156" w:afterLines="50" w:line="360" w:lineRule="auto"/>
        <w:rPr>
          <w:rFonts w:ascii="宋体" w:hAnsi="宋体"/>
          <w:b/>
          <w:sz w:val="24"/>
        </w:rPr>
      </w:pPr>
      <w:r>
        <w:rPr>
          <w:rFonts w:hint="eastAsia" w:ascii="宋体" w:hAnsi="宋体"/>
          <w:sz w:val="24"/>
        </w:rPr>
        <w:t>2.7.4.4、瞬态模式</w:t>
      </w:r>
    </w:p>
    <w:p w14:paraId="44D41DE7">
      <w:pPr>
        <w:spacing w:before="156" w:beforeLines="50" w:after="156" w:afterLines="50" w:line="360" w:lineRule="auto"/>
        <w:rPr>
          <w:rFonts w:ascii="宋体" w:hAnsi="宋体"/>
          <w:b/>
          <w:sz w:val="24"/>
        </w:rPr>
      </w:pPr>
      <w:r>
        <w:rPr>
          <w:rFonts w:hint="eastAsia" w:ascii="宋体" w:hAnsi="宋体"/>
          <w:sz w:val="24"/>
        </w:rPr>
        <w:t>▲2.7.4.4.1、采样速率：≥125 MHz（要求提供生产厂家官方网站截图或提供由CMA资质的检测机构出具的检测报告，以及能够体现该采样速率的参数设置的截图作为依据）。</w:t>
      </w:r>
    </w:p>
    <w:p w14:paraId="1CD52291">
      <w:pPr>
        <w:spacing w:before="156" w:beforeLines="50" w:after="156" w:afterLines="50" w:line="360" w:lineRule="auto"/>
        <w:rPr>
          <w:rFonts w:ascii="宋体" w:hAnsi="宋体"/>
          <w:b/>
          <w:sz w:val="24"/>
        </w:rPr>
      </w:pPr>
      <w:r>
        <w:rPr>
          <w:rFonts w:hint="eastAsia" w:ascii="宋体" w:hAnsi="宋体"/>
          <w:sz w:val="24"/>
        </w:rPr>
        <w:t>2.7.4.4.2、单次采集的信号幅度分辨率：≥14bit；</w:t>
      </w:r>
    </w:p>
    <w:p w14:paraId="7E7BB558">
      <w:pPr>
        <w:spacing w:before="156" w:beforeLines="50" w:after="156" w:afterLines="50" w:line="360" w:lineRule="auto"/>
        <w:rPr>
          <w:rFonts w:ascii="宋体" w:hAnsi="宋体"/>
          <w:b/>
          <w:sz w:val="24"/>
        </w:rPr>
      </w:pPr>
      <w:r>
        <w:rPr>
          <w:rFonts w:hint="eastAsia" w:ascii="宋体" w:hAnsi="宋体"/>
          <w:sz w:val="24"/>
        </w:rPr>
        <w:t>▲2.7.4.4.3、采样点数：≥16000点（要求提供生产厂家官方网站截图或提供由CMA资质的检测机构出具的检测报告，以及能够体现该采样点数的参数设置截图证明）；</w:t>
      </w:r>
    </w:p>
    <w:p w14:paraId="341040D7">
      <w:pPr>
        <w:spacing w:before="156" w:beforeLines="50" w:after="156" w:afterLines="50" w:line="360" w:lineRule="auto"/>
        <w:rPr>
          <w:rFonts w:ascii="宋体" w:hAnsi="宋体"/>
          <w:b/>
          <w:sz w:val="24"/>
        </w:rPr>
      </w:pPr>
      <w:r>
        <w:rPr>
          <w:rFonts w:hint="eastAsia" w:ascii="宋体" w:hAnsi="宋体"/>
          <w:sz w:val="24"/>
        </w:rPr>
        <w:t>2.8、调制功率放大器：频率范围：500Hz</w:t>
      </w:r>
      <w:r>
        <w:rPr>
          <w:rFonts w:ascii="宋体" w:hAnsi="宋体" w:cs="Courier New"/>
          <w:sz w:val="24"/>
        </w:rPr>
        <w:t>–</w:t>
      </w:r>
      <w:r>
        <w:rPr>
          <w:rFonts w:hint="eastAsia" w:ascii="宋体" w:hAnsi="宋体"/>
          <w:sz w:val="24"/>
        </w:rPr>
        <w:t>120kHz；</w:t>
      </w:r>
    </w:p>
    <w:p w14:paraId="57BF4EF1">
      <w:pPr>
        <w:spacing w:before="156" w:beforeLines="50" w:after="156" w:afterLines="50" w:line="360" w:lineRule="auto"/>
        <w:rPr>
          <w:rFonts w:ascii="宋体" w:hAnsi="宋体"/>
          <w:b/>
          <w:sz w:val="24"/>
        </w:rPr>
      </w:pPr>
      <w:r>
        <w:rPr>
          <w:rFonts w:hint="eastAsia" w:ascii="宋体" w:hAnsi="宋体"/>
          <w:sz w:val="24"/>
        </w:rPr>
        <w:t>2.9、控制系统及控制软件</w:t>
      </w:r>
    </w:p>
    <w:p w14:paraId="267D0C53">
      <w:pPr>
        <w:spacing w:before="156" w:beforeLines="50" w:after="156" w:afterLines="50" w:line="360" w:lineRule="auto"/>
        <w:rPr>
          <w:rFonts w:ascii="宋体" w:hAnsi="宋体"/>
          <w:b/>
          <w:sz w:val="24"/>
        </w:rPr>
      </w:pPr>
      <w:r>
        <w:rPr>
          <w:rFonts w:hint="eastAsia" w:ascii="宋体" w:hAnsi="宋体"/>
          <w:sz w:val="24"/>
        </w:rPr>
        <w:t>2.9.1、用于电子顺磁共振实验的谱仪控制、数据采集及谱图处理、拟合的全套软件。控制软件应至少具有如下功能：</w:t>
      </w:r>
    </w:p>
    <w:p w14:paraId="67275AF7">
      <w:pPr>
        <w:spacing w:before="156" w:beforeLines="50" w:after="156" w:afterLines="50" w:line="360" w:lineRule="auto"/>
        <w:rPr>
          <w:rFonts w:ascii="宋体" w:hAnsi="宋体"/>
          <w:b/>
          <w:sz w:val="24"/>
        </w:rPr>
      </w:pPr>
      <w:r>
        <w:rPr>
          <w:rFonts w:hint="eastAsia" w:ascii="宋体" w:hAnsi="宋体"/>
          <w:sz w:val="24"/>
        </w:rPr>
        <w:t>2.9.1.1、具有EPR参数设置；</w:t>
      </w:r>
    </w:p>
    <w:p w14:paraId="2A904CF7">
      <w:pPr>
        <w:spacing w:before="156" w:beforeLines="50" w:after="156" w:afterLines="50" w:line="360" w:lineRule="auto"/>
        <w:rPr>
          <w:rFonts w:ascii="宋体" w:hAnsi="宋体"/>
          <w:b/>
          <w:sz w:val="24"/>
        </w:rPr>
      </w:pPr>
      <w:r>
        <w:rPr>
          <w:rFonts w:hint="eastAsia" w:ascii="宋体" w:hAnsi="宋体"/>
          <w:sz w:val="24"/>
        </w:rPr>
        <w:t>2.9.1.2、具有g值显示；</w:t>
      </w:r>
    </w:p>
    <w:p w14:paraId="0B8DDF6F">
      <w:pPr>
        <w:spacing w:before="156" w:beforeLines="50" w:after="156" w:afterLines="50" w:line="360" w:lineRule="auto"/>
        <w:rPr>
          <w:rFonts w:ascii="宋体" w:hAnsi="宋体"/>
          <w:b/>
          <w:sz w:val="24"/>
        </w:rPr>
      </w:pPr>
      <w:r>
        <w:rPr>
          <w:rFonts w:hint="eastAsia" w:ascii="宋体" w:hAnsi="宋体"/>
          <w:sz w:val="24"/>
        </w:rPr>
        <w:t>2.9.1.3、无需标样的绝对自旋量子数计算；（需提供投标产品生产厂家公开发布的印刷资料或者说明书或检测机构出具的检测报告或者白皮书等资料证明有此功能）</w:t>
      </w:r>
    </w:p>
    <w:p w14:paraId="7BB87A73">
      <w:pPr>
        <w:spacing w:before="156" w:beforeLines="50" w:after="156" w:afterLines="50" w:line="360" w:lineRule="auto"/>
        <w:rPr>
          <w:rFonts w:ascii="宋体" w:hAnsi="宋体"/>
          <w:b/>
          <w:sz w:val="24"/>
        </w:rPr>
      </w:pPr>
      <w:r>
        <w:rPr>
          <w:rFonts w:hint="eastAsia" w:ascii="宋体" w:hAnsi="宋体"/>
          <w:sz w:val="24"/>
        </w:rPr>
        <w:t>2.9.1.4、具有自旋拟合功能，带有自旋捕获数据库；（要求提供仪器的软件带有数据库的证明）</w:t>
      </w:r>
    </w:p>
    <w:p w14:paraId="43D995BE">
      <w:pPr>
        <w:spacing w:before="156" w:beforeLines="50" w:after="156" w:afterLines="50" w:line="360" w:lineRule="auto"/>
        <w:rPr>
          <w:rFonts w:ascii="宋体" w:hAnsi="宋体"/>
          <w:b/>
          <w:sz w:val="24"/>
        </w:rPr>
      </w:pPr>
      <w:r>
        <w:rPr>
          <w:rFonts w:hint="eastAsia" w:ascii="宋体" w:hAnsi="宋体"/>
          <w:sz w:val="24"/>
        </w:rPr>
        <w:t>2.9.1.5、具有在线帮助功能；</w:t>
      </w:r>
    </w:p>
    <w:p w14:paraId="2C614038">
      <w:pPr>
        <w:spacing w:before="156" w:beforeLines="50" w:after="156" w:afterLines="50" w:line="360" w:lineRule="auto"/>
        <w:rPr>
          <w:rFonts w:ascii="宋体" w:hAnsi="宋体"/>
          <w:b/>
          <w:sz w:val="24"/>
        </w:rPr>
      </w:pPr>
      <w:r>
        <w:rPr>
          <w:rFonts w:hint="eastAsia" w:ascii="宋体" w:hAnsi="宋体"/>
          <w:sz w:val="24"/>
        </w:rPr>
        <w:t>2.9.1.6、数据处理功能：拾峰；积分、微分；谱图的数学处理；多项式和指数拟合； 高斯线型、洛仑兹线型或混合线型的线性拟合；复合的基线拟合；滤波；饱和效应的</w:t>
      </w:r>
      <w:r>
        <w:rPr>
          <w:rFonts w:ascii="宋体" w:hAnsi="宋体"/>
          <w:b/>
          <w:sz w:val="24"/>
        </w:rPr>
        <w:t>P</w:t>
      </w:r>
      <w:r>
        <w:rPr>
          <w:rFonts w:ascii="宋体" w:hAnsi="宋体"/>
          <w:b/>
          <w:sz w:val="24"/>
          <w:vertAlign w:val="subscript"/>
        </w:rPr>
        <w:t>1/2</w:t>
      </w:r>
      <w:r>
        <w:rPr>
          <w:rFonts w:hint="eastAsia" w:ascii="宋体" w:hAnsi="宋体"/>
          <w:sz w:val="24"/>
        </w:rPr>
        <w:t xml:space="preserve"> 拟合分析等；</w:t>
      </w:r>
    </w:p>
    <w:p w14:paraId="06EAEBC9">
      <w:pPr>
        <w:spacing w:before="156" w:beforeLines="50" w:after="156" w:afterLines="50" w:line="360" w:lineRule="auto"/>
        <w:rPr>
          <w:rFonts w:ascii="宋体" w:hAnsi="宋体"/>
          <w:b/>
          <w:sz w:val="24"/>
        </w:rPr>
      </w:pPr>
      <w:r>
        <w:rPr>
          <w:rFonts w:hint="eastAsia" w:ascii="宋体" w:hAnsi="宋体"/>
          <w:sz w:val="24"/>
        </w:rPr>
        <w:t>2.9.1.7、图形界面：一维谱图的线、点、数字、距离和柱状图显示；二维谱图的栈图，等高线、密度显示；三维栈图显示；峰位置，幅度，距离和g-值的显示。</w:t>
      </w:r>
    </w:p>
    <w:p w14:paraId="1E0D1477">
      <w:pPr>
        <w:spacing w:before="156" w:beforeLines="50" w:after="156" w:afterLines="50" w:line="360" w:lineRule="auto"/>
        <w:rPr>
          <w:rFonts w:ascii="宋体" w:hAnsi="宋体"/>
          <w:b/>
          <w:sz w:val="24"/>
        </w:rPr>
      </w:pPr>
      <w:r>
        <w:rPr>
          <w:rFonts w:hint="eastAsia" w:ascii="宋体" w:hAnsi="宋体"/>
          <w:sz w:val="24"/>
        </w:rPr>
        <w:t>3、附件、零配件及消耗品（包括专用工具）</w:t>
      </w:r>
    </w:p>
    <w:p w14:paraId="7AA40E92">
      <w:pPr>
        <w:spacing w:before="156" w:beforeLines="50" w:after="156" w:afterLines="50" w:line="360" w:lineRule="auto"/>
        <w:rPr>
          <w:rFonts w:ascii="宋体" w:hAnsi="宋体"/>
          <w:b/>
          <w:sz w:val="24"/>
        </w:rPr>
      </w:pPr>
      <w:r>
        <w:rPr>
          <w:rFonts w:hint="eastAsia" w:ascii="宋体" w:hAnsi="宋体"/>
          <w:sz w:val="24"/>
        </w:rPr>
        <w:t xml:space="preserve">3.1、随机必备的标样：strong pitch和BDPA；仪器安装所需工具材料。 </w:t>
      </w:r>
    </w:p>
    <w:p w14:paraId="0E063010">
      <w:pPr>
        <w:spacing w:before="156" w:beforeLines="50" w:after="156" w:afterLines="50" w:line="360" w:lineRule="auto"/>
        <w:rPr>
          <w:rFonts w:ascii="宋体" w:hAnsi="宋体"/>
          <w:b/>
          <w:sz w:val="24"/>
        </w:rPr>
      </w:pPr>
      <w:r>
        <w:rPr>
          <w:rFonts w:hint="eastAsia" w:ascii="宋体" w:hAnsi="宋体"/>
          <w:sz w:val="24"/>
        </w:rPr>
        <w:t>3.2、液氮变温系统，一套，温度范围：100-600 K，含温度控制单元，25L液氮罐1个，金属传输线/液氮蒸发器组合1套，加热丝和电热偶组合1套，插入式杜瓦1个，水冷边盘1个。（要求提供在采集软件界面上显示使用液氮变温系统时样品温度达到了100K和600K的截图为依据）</w:t>
      </w:r>
    </w:p>
    <w:p w14:paraId="72EA66DC">
      <w:pPr>
        <w:spacing w:before="156" w:beforeLines="50" w:after="156" w:afterLines="50" w:line="360" w:lineRule="auto"/>
        <w:rPr>
          <w:rFonts w:ascii="宋体" w:hAnsi="宋体"/>
          <w:b/>
          <w:sz w:val="24"/>
        </w:rPr>
      </w:pPr>
      <w:r>
        <w:rPr>
          <w:rFonts w:hint="eastAsia" w:ascii="宋体" w:hAnsi="宋体"/>
          <w:sz w:val="24"/>
        </w:rPr>
        <w:t>3.3、200支外径4mm/内径3mm石英样品管；</w:t>
      </w:r>
    </w:p>
    <w:p w14:paraId="2259DF42">
      <w:pPr>
        <w:spacing w:before="156" w:beforeLines="50" w:after="156" w:afterLines="50" w:line="360" w:lineRule="auto"/>
        <w:rPr>
          <w:rFonts w:ascii="宋体" w:hAnsi="宋体"/>
          <w:b/>
          <w:sz w:val="24"/>
        </w:rPr>
      </w:pPr>
      <w:r>
        <w:rPr>
          <w:rFonts w:hint="eastAsia" w:ascii="宋体" w:hAnsi="宋体"/>
          <w:sz w:val="24"/>
        </w:rPr>
        <w:t>3.4、200支外径5mm/内径4mm石英样品管；</w:t>
      </w:r>
    </w:p>
    <w:p w14:paraId="1E689685">
      <w:pPr>
        <w:spacing w:before="156" w:beforeLines="50" w:after="156" w:afterLines="50" w:line="360" w:lineRule="auto"/>
        <w:rPr>
          <w:rFonts w:ascii="宋体" w:hAnsi="宋体"/>
          <w:b/>
          <w:sz w:val="24"/>
        </w:rPr>
      </w:pPr>
      <w:r>
        <w:rPr>
          <w:rFonts w:hint="eastAsia" w:ascii="宋体" w:hAnsi="宋体"/>
          <w:sz w:val="24"/>
        </w:rPr>
        <w:t>3.5、2000支毛细管；</w:t>
      </w:r>
    </w:p>
    <w:p w14:paraId="06AF21FB">
      <w:pPr>
        <w:spacing w:before="156" w:beforeLines="50" w:after="156" w:afterLines="50" w:line="360" w:lineRule="auto"/>
        <w:rPr>
          <w:rFonts w:ascii="宋体" w:hAnsi="宋体"/>
          <w:b/>
          <w:sz w:val="24"/>
        </w:rPr>
      </w:pPr>
      <w:r>
        <w:rPr>
          <w:rFonts w:hint="eastAsia" w:ascii="宋体" w:hAnsi="宋体"/>
          <w:sz w:val="24"/>
        </w:rPr>
        <w:t>3.6、电解池，一套，含三个电极，可以与电化学工作站联用，进行原位的电解实验。</w:t>
      </w:r>
    </w:p>
    <w:p w14:paraId="69F94F92">
      <w:pPr>
        <w:spacing w:before="156" w:beforeLines="50" w:after="156" w:afterLines="50" w:line="360" w:lineRule="auto"/>
        <w:rPr>
          <w:rFonts w:ascii="宋体" w:hAnsi="宋体"/>
          <w:b/>
          <w:sz w:val="24"/>
        </w:rPr>
      </w:pPr>
      <w:r>
        <w:rPr>
          <w:rFonts w:hint="eastAsia" w:ascii="宋体" w:hAnsi="宋体"/>
          <w:sz w:val="24"/>
        </w:rPr>
        <w:t>★3.8、快速扫描EPR系统一套：包括快速扫描驱动器，采集单元，谐振腔，带I/Q检测器的微波桥前端，快速扫描线圈，线圈水冷器，电容器单元。具体要求如下：</w:t>
      </w:r>
    </w:p>
    <w:p w14:paraId="4A755EB7">
      <w:pPr>
        <w:spacing w:before="156" w:beforeLines="50" w:after="156" w:afterLines="50" w:line="360" w:lineRule="auto"/>
        <w:rPr>
          <w:rFonts w:ascii="宋体" w:hAnsi="宋体"/>
          <w:b/>
          <w:sz w:val="24"/>
        </w:rPr>
      </w:pPr>
      <w:r>
        <w:rPr>
          <w:rFonts w:hint="eastAsia" w:ascii="宋体" w:hAnsi="宋体"/>
          <w:sz w:val="24"/>
        </w:rPr>
        <w:t>扫描磁场均匀性：±0.15%（在直径4mm，长15mm圆柱体内）；</w:t>
      </w:r>
    </w:p>
    <w:p w14:paraId="7D12059D">
      <w:pPr>
        <w:spacing w:before="156" w:beforeLines="50" w:after="156" w:afterLines="50" w:line="360" w:lineRule="auto"/>
        <w:rPr>
          <w:rFonts w:ascii="宋体" w:hAnsi="宋体"/>
          <w:b/>
          <w:sz w:val="24"/>
        </w:rPr>
      </w:pPr>
      <w:r>
        <w:rPr>
          <w:rFonts w:hint="eastAsia" w:ascii="宋体" w:hAnsi="宋体"/>
          <w:sz w:val="24"/>
        </w:rPr>
        <w:t>最大扫描速率：≥10MG/s；</w:t>
      </w:r>
    </w:p>
    <w:p w14:paraId="48BCFD5E">
      <w:pPr>
        <w:spacing w:before="156" w:beforeLines="50" w:after="156" w:afterLines="50" w:line="360" w:lineRule="auto"/>
        <w:rPr>
          <w:rFonts w:ascii="宋体" w:hAnsi="宋体"/>
          <w:b/>
          <w:sz w:val="24"/>
        </w:rPr>
      </w:pPr>
      <w:r>
        <w:rPr>
          <w:rFonts w:hint="eastAsia" w:ascii="宋体" w:hAnsi="宋体"/>
          <w:sz w:val="24"/>
        </w:rPr>
        <w:t>扫描频率范围：10、20、30、50、100kHz（正弦共振扫描），5-30kHz（三角形非共振扫描）；</w:t>
      </w:r>
    </w:p>
    <w:p w14:paraId="26E8E412">
      <w:pPr>
        <w:spacing w:before="156" w:beforeLines="50" w:after="156" w:afterLines="50" w:line="360" w:lineRule="auto"/>
        <w:rPr>
          <w:rFonts w:ascii="宋体" w:hAnsi="宋体"/>
          <w:b/>
          <w:sz w:val="24"/>
        </w:rPr>
      </w:pPr>
      <w:r>
        <w:rPr>
          <w:rFonts w:hint="eastAsia" w:ascii="宋体" w:hAnsi="宋体"/>
          <w:sz w:val="24"/>
        </w:rPr>
        <w:t>最大扫描宽度：≥200G@≤20kHz（正弦扫描），≥40G@100kHz（正弦扫描），≥60G@5kHz（三角形扫描），≥10G@30kHz（三角形扫描）；</w:t>
      </w:r>
    </w:p>
    <w:p w14:paraId="63E2DBE8">
      <w:pPr>
        <w:spacing w:before="156" w:beforeLines="50" w:after="156" w:afterLines="50" w:line="360" w:lineRule="auto"/>
        <w:rPr>
          <w:rFonts w:ascii="宋体" w:hAnsi="宋体"/>
          <w:b/>
          <w:sz w:val="24"/>
        </w:rPr>
      </w:pPr>
      <w:r>
        <w:rPr>
          <w:rFonts w:hint="eastAsia" w:ascii="宋体" w:hAnsi="宋体"/>
          <w:sz w:val="24"/>
        </w:rPr>
        <w:t>共振频率：9.4-9.6GHz（空谐振腔）；</w:t>
      </w:r>
    </w:p>
    <w:p w14:paraId="4C6E2F51">
      <w:pPr>
        <w:spacing w:before="156" w:beforeLines="50" w:after="156" w:afterLines="50" w:line="360" w:lineRule="auto"/>
        <w:rPr>
          <w:rFonts w:ascii="宋体" w:hAnsi="宋体"/>
          <w:b/>
          <w:sz w:val="24"/>
        </w:rPr>
      </w:pPr>
      <w:r>
        <w:rPr>
          <w:rFonts w:hint="eastAsia" w:ascii="宋体" w:hAnsi="宋体"/>
          <w:sz w:val="24"/>
        </w:rPr>
        <w:t>有载Q值：500-6000（在临界耦合下）；</w:t>
      </w:r>
    </w:p>
    <w:p w14:paraId="17487D12">
      <w:pPr>
        <w:spacing w:before="156" w:beforeLines="50" w:after="156" w:afterLines="50" w:line="360" w:lineRule="auto"/>
        <w:rPr>
          <w:rFonts w:ascii="宋体" w:hAnsi="宋体"/>
          <w:b/>
          <w:sz w:val="24"/>
        </w:rPr>
      </w:pPr>
      <w:r>
        <w:rPr>
          <w:rFonts w:hint="eastAsia" w:ascii="宋体" w:hAnsi="宋体"/>
          <w:sz w:val="24"/>
        </w:rPr>
        <w:t>接收器：正交接收器；</w:t>
      </w:r>
    </w:p>
    <w:p w14:paraId="799C5041">
      <w:pPr>
        <w:spacing w:before="156" w:beforeLines="50" w:after="156" w:afterLines="50" w:line="360" w:lineRule="auto"/>
        <w:rPr>
          <w:rFonts w:ascii="宋体" w:hAnsi="宋体"/>
          <w:sz w:val="24"/>
        </w:rPr>
      </w:pPr>
      <w:r>
        <w:rPr>
          <w:rFonts w:hint="eastAsia" w:ascii="宋体" w:hAnsi="宋体"/>
          <w:sz w:val="24"/>
        </w:rPr>
        <w:t>带宽：≥100 MHz；</w:t>
      </w:r>
    </w:p>
    <w:p w14:paraId="15481CF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1OGY4NjlhYjk1NWE0YTFmMjkyMjMwNDRjZTJiODcifQ=="/>
  </w:docVars>
  <w:rsids>
    <w:rsidRoot w:val="00000000"/>
    <w:rsid w:val="4A75289D"/>
    <w:rsid w:val="5A203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4431</Words>
  <Characters>5294</Characters>
  <Lines>0</Lines>
  <Paragraphs>0</Paragraphs>
  <TotalTime>0</TotalTime>
  <ScaleCrop>false</ScaleCrop>
  <LinksUpToDate>false</LinksUpToDate>
  <CharactersWithSpaces>5317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2024-08-22T10:06:00Z</dcterms:created>
  <dc:creator>Administrator</dc:creator>
  <cp:lastModifiedBy>清</cp:lastModifiedBy>
  <dcterms:modified xsi:type="dcterms:W3CDTF">2024-08-23T01:38:14Z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82FA0D419E9C4F59A5A6AB67050D05B2_13</vt:lpwstr>
  </property>
</Properties>
</file>