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010AE"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bookmarkStart w:id="0" w:name="_GoBack"/>
      <w:bookmarkEnd w:id="0"/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44BA8141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6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 w14:paraId="08DB33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 w14:paraId="039D6451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 w14:paraId="0B4EA545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 w14:paraId="51F05EAD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 w14:paraId="5057BDA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 w14:paraId="77DB7A14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 w14:paraId="5CD0A027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055E6E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 w14:paraId="3A9F5E02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20</w:t>
            </w:r>
          </w:p>
        </w:tc>
        <w:tc>
          <w:tcPr>
            <w:tcW w:w="2640" w:type="dxa"/>
            <w:noWrap w:val="0"/>
            <w:vAlign w:val="center"/>
          </w:tcPr>
          <w:p w14:paraId="66B42FD2">
            <w:pPr>
              <w:jc w:val="center"/>
              <w:rPr>
                <w:rFonts w:hint="eastAsia" w:ascii="Bookman Old Style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场发射透射电子显微镜</w:t>
            </w:r>
          </w:p>
        </w:tc>
        <w:tc>
          <w:tcPr>
            <w:tcW w:w="635" w:type="dxa"/>
            <w:noWrap w:val="0"/>
            <w:vAlign w:val="center"/>
          </w:tcPr>
          <w:p w14:paraId="29340C36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1套</w:t>
            </w:r>
          </w:p>
        </w:tc>
        <w:tc>
          <w:tcPr>
            <w:tcW w:w="1320" w:type="dxa"/>
            <w:noWrap w:val="0"/>
            <w:vAlign w:val="center"/>
          </w:tcPr>
          <w:p w14:paraId="79C714E8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合同签订后15个月内</w:t>
            </w:r>
          </w:p>
        </w:tc>
        <w:tc>
          <w:tcPr>
            <w:tcW w:w="1765" w:type="dxa"/>
            <w:noWrap w:val="0"/>
            <w:vAlign w:val="center"/>
          </w:tcPr>
          <w:p w14:paraId="0EFF3A1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天津港</w:t>
            </w:r>
          </w:p>
        </w:tc>
        <w:tc>
          <w:tcPr>
            <w:tcW w:w="2520" w:type="dxa"/>
            <w:noWrap w:val="0"/>
            <w:vAlign w:val="center"/>
          </w:tcPr>
          <w:p w14:paraId="18D5C640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国家纳米科学中心</w:t>
            </w:r>
          </w:p>
        </w:tc>
      </w:tr>
    </w:tbl>
    <w:p w14:paraId="4582AAD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576ECAF0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026F7CC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525E9F2E"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09505F56">
      <w:pPr>
        <w:adjustRightInd w:val="0"/>
        <w:snapToGrid w:val="0"/>
        <w:rPr>
          <w:rFonts w:hint="eastAsia" w:ascii="宋体" w:hAnsi="宋体"/>
          <w:szCs w:val="21"/>
        </w:rPr>
      </w:pPr>
    </w:p>
    <w:p w14:paraId="372E837F">
      <w:pPr>
        <w:adjustRightInd w:val="0"/>
        <w:snapToGrid w:val="0"/>
        <w:rPr>
          <w:rFonts w:hint="eastAsia" w:ascii="宋体" w:hAnsi="宋体"/>
          <w:szCs w:val="21"/>
        </w:rPr>
      </w:pPr>
    </w:p>
    <w:p w14:paraId="3FCE4B8C">
      <w:pPr>
        <w:adjustRightInd w:val="0"/>
        <w:snapToGrid w:val="0"/>
        <w:rPr>
          <w:rFonts w:hint="eastAsia" w:ascii="宋体" w:hAnsi="宋体"/>
          <w:szCs w:val="21"/>
        </w:rPr>
      </w:pPr>
    </w:p>
    <w:p w14:paraId="4C12A95A">
      <w:pPr>
        <w:adjustRightInd w:val="0"/>
        <w:snapToGrid w:val="0"/>
        <w:rPr>
          <w:rFonts w:hint="eastAsia" w:ascii="宋体" w:hAnsi="宋体"/>
          <w:szCs w:val="21"/>
        </w:rPr>
      </w:pPr>
    </w:p>
    <w:p w14:paraId="78D23D55">
      <w:pPr>
        <w:adjustRightInd w:val="0"/>
        <w:snapToGrid w:val="0"/>
        <w:rPr>
          <w:rFonts w:hint="eastAsia" w:ascii="宋体" w:hAnsi="宋体"/>
          <w:szCs w:val="21"/>
        </w:rPr>
      </w:pPr>
    </w:p>
    <w:p w14:paraId="09391D60">
      <w:pPr>
        <w:adjustRightInd w:val="0"/>
        <w:snapToGrid w:val="0"/>
        <w:rPr>
          <w:rFonts w:hint="eastAsia" w:ascii="宋体" w:hAnsi="宋体"/>
          <w:szCs w:val="21"/>
        </w:rPr>
      </w:pPr>
    </w:p>
    <w:p w14:paraId="554798B2">
      <w:pPr>
        <w:adjustRightInd w:val="0"/>
        <w:snapToGrid w:val="0"/>
        <w:rPr>
          <w:rFonts w:hint="eastAsia" w:ascii="宋体" w:hAnsi="宋体"/>
          <w:szCs w:val="21"/>
        </w:rPr>
      </w:pPr>
    </w:p>
    <w:p w14:paraId="52EED480">
      <w:pPr>
        <w:adjustRightInd w:val="0"/>
        <w:snapToGrid w:val="0"/>
        <w:rPr>
          <w:rFonts w:hint="eastAsia" w:ascii="宋体" w:hAnsi="宋体"/>
          <w:szCs w:val="21"/>
        </w:rPr>
      </w:pPr>
    </w:p>
    <w:p w14:paraId="480C1933">
      <w:pPr>
        <w:adjustRightInd w:val="0"/>
        <w:snapToGrid w:val="0"/>
        <w:rPr>
          <w:rFonts w:hint="eastAsia" w:ascii="宋体" w:hAnsi="宋体"/>
          <w:szCs w:val="21"/>
        </w:rPr>
      </w:pPr>
    </w:p>
    <w:p w14:paraId="0C764325">
      <w:pPr>
        <w:adjustRightInd w:val="0"/>
        <w:snapToGrid w:val="0"/>
        <w:rPr>
          <w:rFonts w:hint="eastAsia" w:ascii="宋体" w:hAnsi="宋体"/>
          <w:szCs w:val="21"/>
        </w:rPr>
      </w:pPr>
    </w:p>
    <w:p w14:paraId="4541736B">
      <w:pPr>
        <w:adjustRightInd w:val="0"/>
        <w:snapToGrid w:val="0"/>
        <w:rPr>
          <w:rFonts w:hint="eastAsia" w:ascii="宋体" w:hAnsi="宋体"/>
          <w:szCs w:val="21"/>
        </w:rPr>
      </w:pPr>
    </w:p>
    <w:p w14:paraId="3FC7F062">
      <w:pPr>
        <w:adjustRightInd w:val="0"/>
        <w:snapToGrid w:val="0"/>
        <w:rPr>
          <w:rFonts w:hint="eastAsia" w:ascii="宋体" w:hAnsi="宋体"/>
          <w:szCs w:val="21"/>
        </w:rPr>
      </w:pPr>
    </w:p>
    <w:p w14:paraId="67831A2E"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 w14:paraId="4100274F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总则</w:t>
      </w:r>
    </w:p>
    <w:p w14:paraId="302742C4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 w14:paraId="1C323FC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023CE50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2B9FAC26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6A4DAFB5">
      <w:pPr>
        <w:spacing w:line="360" w:lineRule="auto"/>
        <w:ind w:left="554" w:hanging="554" w:hangingChars="231"/>
        <w:rPr>
          <w:rFonts w:hint="eastAsia" w:ascii="宋体"/>
          <w:sz w:val="24"/>
          <w:highlight w:val="yellow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6B0523EA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 w14:paraId="2CC3E14B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42BBC3F2">
      <w:pPr>
        <w:spacing w:line="360" w:lineRule="auto"/>
        <w:ind w:left="554" w:hanging="554" w:hangingChars="231"/>
        <w:rPr>
          <w:rFonts w:hint="eastAsia"/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4CCF456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45AB44B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5D0CA675">
      <w:pPr>
        <w:spacing w:line="360" w:lineRule="auto"/>
        <w:ind w:left="554" w:hanging="554" w:hangingChars="231"/>
        <w:rPr>
          <w:rFonts w:ascii="宋体" w:hAnsi="宋体"/>
          <w:color w:val="FF0000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2A2E9F0E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 w14:paraId="0A53E278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37A9595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7B988842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11E8A3F8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4C18565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37492175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 w14:paraId="06DD1D2E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146F8AF9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>,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>,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>,</w:t>
      </w:r>
      <w:r>
        <w:rPr>
          <w:rFonts w:hint="eastAsia" w:ascii="宋体" w:hAnsi="宋体"/>
          <w:sz w:val="24"/>
        </w:rPr>
        <w:t>买方有权要求卖方负责更换。</w:t>
      </w:r>
    </w:p>
    <w:p w14:paraId="103110F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7E09179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33A6BB21">
      <w:pPr>
        <w:pStyle w:val="2"/>
        <w:spacing w:before="156" w:beforeLines="50"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5、本技术规格书中标注“*”号的为实质性要求，不满足其投标将被拒绝。</w:t>
      </w:r>
    </w:p>
    <w:p w14:paraId="437A9275">
      <w:pPr>
        <w:pStyle w:val="2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 w14:paraId="7B64A90C">
      <w:pPr>
        <w:spacing w:after="156" w:afterLines="50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三、具体技术规格</w:t>
      </w:r>
    </w:p>
    <w:p w14:paraId="0E9E2182">
      <w:pPr>
        <w:rPr>
          <w:rFonts w:hint="eastAsia"/>
          <w:sz w:val="24"/>
        </w:rPr>
      </w:pPr>
    </w:p>
    <w:p w14:paraId="18EDC83D">
      <w:pPr>
        <w:jc w:val="center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场发射透射电子显微镜</w:t>
      </w:r>
    </w:p>
    <w:p w14:paraId="785123F8">
      <w:pPr>
        <w:rPr>
          <w:rFonts w:hint="eastAsia"/>
          <w:b/>
          <w:sz w:val="24"/>
        </w:rPr>
      </w:pPr>
    </w:p>
    <w:p w14:paraId="2EB04AC9">
      <w:pPr>
        <w:numPr>
          <w:ilvl w:val="0"/>
          <w:numId w:val="2"/>
        </w:num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4A429C57">
      <w:pPr>
        <w:rPr>
          <w:b/>
          <w:sz w:val="24"/>
        </w:rPr>
      </w:pPr>
    </w:p>
    <w:p w14:paraId="40C463A7">
      <w:pPr>
        <w:numPr>
          <w:ilvl w:val="0"/>
          <w:numId w:val="3"/>
        </w:num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工作条件：</w:t>
      </w:r>
    </w:p>
    <w:p w14:paraId="5D466ED8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1.1</w:t>
      </w:r>
      <w:r>
        <w:rPr>
          <w:sz w:val="24"/>
        </w:rPr>
        <w:tab/>
      </w:r>
      <w:r>
        <w:rPr>
          <w:rFonts w:hint="eastAsia"/>
          <w:sz w:val="24"/>
        </w:rPr>
        <w:t>电力供应：</w:t>
      </w:r>
      <w:r>
        <w:rPr>
          <w:sz w:val="24"/>
        </w:rPr>
        <w:t>220V</w:t>
      </w:r>
      <w:r>
        <w:rPr>
          <w:rFonts w:hint="eastAsia"/>
          <w:sz w:val="24"/>
        </w:rPr>
        <w:t>（</w:t>
      </w:r>
      <w:r>
        <w:rPr>
          <w:sz w:val="24"/>
        </w:rPr>
        <w:t>10%</w:t>
      </w:r>
      <w:r>
        <w:rPr>
          <w:rFonts w:hint="eastAsia"/>
          <w:sz w:val="24"/>
        </w:rPr>
        <w:t>），</w:t>
      </w:r>
      <w:r>
        <w:rPr>
          <w:sz w:val="24"/>
        </w:rPr>
        <w:t>50Hz</w:t>
      </w:r>
      <w:r>
        <w:rPr>
          <w:rFonts w:hint="eastAsia"/>
          <w:sz w:val="24"/>
        </w:rPr>
        <w:t>，单相；</w:t>
      </w:r>
      <w:r>
        <w:rPr>
          <w:sz w:val="24"/>
        </w:rPr>
        <w:t>380V</w:t>
      </w:r>
      <w:r>
        <w:rPr>
          <w:rFonts w:hint="eastAsia"/>
          <w:sz w:val="24"/>
        </w:rPr>
        <w:t>（</w:t>
      </w:r>
      <w:r>
        <w:rPr>
          <w:sz w:val="24"/>
        </w:rPr>
        <w:t>10%</w:t>
      </w:r>
      <w:r>
        <w:rPr>
          <w:rFonts w:hint="eastAsia"/>
          <w:sz w:val="24"/>
        </w:rPr>
        <w:t>），</w:t>
      </w:r>
      <w:r>
        <w:rPr>
          <w:sz w:val="24"/>
        </w:rPr>
        <w:t>50Hz</w:t>
      </w:r>
      <w:r>
        <w:rPr>
          <w:rFonts w:hint="eastAsia"/>
          <w:sz w:val="24"/>
        </w:rPr>
        <w:t>，三相</w:t>
      </w:r>
    </w:p>
    <w:p w14:paraId="455FDC6C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1.2</w:t>
      </w:r>
      <w:r>
        <w:rPr>
          <w:sz w:val="24"/>
        </w:rPr>
        <w:tab/>
      </w:r>
      <w:r>
        <w:rPr>
          <w:rFonts w:hint="eastAsia"/>
          <w:sz w:val="24"/>
        </w:rPr>
        <w:t>工作温度：</w:t>
      </w:r>
      <w:r>
        <w:rPr>
          <w:sz w:val="24"/>
        </w:rPr>
        <w:t>15</w:t>
      </w:r>
      <w:r>
        <w:rPr>
          <w:rFonts w:hint="eastAsia"/>
          <w:sz w:val="24"/>
          <w:vertAlign w:val="superscript"/>
        </w:rPr>
        <w:t>o</w:t>
      </w:r>
      <w:r>
        <w:rPr>
          <w:sz w:val="24"/>
        </w:rPr>
        <w:t>C-25</w:t>
      </w:r>
      <w:r>
        <w:rPr>
          <w:rFonts w:hint="eastAsia"/>
          <w:sz w:val="24"/>
          <w:vertAlign w:val="superscript"/>
        </w:rPr>
        <w:t>o</w:t>
      </w:r>
      <w:r>
        <w:rPr>
          <w:sz w:val="24"/>
        </w:rPr>
        <w:t>C</w:t>
      </w:r>
    </w:p>
    <w:p w14:paraId="06B0EE7E">
      <w:pPr>
        <w:spacing w:line="360" w:lineRule="auto"/>
        <w:ind w:firstLine="480" w:firstLineChars="200"/>
        <w:jc w:val="left"/>
        <w:rPr>
          <w:rFonts w:hint="eastAsia"/>
          <w:sz w:val="24"/>
        </w:rPr>
      </w:pPr>
      <w:r>
        <w:rPr>
          <w:rFonts w:hint="eastAsia"/>
          <w:sz w:val="24"/>
        </w:rPr>
        <w:t>1.3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工作湿度：≤60%</w:t>
      </w:r>
    </w:p>
    <w:p w14:paraId="3191966C">
      <w:pPr>
        <w:spacing w:line="360" w:lineRule="auto"/>
        <w:ind w:firstLine="480" w:firstLineChars="200"/>
        <w:jc w:val="left"/>
        <w:rPr>
          <w:rFonts w:hint="eastAsia"/>
          <w:sz w:val="24"/>
        </w:rPr>
      </w:pPr>
      <w:r>
        <w:rPr>
          <w:rFonts w:hint="eastAsia"/>
          <w:sz w:val="24"/>
        </w:rPr>
        <w:t>1.4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仪器运行的持久性：连续使用</w:t>
      </w:r>
    </w:p>
    <w:p w14:paraId="35479FFF">
      <w:pPr>
        <w:spacing w:line="360" w:lineRule="auto"/>
        <w:ind w:firstLine="480" w:firstLineChars="200"/>
        <w:jc w:val="left"/>
        <w:rPr>
          <w:rFonts w:hint="eastAsia"/>
          <w:sz w:val="24"/>
        </w:rPr>
      </w:pPr>
      <w:r>
        <w:rPr>
          <w:rFonts w:hint="eastAsia"/>
          <w:sz w:val="24"/>
        </w:rPr>
        <w:t>1.5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独立地线：≤100欧姆</w:t>
      </w:r>
    </w:p>
    <w:p w14:paraId="0942FF81">
      <w:pPr>
        <w:spacing w:line="360" w:lineRule="auto"/>
        <w:ind w:firstLine="480" w:firstLineChars="200"/>
        <w:jc w:val="left"/>
        <w:rPr>
          <w:rFonts w:hint="eastAsia"/>
          <w:sz w:val="24"/>
        </w:rPr>
      </w:pPr>
      <w:r>
        <w:rPr>
          <w:rFonts w:hint="eastAsia"/>
          <w:sz w:val="24"/>
        </w:rPr>
        <w:t>1.6 仪器设备的安全性：符合放射线防护安全标准和电器安全标准</w:t>
      </w:r>
    </w:p>
    <w:p w14:paraId="360D8CE6">
      <w:pPr>
        <w:numPr>
          <w:ilvl w:val="0"/>
          <w:numId w:val="3"/>
        </w:num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设备用途：</w:t>
      </w:r>
    </w:p>
    <w:p w14:paraId="30D6BFCE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主要用于材料的高分辨形貌观察和微区的晶体结构分析、系统有电子光学系统、高压系统、真空系统等部分组成。可以在极短时间内得到高分辨率的图像观察和成分分析，结合高灵敏度的能谱仪可以实现快速的成分分析。</w:t>
      </w:r>
    </w:p>
    <w:p w14:paraId="54B2FBD4">
      <w:pPr>
        <w:spacing w:line="360" w:lineRule="auto"/>
        <w:rPr>
          <w:rFonts w:hint="eastAsia"/>
          <w:sz w:val="24"/>
        </w:rPr>
      </w:pPr>
    </w:p>
    <w:p w14:paraId="1521A10A">
      <w:pPr>
        <w:numPr>
          <w:ilvl w:val="0"/>
          <w:numId w:val="3"/>
        </w:num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技术规格：</w:t>
      </w:r>
    </w:p>
    <w:p w14:paraId="1D77152C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 场发射透射电镜基本单元</w:t>
      </w:r>
    </w:p>
    <w:p w14:paraId="45F8AE90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 电子枪</w:t>
      </w:r>
    </w:p>
    <w:p w14:paraId="75371785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3.1.1.1 电子枪类型：超稳定高亮度热场发射电子枪</w:t>
      </w:r>
    </w:p>
    <w:p w14:paraId="1C2188D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3.1.1.2 亮度：超高亮度电子枪，亮度大于4×10</w:t>
      </w:r>
      <w:r>
        <w:rPr>
          <w:rFonts w:hint="eastAsia"/>
          <w:sz w:val="24"/>
          <w:vertAlign w:val="superscript"/>
        </w:rPr>
        <w:t>8</w:t>
      </w:r>
      <w:r>
        <w:rPr>
          <w:rFonts w:hint="eastAsia"/>
          <w:sz w:val="24"/>
        </w:rPr>
        <w:t>A/cm</w:t>
      </w:r>
      <w:r>
        <w:rPr>
          <w:rFonts w:hint="eastAsia"/>
          <w:sz w:val="24"/>
          <w:vertAlign w:val="superscript"/>
        </w:rPr>
        <w:t>2</w:t>
      </w:r>
      <w:r>
        <w:rPr>
          <w:rFonts w:hint="eastAsia"/>
          <w:sz w:val="24"/>
        </w:rPr>
        <w:t>/sr</w:t>
      </w:r>
    </w:p>
    <w:p w14:paraId="51995DFC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3.1.1.3 束流：≥2.5nA（束斑尺寸为1nmφ时）</w:t>
      </w:r>
    </w:p>
    <w:p w14:paraId="75608B52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3.1.1.4 最大束流：≥100nA</w:t>
      </w:r>
    </w:p>
    <w:p w14:paraId="00DF449C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3.1.2 分辨率</w:t>
      </w:r>
    </w:p>
    <w:p w14:paraId="19A155A8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3.1.2.1 点分辨率：≤0.25nm</w:t>
      </w:r>
    </w:p>
    <w:p w14:paraId="53205D95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3.1.2.2 线分辨率：≤0.10nm</w:t>
      </w:r>
    </w:p>
    <w:p w14:paraId="0E89D1BD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3.1.2.3 信息分辨率：≤0.12nm</w:t>
      </w:r>
    </w:p>
    <w:p w14:paraId="65416B6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3.1.2.5 束斑漂移：&lt;1nm/min</w:t>
      </w:r>
    </w:p>
    <w:p w14:paraId="12528D66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3.1.3 加速电压：20-200kV</w:t>
      </w:r>
    </w:p>
    <w:p w14:paraId="60A1B92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3.1.4 稳定度</w:t>
      </w:r>
    </w:p>
    <w:p w14:paraId="1BD99D2B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加速电压稳定性：≤1 ppm/min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（峰峰值）</w:t>
      </w:r>
    </w:p>
    <w:p w14:paraId="5890995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物镜电流稳定性：≤1 ppm/min （峰峰值）</w:t>
      </w:r>
      <w:r>
        <w:rPr>
          <w:rFonts w:hint="eastAsia"/>
          <w:sz w:val="24"/>
        </w:rPr>
        <w:tab/>
      </w:r>
    </w:p>
    <w:p w14:paraId="6DD69268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3.1.5 TEM模式下放大倍数：20</w:t>
      </w:r>
      <w:r>
        <w:rPr>
          <w:sz w:val="24"/>
        </w:rPr>
        <w:t>-</w:t>
      </w:r>
      <w:r>
        <w:rPr>
          <w:rFonts w:hint="eastAsia"/>
          <w:sz w:val="24"/>
        </w:rPr>
        <w:t>20,000,000×</w:t>
      </w:r>
    </w:p>
    <w:p w14:paraId="603B1FA1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3.1.6 放大倍数重复性：&lt;5%</w:t>
      </w:r>
    </w:p>
    <w:p w14:paraId="30E58791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3.1.7 物镜</w:t>
      </w:r>
    </w:p>
    <w:p w14:paraId="02728184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3.1.7.1 球差系数：≤1.0mm</w:t>
      </w:r>
      <w:r>
        <w:rPr>
          <w:rFonts w:hint="eastAsia"/>
          <w:sz w:val="24"/>
        </w:rPr>
        <w:tab/>
      </w:r>
    </w:p>
    <w:p w14:paraId="22D4FDE4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3.1.7.2 色差系数：≤1.4mm</w:t>
      </w:r>
    </w:p>
    <w:p w14:paraId="0C494BD5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3.1.7.3 最小聚焦步长：≤1.4nm</w:t>
      </w:r>
    </w:p>
    <w:p w14:paraId="3B61297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3.1.7.4 焦距：2.3mm</w:t>
      </w:r>
    </w:p>
    <w:p w14:paraId="69B92DA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3.1.8 束斑尺寸：0.5-20nm</w:t>
      </w:r>
    </w:p>
    <w:p w14:paraId="4F98B894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3.1.9 相机长度：15</w:t>
      </w:r>
      <w:r>
        <w:rPr>
          <w:sz w:val="24"/>
        </w:rPr>
        <w:t>-</w:t>
      </w:r>
      <w:r>
        <w:rPr>
          <w:rFonts w:hint="eastAsia"/>
          <w:sz w:val="24"/>
        </w:rPr>
        <w:t>2000mm</w:t>
      </w:r>
    </w:p>
    <w:p w14:paraId="19641F37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3.1.10 最大会聚角CBED：1.5-100mrad</w:t>
      </w:r>
    </w:p>
    <w:p w14:paraId="664E302E">
      <w:pPr>
        <w:spacing w:line="360" w:lineRule="auto"/>
        <w:ind w:firstLine="480"/>
        <w:rPr>
          <w:sz w:val="24"/>
        </w:rPr>
      </w:pPr>
      <w:r>
        <w:rPr>
          <w:sz w:val="24"/>
        </w:rPr>
        <w:t>3.1.11</w:t>
      </w:r>
      <w:r>
        <w:rPr>
          <w:rFonts w:hint="eastAsia"/>
          <w:sz w:val="24"/>
        </w:rPr>
        <w:t xml:space="preserve"> 最大衍射角：</w:t>
      </w:r>
      <w:r>
        <w:rPr>
          <w:sz w:val="24"/>
        </w:rPr>
        <w:t>20°</w:t>
      </w:r>
    </w:p>
    <w:p w14:paraId="6681DFFC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3.1.12 样品杆直径：≥10mm</w:t>
      </w:r>
    </w:p>
    <w:p w14:paraId="66F1F8B8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3.1.13 样品移动：X:≥2mm；Y：≥2mm；Z：≥0.4mm</w:t>
      </w:r>
    </w:p>
    <w:p w14:paraId="6C73727D">
      <w:pPr>
        <w:spacing w:line="360" w:lineRule="auto"/>
        <w:ind w:firstLine="480"/>
        <w:rPr>
          <w:sz w:val="24"/>
        </w:rPr>
      </w:pPr>
      <w:r>
        <w:rPr>
          <w:sz w:val="24"/>
        </w:rPr>
        <w:t>3.1.14</w:t>
      </w:r>
      <w:r>
        <w:rPr>
          <w:rFonts w:hint="eastAsia"/>
          <w:sz w:val="24"/>
        </w:rPr>
        <w:t xml:space="preserve"> 最大双倾杆倾斜角</w:t>
      </w:r>
      <w:r>
        <w:rPr>
          <w:sz w:val="24"/>
        </w:rPr>
        <w:t>X</w:t>
      </w:r>
      <w:r>
        <w:rPr>
          <w:rFonts w:hint="eastAsia"/>
          <w:sz w:val="24"/>
        </w:rPr>
        <w:t>：≥</w:t>
      </w:r>
      <w:r>
        <w:rPr>
          <w:sz w:val="24"/>
        </w:rPr>
        <w:t>35°</w:t>
      </w:r>
      <w:r>
        <w:rPr>
          <w:rFonts w:hint="eastAsia"/>
          <w:sz w:val="24"/>
        </w:rPr>
        <w:t>，</w:t>
      </w:r>
      <w:r>
        <w:rPr>
          <w:sz w:val="24"/>
        </w:rPr>
        <w:t>Y</w:t>
      </w:r>
      <w:r>
        <w:rPr>
          <w:rFonts w:hint="eastAsia"/>
          <w:sz w:val="24"/>
        </w:rPr>
        <w:t>：≥</w:t>
      </w:r>
      <w:r>
        <w:rPr>
          <w:sz w:val="24"/>
        </w:rPr>
        <w:t>30°</w:t>
      </w:r>
    </w:p>
    <w:p w14:paraId="59B950C0">
      <w:pPr>
        <w:spacing w:line="360" w:lineRule="auto"/>
        <w:ind w:firstLine="480"/>
        <w:rPr>
          <w:sz w:val="24"/>
        </w:rPr>
      </w:pPr>
      <w:r>
        <w:rPr>
          <w:sz w:val="24"/>
        </w:rPr>
        <w:t>3.1.15</w:t>
      </w:r>
      <w:r>
        <w:rPr>
          <w:rFonts w:hint="eastAsia"/>
          <w:sz w:val="24"/>
        </w:rPr>
        <w:t xml:space="preserve"> 最大测角台倾斜角：</w:t>
      </w:r>
      <w:r>
        <w:rPr>
          <w:sz w:val="24"/>
        </w:rPr>
        <w:t>90°</w:t>
      </w:r>
    </w:p>
    <w:p w14:paraId="6C99D42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3.1.16 全自动光阑系统，可以通过计算机系统直接控制。</w:t>
      </w:r>
    </w:p>
    <w:p w14:paraId="18C94A35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3.1.17 远程遥控模式标配，配备样品室侧装相机，可在显示器上操作电镜，寻找样品。</w:t>
      </w:r>
    </w:p>
    <w:p w14:paraId="64CEDCDC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3.1.18 样品可自动更换，同时支持手动换样模式</w:t>
      </w:r>
      <w:r>
        <w:rPr>
          <w:rFonts w:hint="eastAsia"/>
          <w:sz w:val="24"/>
        </w:rPr>
        <w:tab/>
      </w:r>
    </w:p>
    <w:p w14:paraId="456A29F1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3.2 扫描透射附件（STEM）技术规格</w:t>
      </w:r>
    </w:p>
    <w:p w14:paraId="638A39DB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3.2.1 明场分辨率：≤0.16nm；</w:t>
      </w:r>
    </w:p>
    <w:p w14:paraId="1F12849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3.2.2 暗场分辨率：≤0.16nm；</w:t>
      </w:r>
    </w:p>
    <w:p w14:paraId="5DD2224B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3.2.3 HAADF分辨率：≤0.16nm；</w:t>
      </w:r>
    </w:p>
    <w:p w14:paraId="2F2139E3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3.2.4 STEM模式放大倍率：100</w:t>
      </w:r>
      <w:r>
        <w:rPr>
          <w:sz w:val="24"/>
        </w:rPr>
        <w:t>-</w:t>
      </w:r>
      <w:r>
        <w:rPr>
          <w:rFonts w:hint="eastAsia"/>
          <w:sz w:val="24"/>
        </w:rPr>
        <w:t>150,000,000×</w:t>
      </w:r>
    </w:p>
    <w:p w14:paraId="7D550F3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3.2.5 TEM、SEI、STEM模式通过软件点击即可快速切换，保证SEI图像、BF、DF和HAADF图像的快速采集。</w:t>
      </w:r>
    </w:p>
    <w:p w14:paraId="662F55A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3.3 二次电子像技术规格</w:t>
      </w:r>
    </w:p>
    <w:p w14:paraId="75465725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3.3.1 二次电子分辨率：≤1.0nm（200KV）；</w:t>
      </w:r>
    </w:p>
    <w:p w14:paraId="06E69AFE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3.3.2 SE模式放大倍率：</w:t>
      </w:r>
      <w:r>
        <w:rPr>
          <w:sz w:val="24"/>
        </w:rPr>
        <w:t>100-150,000,000×</w:t>
      </w:r>
    </w:p>
    <w:p w14:paraId="1F3BFF19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3.4 样品杆：配备单倾杆一根，双倾杆一根</w:t>
      </w:r>
    </w:p>
    <w:p w14:paraId="4F439F9A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3.5 主机计算机配置</w:t>
      </w:r>
    </w:p>
    <w:p w14:paraId="2FE56762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3.5.1 CPU:4核，2.26GHz</w:t>
      </w:r>
    </w:p>
    <w:p w14:paraId="1223C22C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3.5.2 内存大于16G</w:t>
      </w:r>
    </w:p>
    <w:p w14:paraId="62329E9A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3.5.3 硬盘大于500GB</w:t>
      </w:r>
    </w:p>
    <w:p w14:paraId="15EDFCAA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3.5.4 Win10以上操作系统</w:t>
      </w:r>
    </w:p>
    <w:p w14:paraId="67417926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3.5.5 27寸显示器</w:t>
      </w:r>
    </w:p>
    <w:p w14:paraId="4FBC8486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3.7 X射线能谱分析仪技术规格</w:t>
      </w:r>
    </w:p>
    <w:p w14:paraId="2DA2A91E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3.7.1 探测器类型：电制冷型双探测器，探测器面积不小于100 mm</w:t>
      </w:r>
      <w:r>
        <w:rPr>
          <w:rFonts w:hint="eastAsia"/>
          <w:sz w:val="24"/>
          <w:vertAlign w:val="superscript"/>
        </w:rPr>
        <w:t>2</w:t>
      </w:r>
      <w:r>
        <w:rPr>
          <w:rFonts w:hint="eastAsia"/>
          <w:sz w:val="24"/>
        </w:rPr>
        <w:t>，无窗型</w:t>
      </w:r>
    </w:p>
    <w:p w14:paraId="5DF68AA1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3.7.2 探测器为可伸缩型，探头不用时可退出镜筒，避免污染和辐照损伤探测器</w:t>
      </w:r>
    </w:p>
    <w:p w14:paraId="08D5F521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3.7.3 能量分辨率：≥136eV</w:t>
      </w:r>
    </w:p>
    <w:p w14:paraId="2ED47F4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3.7.4 元素分析范围：4B至92U</w:t>
      </w:r>
    </w:p>
    <w:p w14:paraId="47C66ABE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3.7.5 EDS立体角：≥0.9srad</w:t>
      </w:r>
    </w:p>
    <w:p w14:paraId="31181C0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3.7.6 取出角：≥21°</w:t>
      </w:r>
    </w:p>
    <w:p w14:paraId="19055FC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3.7.7 峰背比：≥4000：1</w:t>
      </w:r>
    </w:p>
    <w:p w14:paraId="0442D837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 高速CMOS相机系统</w:t>
      </w:r>
    </w:p>
    <w:p w14:paraId="05B6219A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3.8.1 安装位置：底部安装</w:t>
      </w:r>
    </w:p>
    <w:p w14:paraId="4D8B8F8E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*</w:t>
      </w:r>
      <w:r>
        <w:rPr>
          <w:rFonts w:hint="eastAsia"/>
          <w:sz w:val="24"/>
        </w:rPr>
        <w:t>3.8.2 CMOS相机最大像素：≥2k*2k像素</w:t>
      </w:r>
    </w:p>
    <w:p w14:paraId="3442712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3.8.3 像素尺寸：≤14μm×14μm</w:t>
      </w:r>
    </w:p>
    <w:p w14:paraId="524F346F">
      <w:pPr>
        <w:spacing w:line="360" w:lineRule="auto"/>
        <w:ind w:firstLine="480"/>
        <w:rPr>
          <w:rFonts w:hint="eastAsia"/>
          <w:sz w:val="24"/>
        </w:rPr>
      </w:pPr>
      <w:r>
        <w:rPr>
          <w:sz w:val="24"/>
        </w:rPr>
        <w:t>#</w:t>
      </w:r>
      <w:r>
        <w:rPr>
          <w:rFonts w:hint="eastAsia"/>
          <w:sz w:val="24"/>
        </w:rPr>
        <w:t>3.8.4 写入速度：≥30fps@2k*2k</w:t>
      </w:r>
    </w:p>
    <w:p w14:paraId="7B214EE0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3.8.5 读取速度不限。</w:t>
      </w:r>
    </w:p>
    <w:p w14:paraId="400C0DE5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3.8.6 软件功能包括但不限于：常用图像（分析几何形状测量，强度测量，图像数学运算，数据格式转换，文字标注）；电子衍射分析；</w:t>
      </w:r>
    </w:p>
    <w:p w14:paraId="28CAD329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3.8.7 具有大的动态范围，高达16bit，可以快速直接拍摄衍射花样和低剂量图像</w:t>
      </w:r>
    </w:p>
    <w:p w14:paraId="222B7BE4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3.8.8 防漂移等高级功能：自动漂移校正</w:t>
      </w:r>
    </w:p>
    <w:p w14:paraId="2245ABC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 xml:space="preserve">3.9 真空系统 </w:t>
      </w:r>
    </w:p>
    <w:p w14:paraId="1A675099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3.9.1 典型换样时间：≤2分钟</w:t>
      </w:r>
    </w:p>
    <w:p w14:paraId="26C2CFA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3.9.2 电子枪真空度≤10</w:t>
      </w:r>
      <w:r>
        <w:rPr>
          <w:rFonts w:hint="eastAsia"/>
          <w:sz w:val="24"/>
          <w:vertAlign w:val="superscript"/>
        </w:rPr>
        <w:t>-8</w:t>
      </w:r>
      <w:r>
        <w:rPr>
          <w:rFonts w:hint="eastAsia"/>
          <w:sz w:val="24"/>
        </w:rPr>
        <w:t>Pa</w:t>
      </w:r>
    </w:p>
    <w:p w14:paraId="62D0D44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3.9.3 样品室真空度≤2x10</w:t>
      </w:r>
      <w:r>
        <w:rPr>
          <w:rFonts w:hint="eastAsia"/>
          <w:sz w:val="24"/>
          <w:vertAlign w:val="superscript"/>
        </w:rPr>
        <w:t>-5</w:t>
      </w:r>
      <w:r>
        <w:rPr>
          <w:rFonts w:hint="eastAsia"/>
          <w:sz w:val="24"/>
        </w:rPr>
        <w:t>Pa</w:t>
      </w:r>
    </w:p>
    <w:p w14:paraId="2D8DBCF0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3.10 配备随机工具及两年备品备件一套</w:t>
      </w:r>
    </w:p>
    <w:p w14:paraId="0423736A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 软件操作</w:t>
      </w:r>
    </w:p>
    <w:p w14:paraId="48F62B74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3.13.1基于Windows计算机控制系统的全数字化操作系统，所有图像都在24寸显示器上显示。具有双模式操作，可对电镜进行远程操作，无需荧光屏，不需要暗室。可保留荧光屏，在荧光屏上直接观察寻找样品。</w:t>
      </w:r>
    </w:p>
    <w:p w14:paraId="7F4354F4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3.13.2 具有演示视频和操作说明。</w:t>
      </w:r>
    </w:p>
    <w:p w14:paraId="6E79C75C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3.13.3 具有专用的用户图形界面和操作键盘。可以通过鼠标、键盘、以及专用的操作键盘完成电镜的所有操作。可以方便实现包括样品移动、光束移动、放大倍数、模式切换及探测器切换、聚焦、合轴操作等。能非常便捷的将数据、软件各模块在两台液晶显示器之间显示。</w:t>
      </w:r>
    </w:p>
    <w:p w14:paraId="7DF8242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3.13.4 操作可以实现自动化和程序化，实现亮度对比度、Z方向位置、聚焦、象散矫正的自动调节，并能在TEM模式和STEM模式间快速切换。</w:t>
      </w:r>
    </w:p>
    <w:p w14:paraId="24A7FE6E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3.13.5 可实现SEI、TEM、STEM-BF、STEM-HAAFD等多种模式的同时采集和记录。</w:t>
      </w:r>
    </w:p>
    <w:p w14:paraId="4E7B2FDD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3.13.6 具有实时显示的电镜状态图，实时显示电子束的状态，光阑的进出情况，并可以通过鼠标直接切换光阑，完成光阑的对中。</w:t>
      </w:r>
    </w:p>
    <w:p w14:paraId="460B8B99">
      <w:pPr>
        <w:spacing w:line="360" w:lineRule="auto"/>
        <w:rPr>
          <w:rFonts w:hint="eastAsia"/>
          <w:sz w:val="24"/>
        </w:rPr>
      </w:pPr>
    </w:p>
    <w:p w14:paraId="05B9396C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1E3FFB6A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1.1 设备安装调试</w:t>
      </w:r>
    </w:p>
    <w:p w14:paraId="7F44828C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验收程序分为开箱验收、安装调试和最终验收。</w:t>
      </w:r>
    </w:p>
    <w:p w14:paraId="5555F3F2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1.1.1 买方负责提供安装场地，由卖方负责改造以达到设备安装要求。</w:t>
      </w:r>
    </w:p>
    <w:p w14:paraId="0C141C80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1.1.2 开箱验收：货物到达买方指定安装地点后，双方代表共同进行开箱验收，并在开箱验收单上签字。如大型设备需吊装等费用，费用由卖方负责。验收内容包括：清点货物是否与合同内容一致，是否完好无缺损，配件、资料是否完备。如有任何问题由卖方负责。</w:t>
      </w:r>
    </w:p>
    <w:p w14:paraId="61BF2F17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1.1.3 安装调试：开箱验收合格后，卖方派遣工程师现场进行安装调试，双方对产品各项功能、指标进行符合性检查并签署安装调试报告。</w:t>
      </w:r>
    </w:p>
    <w:p w14:paraId="52128C53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1.1.4 最终验收：经安装调试完毕，买方负责根据相关管理规定及合同规定的技术指标对设备进行验收。验收通过后，双方签署验收意见并加盖公章，作为最终验收完成的依据。</w:t>
      </w:r>
    </w:p>
    <w:p w14:paraId="43550088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1.2 技术培训</w:t>
      </w:r>
    </w:p>
    <w:p w14:paraId="77763F70">
      <w:pPr>
        <w:pStyle w:val="3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1.2.1 设备安装调试完毕后，卖方负责安排技术工程师到用户现场对设备操作及维护进行培训，并提供设备操作规程等相关培训资料。</w:t>
      </w:r>
    </w:p>
    <w:p w14:paraId="09C4A0E0">
      <w:pPr>
        <w:pStyle w:val="3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1.2.2 培训时间3个工作日，不限人次。</w:t>
      </w:r>
    </w:p>
    <w:p w14:paraId="7AD49F20">
      <w:pPr>
        <w:pStyle w:val="3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1.2.3 培训期间所有相关费用由卖方承担。</w:t>
      </w:r>
    </w:p>
    <w:p w14:paraId="7CBAD45C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1.3 保修期</w:t>
      </w:r>
    </w:p>
    <w:p w14:paraId="4EAFAF0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安装验收合格后，厂家提供一年的免费保修，保修期厂家负担因质量问题造成的所有费用。</w:t>
      </w:r>
    </w:p>
    <w:p w14:paraId="72627D8F">
      <w:pPr>
        <w:spacing w:line="360" w:lineRule="auto"/>
        <w:rPr>
          <w:rFonts w:hint="eastAsia"/>
          <w:sz w:val="24"/>
        </w:rPr>
      </w:pPr>
    </w:p>
    <w:p w14:paraId="0131E85E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0D0ABDF5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1套。</w:t>
      </w:r>
    </w:p>
    <w:p w14:paraId="4A28C149">
      <w:pPr>
        <w:spacing w:line="360" w:lineRule="auto"/>
        <w:rPr>
          <w:rFonts w:hint="eastAsia"/>
          <w:sz w:val="24"/>
        </w:rPr>
      </w:pPr>
    </w:p>
    <w:p w14:paraId="1276CC28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（四） 目的港：</w:t>
      </w:r>
    </w:p>
    <w:p w14:paraId="15BD37A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天津港</w:t>
      </w:r>
    </w:p>
    <w:p w14:paraId="52C5CFA0">
      <w:pPr>
        <w:spacing w:line="360" w:lineRule="auto"/>
        <w:ind w:firstLine="480" w:firstLineChars="200"/>
        <w:rPr>
          <w:rFonts w:hint="eastAsia"/>
          <w:sz w:val="24"/>
        </w:rPr>
      </w:pPr>
    </w:p>
    <w:p w14:paraId="7683EF6B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（五）交货日期：</w:t>
      </w:r>
    </w:p>
    <w:p w14:paraId="3A9376FC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1.1交货期：合同生效后15个月内</w:t>
      </w:r>
    </w:p>
    <w:p w14:paraId="3C6AFF61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1.2交货地点：用户实验室</w:t>
      </w:r>
    </w:p>
    <w:p w14:paraId="0511E498">
      <w:pPr>
        <w:spacing w:line="360" w:lineRule="auto"/>
        <w:rPr>
          <w:sz w:val="24"/>
        </w:rPr>
      </w:pPr>
    </w:p>
    <w:p w14:paraId="7DD4574C">
      <w:pPr>
        <w:widowControl/>
        <w:spacing w:line="360" w:lineRule="atLeast"/>
        <w:rPr>
          <w:rFonts w:hint="eastAsia" w:ascii="宋体" w:hAnsi="宋体"/>
          <w:b/>
          <w:sz w:val="30"/>
          <w:szCs w:val="30"/>
        </w:rPr>
      </w:pPr>
    </w:p>
    <w:p w14:paraId="6C910871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6E66A0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86E95">
    <w:pPr>
      <w:pStyle w:val="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AB6672">
    <w:pPr>
      <w:pStyle w:val="5"/>
      <w:jc w:val="both"/>
    </w:pPr>
    <w:r>
      <w:rPr>
        <w:rFonts w:hint="eastAsia"/>
        <w:i/>
      </w:rPr>
      <w:t>中国科学院2024年仪器设备部门批量集中采购项目招标文件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0A33582D"/>
    <w:rsid w:val="0A33582D"/>
    <w:rsid w:val="250F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  <w:style w:type="paragraph" w:styleId="3">
    <w:name w:val="Date"/>
    <w:basedOn w:val="1"/>
    <w:next w:val="1"/>
    <w:uiPriority w:val="0"/>
    <w:rPr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3518</Words>
  <Characters>4324</Characters>
  <Lines>0</Lines>
  <Paragraphs>0</Paragraphs>
  <TotalTime>0</TotalTime>
  <ScaleCrop>false</ScaleCrop>
  <LinksUpToDate>false</LinksUpToDate>
  <CharactersWithSpaces>4460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2024-07-24T11:41:00Z</dcterms:created>
  <dc:creator>Robin</dc:creator>
  <cp:lastModifiedBy>清</cp:lastModifiedBy>
  <dcterms:modified xsi:type="dcterms:W3CDTF">2024-07-27T01:45:40Z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EE05E770FC164BB4981D11F28495F481_13</vt:lpwstr>
  </property>
</Properties>
</file>