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5EB2B">
      <w:pPr>
        <w:numPr>
          <w:ilvl w:val="0"/>
          <w:numId w:val="0"/>
        </w:numPr>
        <w:spacing w:line="400" w:lineRule="exact"/>
        <w:ind w:right="210" w:rightChars="100"/>
        <w:jc w:val="both"/>
        <w:outlineLvl w:val="1"/>
        <w:rPr>
          <w:rFonts w:hint="eastAsia"/>
          <w:b/>
          <w:bCs/>
          <w:color w:val="auto"/>
          <w:sz w:val="28"/>
          <w:szCs w:val="28"/>
          <w:highlight w:val="none"/>
          <w:lang w:val="en-US" w:eastAsia="zh-CN"/>
        </w:rPr>
      </w:pPr>
      <w:bookmarkStart w:id="0" w:name="_GoBack"/>
      <w:bookmarkEnd w:id="0"/>
      <w:r>
        <w:rPr>
          <w:rFonts w:hint="eastAsia"/>
          <w:b/>
          <w:bCs/>
          <w:color w:val="auto"/>
          <w:sz w:val="28"/>
          <w:szCs w:val="28"/>
          <w:highlight w:val="none"/>
          <w:lang w:val="en-US" w:eastAsia="zh-CN"/>
        </w:rPr>
        <w:t xml:space="preserve">附件： </w:t>
      </w:r>
    </w:p>
    <w:p w14:paraId="51C338CF">
      <w:pPr>
        <w:spacing w:line="500" w:lineRule="exact"/>
        <w:ind w:right="210" w:rightChars="100" w:firstLine="562" w:firstLineChars="200"/>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一、采购清单</w:t>
      </w:r>
    </w:p>
    <w:p w14:paraId="0E58CF38">
      <w:pPr>
        <w:spacing w:line="500" w:lineRule="exact"/>
        <w:rPr>
          <w:rFonts w:hint="eastAsia" w:ascii="仿宋" w:hAnsi="仿宋" w:eastAsia="仿宋" w:cs="仿宋"/>
          <w:vanish/>
          <w:color w:val="auto"/>
          <w:sz w:val="28"/>
          <w:szCs w:val="28"/>
        </w:rPr>
      </w:pPr>
    </w:p>
    <w:tbl>
      <w:tblPr>
        <w:tblStyle w:val="16"/>
        <w:tblW w:w="10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5103"/>
        <w:gridCol w:w="1678"/>
        <w:gridCol w:w="1678"/>
      </w:tblGrid>
      <w:tr w14:paraId="5FC3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596" w:type="dxa"/>
            <w:noWrap w:val="0"/>
            <w:vAlign w:val="center"/>
          </w:tcPr>
          <w:p w14:paraId="4D567D48">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包号</w:t>
            </w:r>
          </w:p>
        </w:tc>
        <w:tc>
          <w:tcPr>
            <w:tcW w:w="5103" w:type="dxa"/>
            <w:noWrap w:val="0"/>
            <w:vAlign w:val="center"/>
          </w:tcPr>
          <w:p w14:paraId="48C61A70">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产品名称/标的名称</w:t>
            </w:r>
          </w:p>
        </w:tc>
        <w:tc>
          <w:tcPr>
            <w:tcW w:w="1678" w:type="dxa"/>
            <w:noWrap w:val="0"/>
            <w:vAlign w:val="center"/>
          </w:tcPr>
          <w:p w14:paraId="6EE38B61">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数量</w:t>
            </w:r>
          </w:p>
        </w:tc>
        <w:tc>
          <w:tcPr>
            <w:tcW w:w="1678" w:type="dxa"/>
            <w:noWrap w:val="0"/>
            <w:vAlign w:val="center"/>
          </w:tcPr>
          <w:p w14:paraId="3DFC225C">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w:t>
            </w:r>
          </w:p>
        </w:tc>
      </w:tr>
      <w:tr w14:paraId="23C3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596" w:type="dxa"/>
            <w:noWrap w:val="0"/>
            <w:vAlign w:val="center"/>
          </w:tcPr>
          <w:p w14:paraId="42A66093">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01</w:t>
            </w:r>
          </w:p>
        </w:tc>
        <w:tc>
          <w:tcPr>
            <w:tcW w:w="5103" w:type="dxa"/>
            <w:noWrap w:val="0"/>
            <w:vAlign w:val="center"/>
          </w:tcPr>
          <w:p w14:paraId="7758FD0F">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流式细胞分选仪</w:t>
            </w:r>
          </w:p>
        </w:tc>
        <w:tc>
          <w:tcPr>
            <w:tcW w:w="1678" w:type="dxa"/>
            <w:noWrap w:val="0"/>
            <w:vAlign w:val="center"/>
          </w:tcPr>
          <w:p w14:paraId="3153DD3D">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678" w:type="dxa"/>
            <w:noWrap w:val="0"/>
            <w:vAlign w:val="center"/>
          </w:tcPr>
          <w:p w14:paraId="58B09C0E">
            <w:pPr>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r>
    </w:tbl>
    <w:p w14:paraId="161E61F6">
      <w:pPr>
        <w:numPr>
          <w:ilvl w:val="0"/>
          <w:numId w:val="0"/>
        </w:numPr>
        <w:spacing w:line="500" w:lineRule="exact"/>
        <w:ind w:right="210" w:rightChars="100" w:firstLine="562" w:firstLineChars="200"/>
        <w:outlineLvl w:val="1"/>
        <w:rPr>
          <w:rFonts w:hint="eastAsia" w:ascii="仿宋" w:hAnsi="仿宋" w:eastAsia="仿宋" w:cs="仿宋"/>
          <w:b/>
          <w:color w:val="auto"/>
          <w:sz w:val="28"/>
          <w:szCs w:val="28"/>
          <w:lang w:val="en-GB"/>
        </w:rPr>
      </w:pPr>
      <w:r>
        <w:rPr>
          <w:rFonts w:hint="eastAsia" w:ascii="仿宋" w:hAnsi="仿宋" w:eastAsia="仿宋" w:cs="仿宋"/>
          <w:b/>
          <w:color w:val="auto"/>
          <w:sz w:val="28"/>
          <w:szCs w:val="28"/>
          <w:lang w:val="en-GB" w:eastAsia="zh-CN" w:bidi="ar-SA"/>
        </w:rPr>
        <w:t>二、</w:t>
      </w:r>
      <w:r>
        <w:rPr>
          <w:rFonts w:hint="eastAsia" w:ascii="仿宋" w:hAnsi="仿宋" w:eastAsia="仿宋" w:cs="仿宋"/>
          <w:b/>
          <w:color w:val="auto"/>
          <w:sz w:val="28"/>
          <w:szCs w:val="28"/>
          <w:lang w:val="en-GB"/>
        </w:rPr>
        <w:t>设备功能需求及技术参数</w:t>
      </w:r>
    </w:p>
    <w:p w14:paraId="6D6DF33B">
      <w:pPr>
        <w:adjustRightInd w:val="0"/>
        <w:snapToGrid w:val="0"/>
        <w:spacing w:line="500" w:lineRule="exact"/>
        <w:ind w:firstLine="562" w:firstLineChars="200"/>
        <w:outlineLvl w:val="3"/>
        <w:rPr>
          <w:rFonts w:hint="eastAsia" w:ascii="仿宋" w:hAnsi="仿宋" w:eastAsia="仿宋" w:cs="仿宋"/>
          <w:b/>
          <w:color w:val="auto"/>
          <w:sz w:val="28"/>
          <w:szCs w:val="28"/>
        </w:rPr>
      </w:pPr>
      <w:r>
        <w:rPr>
          <w:rFonts w:hint="eastAsia" w:ascii="仿宋" w:hAnsi="仿宋" w:eastAsia="仿宋" w:cs="仿宋"/>
          <w:b/>
          <w:color w:val="auto"/>
          <w:sz w:val="28"/>
          <w:szCs w:val="28"/>
        </w:rPr>
        <w:t>▲（一）实质性要求：</w:t>
      </w:r>
    </w:p>
    <w:p w14:paraId="7EEEC07E">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用途、适用范围：流式细胞分选仪通过对细胞表面和胞内的多重标志表达的检测，可以对细胞的功能、表型等进行定量分析，并且可以对感兴趣的细胞亚群进行富集，形成细胞群或者单细胞状态，用于后续细胞功能、抗体开发、基因组学等相关研究。</w:t>
      </w:r>
    </w:p>
    <w:p w14:paraId="212142B1">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2、配置要求：流式细胞分选仪主机 1套、数据分析软件1套、清洗液1桶、鞘液1桶、质控微球1盒、关机液1桶。</w:t>
      </w:r>
    </w:p>
    <w:p w14:paraId="5DD458E7">
      <w:pPr>
        <w:adjustRightInd w:val="0"/>
        <w:snapToGrid w:val="0"/>
        <w:spacing w:line="500" w:lineRule="exact"/>
        <w:ind w:firstLine="562" w:firstLineChars="200"/>
        <w:outlineLvl w:val="3"/>
        <w:rPr>
          <w:rFonts w:hint="eastAsia" w:ascii="仿宋" w:hAnsi="仿宋" w:eastAsia="仿宋" w:cs="仿宋"/>
          <w:b/>
          <w:color w:val="auto"/>
          <w:sz w:val="28"/>
          <w:szCs w:val="28"/>
        </w:rPr>
      </w:pPr>
      <w:r>
        <w:rPr>
          <w:rFonts w:hint="eastAsia" w:ascii="仿宋" w:hAnsi="仿宋" w:eastAsia="仿宋" w:cs="仿宋"/>
          <w:b/>
          <w:color w:val="auto"/>
          <w:sz w:val="28"/>
          <w:szCs w:val="28"/>
        </w:rPr>
        <w:t>（二）参数要求：</w:t>
      </w:r>
    </w:p>
    <w:p w14:paraId="57F70E3C">
      <w:pPr>
        <w:adjustRightInd w:val="0"/>
        <w:snapToGrid w:val="0"/>
        <w:spacing w:line="500" w:lineRule="exact"/>
        <w:ind w:firstLine="562" w:firstLineChars="200"/>
        <w:rPr>
          <w:rFonts w:hint="eastAsia" w:ascii="仿宋" w:hAnsi="仿宋" w:eastAsia="仿宋" w:cs="仿宋"/>
          <w:bCs/>
          <w:color w:val="auto"/>
          <w:sz w:val="28"/>
          <w:szCs w:val="28"/>
        </w:rPr>
      </w:pPr>
      <w:r>
        <w:rPr>
          <w:rFonts w:hint="eastAsia" w:ascii="仿宋" w:hAnsi="仿宋" w:eastAsia="仿宋" w:cs="仿宋"/>
          <w:b/>
          <w:color w:val="auto"/>
          <w:sz w:val="28"/>
          <w:szCs w:val="28"/>
        </w:rPr>
        <w:t xml:space="preserve">1、光学系统 </w:t>
      </w:r>
      <w:r>
        <w:rPr>
          <w:rFonts w:hint="eastAsia" w:ascii="仿宋" w:hAnsi="仿宋" w:eastAsia="仿宋" w:cs="仿宋"/>
          <w:bCs/>
          <w:color w:val="auto"/>
          <w:sz w:val="28"/>
          <w:szCs w:val="28"/>
        </w:rPr>
        <w:t xml:space="preserve">                                     </w:t>
      </w:r>
    </w:p>
    <w:p w14:paraId="1FB1F012">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1.1 * 激光器配置488 nm≥50mW、640±2nm≥100mW、405 nm≥90mW三根固态激光器，具备4个激光斑，可升级第4根激光器且不共线。</w:t>
      </w:r>
    </w:p>
    <w:p w14:paraId="13C488F5">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1.2 * 至少配置10个FAPD或PMT检测器，可同时检测至少10色荧光，可升级至少15色荧光。</w:t>
      </w:r>
    </w:p>
    <w:p w14:paraId="39E6AAD0">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1.3 荧光检测灵敏度：FITC：≤100MESF, PE：≤100MESF。</w:t>
      </w:r>
    </w:p>
    <w:p w14:paraId="1C922077">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1.4 荧光收集光路：全反射光路设计，开机无需调节光路。</w:t>
      </w:r>
    </w:p>
    <w:p w14:paraId="53B0FE7B">
      <w:pPr>
        <w:adjustRightInd w:val="0"/>
        <w:snapToGrid w:val="0"/>
        <w:spacing w:line="50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2、液流系统</w:t>
      </w:r>
    </w:p>
    <w:p w14:paraId="453332B9">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2.1 * 采用石英杯或空气式激发检测模式。</w:t>
      </w:r>
    </w:p>
    <w:p w14:paraId="61412AEA">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2.2 开机系统启动、QC和分选校准后，可全自动进行液滴延迟时间自动确认，全程自动维持监测和液流稳定。</w:t>
      </w:r>
    </w:p>
    <w:p w14:paraId="09E39F8A">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2.3 配置气泡检测器，有效检测及去除样本液流中的气泡。具备独立的液流系统，能自动完成开关机仪器的清洗工作，可对液流自动监测并有堵塞报警功能。</w:t>
      </w:r>
    </w:p>
    <w:p w14:paraId="2440BDE2">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2.4 配置与100µm喷嘴相匹配的≤20Psi鞘液系统。</w:t>
      </w:r>
    </w:p>
    <w:p w14:paraId="21EBB49C">
      <w:pPr>
        <w:adjustRightInd w:val="0"/>
        <w:snapToGrid w:val="0"/>
        <w:spacing w:line="50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3. 分选功能</w:t>
      </w:r>
    </w:p>
    <w:p w14:paraId="744AF2C1">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3.1 * ①具备6路或以上分选功能；②同时具备富集、纯度、单细胞3种分选模式还需具备混合分选模式，多路分选时，每路分选液流可单独设置不同分选模式，以适应不同目标含量细胞同时分选。（①和②至少满足其中其一）</w:t>
      </w:r>
    </w:p>
    <w:p w14:paraId="18FB53E3">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3.2 有效分选速度≥30,000 events/s，分选纯度：≥98%，分选活率≥90%。</w:t>
      </w:r>
    </w:p>
    <w:p w14:paraId="7F5E29CA">
      <w:pPr>
        <w:adjustRightInd w:val="0"/>
        <w:snapToGrid w:val="0"/>
        <w:spacing w:line="50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4.操作系统</w:t>
      </w:r>
    </w:p>
    <w:p w14:paraId="6FD2DD3E">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4.1软件支持全自动矩阵补偿和手动全矩阵补偿。</w:t>
      </w:r>
    </w:p>
    <w:p w14:paraId="2C96E43B">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4.2软件系统支持在线或脱机补偿。</w:t>
      </w:r>
    </w:p>
    <w:p w14:paraId="2B8ABF01">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4.3 24Bit数据，可显示7个数量级数据。</w:t>
      </w:r>
    </w:p>
    <w:p w14:paraId="3000D385">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4.4 具备分析和分选功能，且分析和分选项目可独立进行。</w:t>
      </w:r>
    </w:p>
    <w:p w14:paraId="08878C72">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4.5 满足侧群（SP）细胞的检测，且提供实验结果图。</w:t>
      </w:r>
    </w:p>
    <w:p w14:paraId="78F3505B">
      <w:pPr>
        <w:adjustRightInd w:val="0"/>
        <w:snapToGrid w:val="0"/>
        <w:spacing w:line="500" w:lineRule="exact"/>
        <w:ind w:firstLine="560" w:firstLineChars="200"/>
        <w:rPr>
          <w:rFonts w:hint="eastAsia" w:ascii="仿宋" w:hAnsi="仿宋" w:eastAsia="仿宋" w:cs="仿宋"/>
          <w:bCs/>
          <w:color w:val="auto"/>
          <w:sz w:val="28"/>
          <w:szCs w:val="28"/>
          <w:lang w:val="en-GB"/>
        </w:rPr>
      </w:pPr>
      <w:r>
        <w:rPr>
          <w:rFonts w:hint="eastAsia" w:ascii="仿宋" w:hAnsi="仿宋" w:eastAsia="仿宋" w:cs="仿宋"/>
          <w:bCs/>
          <w:color w:val="auto"/>
          <w:sz w:val="28"/>
          <w:szCs w:val="28"/>
        </w:rPr>
        <w:t>4.6 日常和定期清洗可进行流程设置和提醒，包括系统启动、系统停机、日常清洗、流动池清洗、无菌清洗、长期停机、反冲、鞘层过滤器去泡、流动池去泡等。</w:t>
      </w:r>
    </w:p>
    <w:p w14:paraId="1645CA3B">
      <w:pPr>
        <w:adjustRightInd w:val="0"/>
        <w:snapToGrid w:val="0"/>
        <w:spacing w:line="500" w:lineRule="exact"/>
        <w:ind w:firstLine="562" w:firstLineChars="200"/>
        <w:outlineLvl w:val="1"/>
        <w:rPr>
          <w:rFonts w:hint="eastAsia" w:ascii="仿宋" w:hAnsi="仿宋" w:eastAsia="仿宋" w:cs="仿宋"/>
          <w:b/>
          <w:bCs/>
          <w:color w:val="auto"/>
          <w:sz w:val="28"/>
          <w:szCs w:val="28"/>
        </w:rPr>
      </w:pPr>
      <w:r>
        <w:rPr>
          <w:rFonts w:hint="eastAsia" w:ascii="仿宋" w:hAnsi="仿宋" w:eastAsia="仿宋" w:cs="仿宋"/>
          <w:b/>
          <w:color w:val="auto"/>
          <w:sz w:val="28"/>
          <w:szCs w:val="28"/>
        </w:rPr>
        <w:t>▲三、商务要求（实质性要求）</w:t>
      </w:r>
    </w:p>
    <w:p w14:paraId="242BE00F">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1．交付时间及地点</w:t>
      </w:r>
    </w:p>
    <w:p w14:paraId="48150B6A">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1.1 </w:t>
      </w:r>
      <w:r>
        <w:rPr>
          <w:rFonts w:hint="eastAsia" w:ascii="仿宋" w:hAnsi="仿宋" w:eastAsia="仿宋" w:cs="仿宋"/>
          <w:bCs/>
          <w:color w:val="auto"/>
          <w:sz w:val="28"/>
          <w:szCs w:val="28"/>
        </w:rPr>
        <w:t>交付时间</w:t>
      </w:r>
      <w:r>
        <w:rPr>
          <w:rFonts w:hint="eastAsia" w:ascii="仿宋" w:hAnsi="仿宋" w:eastAsia="仿宋" w:cs="仿宋"/>
          <w:color w:val="auto"/>
          <w:sz w:val="28"/>
          <w:szCs w:val="28"/>
        </w:rPr>
        <w:t>：合同签订后90天</w:t>
      </w:r>
      <w:r>
        <w:rPr>
          <w:rFonts w:ascii="仿宋" w:hAnsi="仿宋" w:eastAsia="仿宋" w:cs="仿宋"/>
          <w:color w:val="auto"/>
          <w:sz w:val="28"/>
          <w:szCs w:val="28"/>
        </w:rPr>
        <w:t>内，</w:t>
      </w:r>
      <w:r>
        <w:rPr>
          <w:rFonts w:hint="eastAsia" w:ascii="仿宋" w:hAnsi="仿宋" w:eastAsia="仿宋" w:cs="仿宋"/>
          <w:color w:val="auto"/>
          <w:sz w:val="28"/>
          <w:szCs w:val="28"/>
        </w:rPr>
        <w:t>未按照合同约定时间及时完成产品交货及安装的，每延迟一天，中标供应商应向医院支付本项目合同货款总价的0.5‰的违约金，延期30日，医院有权单方面解除合同，并要求中标供应商赔偿全部经济损失。</w:t>
      </w:r>
    </w:p>
    <w:p w14:paraId="76012293">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 交付地点：医院指定的地点</w:t>
      </w:r>
    </w:p>
    <w:p w14:paraId="30BDA070">
      <w:pPr>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2．付款方法和条件：</w:t>
      </w:r>
    </w:p>
    <w:p w14:paraId="023A09D1">
      <w:pPr>
        <w:adjustRightInd w:val="0"/>
        <w:snapToGrid w:val="0"/>
        <w:spacing w:line="5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付款方式：</w:t>
      </w:r>
    </w:p>
    <w:p w14:paraId="78F5F320">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中标供应商应按照《中华人民共和国发票管理办法》的规定开具真实、合法、有效的发票，发票内容应开具齐全、正确，商品品名、规格型号与合同保持一致。验收合格后应及时开票，并注明开票人的全名。公司名称和银行账户信息发生变更，必须以书面方式及时通知医院方。</w:t>
      </w:r>
    </w:p>
    <w:p w14:paraId="1D66E09A">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医院方在货到验收合格，同时收到中标供应商开具符合要求的发票后：</w:t>
      </w:r>
    </w:p>
    <w:p w14:paraId="02A51DA8">
      <w:pPr>
        <w:adjustRightInd w:val="0"/>
        <w:snapToGrid w:val="0"/>
        <w:spacing w:line="50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①中标供应商为中小微企业：30日内支付中标供应商验收合格设备总价的90%，在设备正常使用半年后并在中标供应商提出申请后向中标供应商付清尾款</w:t>
      </w:r>
      <w:r>
        <w:rPr>
          <w:rFonts w:hint="eastAsia" w:ascii="仿宋" w:hAnsi="仿宋" w:eastAsia="仿宋" w:cs="仿宋"/>
          <w:color w:val="auto"/>
          <w:sz w:val="28"/>
          <w:szCs w:val="28"/>
          <w:lang w:eastAsia="zh-CN"/>
        </w:rPr>
        <w:t>。</w:t>
      </w:r>
    </w:p>
    <w:p w14:paraId="3F7FF2BD">
      <w:pPr>
        <w:adjustRightInd w:val="0"/>
        <w:snapToGrid w:val="0"/>
        <w:spacing w:line="50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②中标供应商为非中小微企业：60日内支付中标供应商验收合格设备总价的90%，在设备正常使用半年后并在中标供应商提出申请后向中标供应商付清尾款。</w:t>
      </w:r>
    </w:p>
    <w:p w14:paraId="5E3D0AEA">
      <w:pPr>
        <w:adjustRightInd w:val="0"/>
        <w:snapToGrid w:val="0"/>
        <w:spacing w:line="5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不满足上述付款条件的，医院有权延期付款且不承担任何责任，中标供应商应继续履行合同义务，合同另有约定的除外。</w:t>
      </w:r>
    </w:p>
    <w:p w14:paraId="60128B35">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3.验收方案</w:t>
      </w:r>
    </w:p>
    <w:p w14:paraId="64525AEA">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3.1、中标供应商将设备运送至医院方约定地点，运输费用由中标供应商承担。医院方验收合格前中标供应商负责本项目相关产品的安全；凡因包装、运输及储存不当造成货品损失的，由中标供应商全部负责。中标供应商可根据具体情况自费办理运输保险。同时中标供应商必须清理设备外包装等垃圾，由此产生的费用由中标供应商承担。</w:t>
      </w:r>
    </w:p>
    <w:p w14:paraId="3BDA4DD4">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中标供应商所交的设备不符合合同约定的，医院有权要求中标供应商达到合同要求，并且中标供应商需向医院支付合同总价30%的违约金，且医院有权解除合同并要求中标供应商在合同解除后5个工作日内退回医院全部货款。</w:t>
      </w:r>
    </w:p>
    <w:p w14:paraId="087BF456">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3.3、开箱验收时必须有医院使用科室、医学装备保障部和中标供应商代表在场，按合同点货。</w:t>
      </w:r>
    </w:p>
    <w:p w14:paraId="6DCE91EC">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3.4、中标供应商需提供全新的设备（含零部件、配件等），表面无划痕、无碰撞痕迹、产权清晰。验收时如发现设备有短装、次品、损坏或其它不符合标准，中标供应商应按医院要求的时间内补充和更换损坏部件，由此产生的时间延误与有关费用由中标供应商承担，交付、验收期限不顺延。</w:t>
      </w:r>
    </w:p>
    <w:p w14:paraId="60654854">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3.5、中标供应商负责仪器的安装调试，正常运行后并负责出具安装报告，报告上应有医院使用科室、医学装备保障部、中标供应商代表的签字。</w:t>
      </w:r>
    </w:p>
    <w:p w14:paraId="5625074E">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3.6、中标供应商负责对医院技术人员进行技术培训（可多次培训），并出具培训报告，由医院被培训的人员签字和中标供应商代表签字；中标供应商将安装验收报告、培训报告、合格证或报关单（仅限于进口设备）交医院医学装备保障部后视为验收合格。（培训费用包含在报价内）</w:t>
      </w:r>
    </w:p>
    <w:p w14:paraId="341F67D9">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3.7、中标供应商应配合因医院科室变动、医院搬迁等造成的设备使用地址搬动。</w:t>
      </w:r>
    </w:p>
    <w:p w14:paraId="0772D295">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3.8、未尽事项以医院装备部《验收依据审核制度》、《设备安装、验收制度》解释为准。</w:t>
      </w:r>
    </w:p>
    <w:p w14:paraId="04A27A9A">
      <w:pPr>
        <w:adjustRightInd w:val="0"/>
        <w:snapToGrid w:val="0"/>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 保密：双方均同意对合同执行期间对方提供的资料信息以及履行合同过程中获知的技术信息、财务信息、患者信息及其他未公开信息予以保密，并在合同终止后长期保密，不得擅自使用、公开或泄露给第三方。若因一方擅自使用、公开或泄露另一方的保密信息而造成的损失，由违约方承担全部赔偿责任（包括但不限于因主张权利而产生的交通费、住宿费、律师费、诉讼费、调查费等）。</w:t>
      </w:r>
    </w:p>
    <w:p w14:paraId="3D4D49B4">
      <w:pPr>
        <w:adjustRightInd w:val="0"/>
        <w:snapToGrid w:val="0"/>
        <w:spacing w:line="5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5.从设备安装调试验收合格之日起计算，整机质保期：1年（不在整机质保范围内的明细，需要在合同中明确；如未明确视为均在质保范围内）。</w:t>
      </w:r>
    </w:p>
    <w:p w14:paraId="7E9D31D5">
      <w:pPr>
        <w:adjustRightInd w:val="0"/>
        <w:snapToGrid w:val="0"/>
        <w:spacing w:line="500" w:lineRule="exact"/>
        <w:ind w:firstLine="560" w:firstLineChars="200"/>
        <w:outlineLvl w:val="1"/>
        <w:rPr>
          <w:rFonts w:ascii="仿宋" w:hAnsi="仿宋" w:eastAsia="仿宋" w:cs="仿宋"/>
          <w:color w:val="auto"/>
          <w:sz w:val="28"/>
          <w:szCs w:val="28"/>
          <w:lang w:val="zh-CN"/>
        </w:rPr>
      </w:pPr>
      <w:r>
        <w:rPr>
          <w:rFonts w:ascii="仿宋" w:hAnsi="仿宋" w:eastAsia="仿宋" w:cs="仿宋"/>
          <w:color w:val="auto"/>
          <w:sz w:val="28"/>
          <w:szCs w:val="28"/>
          <w:lang w:val="zh-CN"/>
        </w:rPr>
        <w:t>6</w:t>
      </w:r>
      <w:r>
        <w:rPr>
          <w:rFonts w:hint="eastAsia" w:ascii="仿宋" w:hAnsi="仿宋" w:eastAsia="仿宋" w:cs="仿宋"/>
          <w:color w:val="auto"/>
          <w:sz w:val="28"/>
          <w:szCs w:val="28"/>
          <w:lang w:val="zh-CN"/>
        </w:rPr>
        <w:t>、质保需提供原厂质保，提供生产厂家授权函或国内总代承诺函（仅限于进口设备）。</w:t>
      </w:r>
    </w:p>
    <w:p w14:paraId="0CDCD3B5">
      <w:pPr>
        <w:adjustRightInd w:val="0"/>
        <w:snapToGrid w:val="0"/>
        <w:spacing w:line="500" w:lineRule="exact"/>
        <w:ind w:firstLine="560" w:firstLineChars="200"/>
        <w:rPr>
          <w:rFonts w:hint="eastAsia" w:ascii="仿宋" w:hAnsi="仿宋" w:eastAsia="仿宋" w:cs="仿宋"/>
          <w:color w:val="auto"/>
          <w:sz w:val="28"/>
          <w:szCs w:val="28"/>
        </w:rPr>
      </w:pPr>
      <w:r>
        <w:rPr>
          <w:rFonts w:ascii="仿宋" w:hAnsi="仿宋" w:eastAsia="仿宋" w:cs="仿宋"/>
          <w:color w:val="auto"/>
          <w:sz w:val="28"/>
          <w:szCs w:val="28"/>
        </w:rPr>
        <w:t>7</w:t>
      </w:r>
      <w:r>
        <w:rPr>
          <w:rFonts w:hint="eastAsia" w:ascii="仿宋" w:hAnsi="仿宋" w:eastAsia="仿宋" w:cs="仿宋"/>
          <w:color w:val="auto"/>
          <w:sz w:val="28"/>
          <w:szCs w:val="28"/>
        </w:rPr>
        <w:t>、项目中涉及的软件，需提供终身软件维护服务，包括升级，开放接口等，其费用包含在报价中。</w:t>
      </w:r>
    </w:p>
    <w:p w14:paraId="552D3ACE">
      <w:pPr>
        <w:adjustRightInd w:val="0"/>
        <w:snapToGrid w:val="0"/>
        <w:spacing w:line="500" w:lineRule="exact"/>
        <w:ind w:firstLine="562" w:firstLineChars="200"/>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四、项目售后服务：</w:t>
      </w:r>
    </w:p>
    <w:p w14:paraId="21AAB23C">
      <w:pPr>
        <w:tabs>
          <w:tab w:val="left" w:pos="4111"/>
        </w:tabs>
        <w:adjustRightInd w:val="0"/>
        <w:snapToGrid w:val="0"/>
        <w:spacing w:line="500" w:lineRule="exact"/>
        <w:ind w:firstLine="560" w:firstLineChars="200"/>
        <w:outlineLvl w:val="9"/>
        <w:rPr>
          <w:rFonts w:ascii="仿宋" w:hAnsi="仿宋" w:eastAsia="仿宋" w:cs="仿宋"/>
          <w:color w:val="auto"/>
          <w:sz w:val="28"/>
          <w:szCs w:val="28"/>
          <w:lang w:val="en-US"/>
        </w:rPr>
      </w:pPr>
      <w:r>
        <w:rPr>
          <w:rStyle w:val="18"/>
          <w:rFonts w:ascii="仿宋" w:hAnsi="仿宋" w:eastAsia="仿宋" w:cs="仿宋"/>
          <w:color w:val="auto"/>
          <w:sz w:val="28"/>
          <w:szCs w:val="28"/>
          <w:lang w:val="zh-CN"/>
        </w:rPr>
        <w:t>1</w:t>
      </w:r>
      <w:r>
        <w:rPr>
          <w:rFonts w:hint="eastAsia" w:ascii="仿宋" w:hAnsi="仿宋" w:eastAsia="仿宋" w:cs="仿宋"/>
          <w:color w:val="auto"/>
          <w:sz w:val="28"/>
          <w:szCs w:val="28"/>
          <w:lang w:val="zh-CN"/>
        </w:rPr>
        <w:t>、质保</w:t>
      </w:r>
      <w:r>
        <w:rPr>
          <w:rFonts w:hint="eastAsia" w:ascii="仿宋" w:hAnsi="仿宋" w:eastAsia="仿宋" w:cs="仿宋"/>
          <w:color w:val="auto"/>
          <w:sz w:val="28"/>
          <w:szCs w:val="28"/>
        </w:rPr>
        <w:t>期内，中标供应商对设备质量出现问题的设备承诺三包（包修、包换、包退），费用由中标供应商承担。如设备中标供应商2次维修仍不能达到合同约定的质量标准，无法满足正常使用的情况，医院有权追究中标供应商违约责任，同时医院有权单方面解除合同进行退货，中标供应商应当退还医院已付的全部款项。</w:t>
      </w:r>
    </w:p>
    <w:p w14:paraId="586096BE">
      <w:pPr>
        <w:adjustRightInd w:val="0"/>
        <w:snapToGrid w:val="0"/>
        <w:spacing w:line="500" w:lineRule="exact"/>
        <w:ind w:firstLine="560" w:firstLineChars="200"/>
        <w:outlineLvl w:val="1"/>
        <w:rPr>
          <w:rFonts w:ascii="仿宋" w:hAnsi="仿宋" w:eastAsia="仿宋" w:cs="仿宋"/>
          <w:color w:val="auto"/>
          <w:sz w:val="28"/>
          <w:szCs w:val="28"/>
          <w:lang w:val="zh-CN"/>
        </w:rPr>
      </w:pPr>
      <w:r>
        <w:rPr>
          <w:rFonts w:ascii="仿宋" w:hAnsi="仿宋" w:eastAsia="仿宋" w:cs="仿宋"/>
          <w:color w:val="auto"/>
          <w:sz w:val="28"/>
          <w:szCs w:val="28"/>
        </w:rPr>
        <w:t>2</w:t>
      </w:r>
      <w:r>
        <w:rPr>
          <w:rFonts w:hint="eastAsia" w:ascii="仿宋" w:hAnsi="仿宋" w:eastAsia="仿宋" w:cs="仿宋"/>
          <w:color w:val="auto"/>
          <w:sz w:val="28"/>
          <w:szCs w:val="28"/>
          <w:lang w:val="zh-CN"/>
        </w:rPr>
        <w:t>、在质保期内，若中标供应商接到医院方维保、报修通知后4小时内未响应，每延迟1小时，中标供应商将支付医院方合同总价的0.1</w:t>
      </w:r>
      <w:r>
        <w:rPr>
          <w:rFonts w:hint="eastAsia" w:ascii="仿宋" w:hAnsi="仿宋" w:eastAsia="仿宋" w:cs="仿宋"/>
          <w:color w:val="auto"/>
          <w:sz w:val="28"/>
          <w:szCs w:val="28"/>
        </w:rPr>
        <w:t>‰</w:t>
      </w:r>
      <w:r>
        <w:rPr>
          <w:rFonts w:hint="eastAsia" w:ascii="仿宋" w:hAnsi="仿宋" w:eastAsia="仿宋" w:cs="仿宋"/>
          <w:color w:val="auto"/>
          <w:sz w:val="28"/>
          <w:szCs w:val="28"/>
          <w:lang w:val="zh-CN"/>
        </w:rPr>
        <w:t>作为违约金；延迟达10小时的，医院有权委托第三方进行维保，由此产生的全部费用由中标供应商承担；如中标供应商2次出现未响应的情况，医院有权追究中标供应商违约责任，同时医院有权单方面解除合同进行退货，中标供应商应当退还医院已付的全部款项。</w:t>
      </w:r>
    </w:p>
    <w:p w14:paraId="71E3DF77">
      <w:pPr>
        <w:pStyle w:val="20"/>
        <w:adjustRightInd w:val="0"/>
        <w:snapToGrid w:val="0"/>
        <w:spacing w:before="0" w:after="0" w:line="500" w:lineRule="exact"/>
        <w:ind w:firstLine="562" w:firstLineChars="200"/>
        <w:outlineLvl w:val="1"/>
        <w:rPr>
          <w:rFonts w:hint="eastAsia" w:ascii="仿宋" w:hAnsi="仿宋" w:eastAsia="仿宋" w:cs="仿宋"/>
          <w:color w:val="auto"/>
          <w:sz w:val="28"/>
        </w:rPr>
      </w:pPr>
      <w:r>
        <w:rPr>
          <w:rFonts w:hint="eastAsia" w:ascii="仿宋" w:hAnsi="仿宋" w:eastAsia="仿宋" w:cs="仿宋"/>
          <w:color w:val="auto"/>
          <w:sz w:val="28"/>
        </w:rPr>
        <w:t>五、项目其他要求</w:t>
      </w:r>
    </w:p>
    <w:p w14:paraId="70D034B5">
      <w:pPr>
        <w:autoSpaceDE w:val="0"/>
        <w:adjustRightInd w:val="0"/>
        <w:snapToGrid w:val="0"/>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color w:val="auto"/>
          <w:sz w:val="28"/>
          <w:szCs w:val="28"/>
        </w:rPr>
        <w:t>供应商需提供</w:t>
      </w:r>
      <w:r>
        <w:rPr>
          <w:rFonts w:hint="eastAsia" w:ascii="仿宋" w:hAnsi="仿宋" w:eastAsia="仿宋" w:cs="仿宋"/>
          <w:color w:val="auto"/>
          <w:sz w:val="28"/>
          <w:szCs w:val="28"/>
          <w:lang w:val="zh-CN"/>
        </w:rPr>
        <w:t>制造厂商综合情况、履约能力、售后服务</w:t>
      </w:r>
      <w:r>
        <w:rPr>
          <w:rFonts w:hint="eastAsia" w:ascii="仿宋" w:hAnsi="仿宋" w:eastAsia="仿宋" w:cs="仿宋"/>
          <w:color w:val="auto"/>
          <w:sz w:val="28"/>
          <w:szCs w:val="28"/>
        </w:rPr>
        <w:t>等证明材料，具体要求详见评分标准。</w:t>
      </w:r>
    </w:p>
    <w:p w14:paraId="359E9B30">
      <w:pPr>
        <w:pStyle w:val="21"/>
        <w:rPr>
          <w:color w:val="auto"/>
        </w:rPr>
      </w:pPr>
    </w:p>
    <w:p w14:paraId="30365144">
      <w:pPr>
        <w:rPr>
          <w:rFonts w:hint="eastAsia" w:ascii="仿宋" w:hAnsi="仿宋" w:eastAsia="仿宋" w:cs="仿宋"/>
          <w:color w:val="auto"/>
          <w:kern w:val="2"/>
          <w:sz w:val="28"/>
        </w:rPr>
      </w:pPr>
      <w:r>
        <w:rPr>
          <w:rFonts w:hint="eastAsia" w:ascii="仿宋" w:hAnsi="仿宋" w:eastAsia="仿宋" w:cs="仿宋"/>
          <w:b/>
          <w:bCs/>
          <w:color w:val="auto"/>
          <w:sz w:val="28"/>
          <w:szCs w:val="28"/>
        </w:rPr>
        <w:t>注：1、</w:t>
      </w:r>
      <w:r>
        <w:rPr>
          <w:rFonts w:hint="eastAsia" w:ascii="仿宋" w:hAnsi="仿宋" w:eastAsia="仿宋" w:cs="仿宋"/>
          <w:b/>
          <w:color w:val="auto"/>
          <w:kern w:val="2"/>
          <w:sz w:val="28"/>
          <w:szCs w:val="28"/>
        </w:rPr>
        <w:t>若技术要求中指定或变相指定品牌、型号、产地等均不作为招标要求。</w:t>
      </w:r>
      <w:r>
        <w:rPr>
          <w:rFonts w:hint="eastAsia" w:ascii="仿宋" w:hAnsi="仿宋" w:eastAsia="仿宋" w:cs="仿宋"/>
          <w:b/>
          <w:color w:val="auto"/>
          <w:kern w:val="2"/>
          <w:sz w:val="28"/>
        </w:rPr>
        <w:t>2</w:t>
      </w:r>
      <w:r>
        <w:rPr>
          <w:rFonts w:hint="eastAsia" w:ascii="仿宋" w:hAnsi="仿宋" w:eastAsia="仿宋" w:cs="仿宋"/>
          <w:b/>
          <w:color w:val="auto"/>
          <w:kern w:val="2"/>
          <w:sz w:val="28"/>
          <w:szCs w:val="28"/>
        </w:rPr>
        <w:t>、“▲”为实质性要求，不满足做无效投标处理，“</w:t>
      </w:r>
      <w:r>
        <w:rPr>
          <w:rFonts w:hint="eastAsia" w:ascii="仿宋" w:hAnsi="仿宋" w:eastAsia="仿宋" w:cs="仿宋"/>
          <w:b/>
          <w:bCs/>
          <w:color w:val="auto"/>
          <w:sz w:val="24"/>
          <w:szCs w:val="24"/>
        </w:rPr>
        <w:t>*</w:t>
      </w:r>
      <w:r>
        <w:rPr>
          <w:rFonts w:hint="eastAsia" w:ascii="仿宋" w:hAnsi="仿宋" w:eastAsia="仿宋" w:cs="仿宋"/>
          <w:b/>
          <w:color w:val="auto"/>
          <w:kern w:val="2"/>
          <w:sz w:val="28"/>
          <w:szCs w:val="28"/>
        </w:rPr>
        <w:t>”为重要参数，不满足做重点扣分处理。</w:t>
      </w:r>
    </w:p>
    <w:p w14:paraId="2A9458BC">
      <w:pPr>
        <w:pStyle w:val="21"/>
        <w:spacing w:line="500" w:lineRule="exact"/>
        <w:rPr>
          <w:rFonts w:hint="default"/>
          <w:color w:val="auto"/>
          <w:highlight w:val="none"/>
          <w:lang w:val="en-US" w:eastAsia="zh-CN"/>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899DF">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95D87">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wYmJlNzJmNTAxYjUxM2FhOGU4MzJmOWJhY2Y2NTAifQ=="/>
  </w:docVars>
  <w:rsids>
    <w:rsidRoot w:val="00172A27"/>
    <w:rsid w:val="006D03EC"/>
    <w:rsid w:val="008B09D2"/>
    <w:rsid w:val="00D348C5"/>
    <w:rsid w:val="01024F49"/>
    <w:rsid w:val="01651535"/>
    <w:rsid w:val="02843906"/>
    <w:rsid w:val="02C24BF1"/>
    <w:rsid w:val="02FA63BF"/>
    <w:rsid w:val="03353333"/>
    <w:rsid w:val="0353454B"/>
    <w:rsid w:val="03D34A61"/>
    <w:rsid w:val="043F299D"/>
    <w:rsid w:val="04A406E7"/>
    <w:rsid w:val="04AB0032"/>
    <w:rsid w:val="058D5311"/>
    <w:rsid w:val="05A01219"/>
    <w:rsid w:val="05FF44C6"/>
    <w:rsid w:val="06857284"/>
    <w:rsid w:val="07043A2A"/>
    <w:rsid w:val="083E18C6"/>
    <w:rsid w:val="08514A4D"/>
    <w:rsid w:val="08E8156F"/>
    <w:rsid w:val="091C4820"/>
    <w:rsid w:val="0A391C3C"/>
    <w:rsid w:val="0C5B40EC"/>
    <w:rsid w:val="0C92295F"/>
    <w:rsid w:val="0CBC3A2C"/>
    <w:rsid w:val="0CEA100E"/>
    <w:rsid w:val="0D2D0C59"/>
    <w:rsid w:val="0D894C89"/>
    <w:rsid w:val="0E116CC5"/>
    <w:rsid w:val="0EB80D7A"/>
    <w:rsid w:val="0EFD148A"/>
    <w:rsid w:val="0FC24485"/>
    <w:rsid w:val="0FDA6399"/>
    <w:rsid w:val="107F4935"/>
    <w:rsid w:val="12060336"/>
    <w:rsid w:val="12107727"/>
    <w:rsid w:val="1252532D"/>
    <w:rsid w:val="125C471A"/>
    <w:rsid w:val="12687563"/>
    <w:rsid w:val="12702EE7"/>
    <w:rsid w:val="136B4FBA"/>
    <w:rsid w:val="13BC56DC"/>
    <w:rsid w:val="13EA48D0"/>
    <w:rsid w:val="14BD1DC5"/>
    <w:rsid w:val="176B31B4"/>
    <w:rsid w:val="17707E2F"/>
    <w:rsid w:val="183C645E"/>
    <w:rsid w:val="185319F9"/>
    <w:rsid w:val="186428AD"/>
    <w:rsid w:val="197B2E94"/>
    <w:rsid w:val="19A178A8"/>
    <w:rsid w:val="19E35721"/>
    <w:rsid w:val="1A0A1C0B"/>
    <w:rsid w:val="1AA71DF0"/>
    <w:rsid w:val="1BB345EE"/>
    <w:rsid w:val="1BCD477C"/>
    <w:rsid w:val="1BD5585F"/>
    <w:rsid w:val="1BE03643"/>
    <w:rsid w:val="1C0F15A4"/>
    <w:rsid w:val="1C0F2145"/>
    <w:rsid w:val="1C4A499B"/>
    <w:rsid w:val="1C5367B6"/>
    <w:rsid w:val="1D073BBF"/>
    <w:rsid w:val="1D5C5F16"/>
    <w:rsid w:val="1D7506F5"/>
    <w:rsid w:val="1DBA49EB"/>
    <w:rsid w:val="1DE008F5"/>
    <w:rsid w:val="1DE32193"/>
    <w:rsid w:val="1E7033C9"/>
    <w:rsid w:val="1EDA3FF2"/>
    <w:rsid w:val="1F190B23"/>
    <w:rsid w:val="1FED3EFF"/>
    <w:rsid w:val="1FF25B8F"/>
    <w:rsid w:val="203F17EF"/>
    <w:rsid w:val="213276BA"/>
    <w:rsid w:val="21705BE6"/>
    <w:rsid w:val="21BF7C03"/>
    <w:rsid w:val="221B1BBB"/>
    <w:rsid w:val="222B5EB7"/>
    <w:rsid w:val="22502F2F"/>
    <w:rsid w:val="22941CAE"/>
    <w:rsid w:val="22A76D57"/>
    <w:rsid w:val="241D4568"/>
    <w:rsid w:val="242417BD"/>
    <w:rsid w:val="244720DC"/>
    <w:rsid w:val="246A53BC"/>
    <w:rsid w:val="24A11588"/>
    <w:rsid w:val="24D75C38"/>
    <w:rsid w:val="24F7627F"/>
    <w:rsid w:val="25B763DF"/>
    <w:rsid w:val="25CF6C64"/>
    <w:rsid w:val="26101006"/>
    <w:rsid w:val="27DF5779"/>
    <w:rsid w:val="27E64B9D"/>
    <w:rsid w:val="281D01E4"/>
    <w:rsid w:val="28244A04"/>
    <w:rsid w:val="28846321"/>
    <w:rsid w:val="28B1167C"/>
    <w:rsid w:val="291937B0"/>
    <w:rsid w:val="2B1C3729"/>
    <w:rsid w:val="2B451554"/>
    <w:rsid w:val="2C607B59"/>
    <w:rsid w:val="2C856E86"/>
    <w:rsid w:val="2C8965FC"/>
    <w:rsid w:val="2C90003D"/>
    <w:rsid w:val="2CA660EE"/>
    <w:rsid w:val="2CB74AF7"/>
    <w:rsid w:val="2D3D0B3B"/>
    <w:rsid w:val="2D483DC1"/>
    <w:rsid w:val="2D686211"/>
    <w:rsid w:val="2E347837"/>
    <w:rsid w:val="2E7B3D22"/>
    <w:rsid w:val="2E954DE4"/>
    <w:rsid w:val="2F6E3A63"/>
    <w:rsid w:val="2FD1415E"/>
    <w:rsid w:val="302E3742"/>
    <w:rsid w:val="30566FD0"/>
    <w:rsid w:val="30616DBB"/>
    <w:rsid w:val="306233EC"/>
    <w:rsid w:val="30784CC3"/>
    <w:rsid w:val="30F93D50"/>
    <w:rsid w:val="31004CB5"/>
    <w:rsid w:val="312361E3"/>
    <w:rsid w:val="31320EB6"/>
    <w:rsid w:val="31611634"/>
    <w:rsid w:val="323B5CA2"/>
    <w:rsid w:val="339B5CEC"/>
    <w:rsid w:val="3437468E"/>
    <w:rsid w:val="344863F2"/>
    <w:rsid w:val="345159B3"/>
    <w:rsid w:val="34930017"/>
    <w:rsid w:val="34DB53BF"/>
    <w:rsid w:val="35767B03"/>
    <w:rsid w:val="35B41941"/>
    <w:rsid w:val="35D84FD6"/>
    <w:rsid w:val="37195161"/>
    <w:rsid w:val="373106EE"/>
    <w:rsid w:val="37353608"/>
    <w:rsid w:val="3757310C"/>
    <w:rsid w:val="386F4EAC"/>
    <w:rsid w:val="391A78E1"/>
    <w:rsid w:val="396E4BAF"/>
    <w:rsid w:val="3B660D01"/>
    <w:rsid w:val="3BF30E6F"/>
    <w:rsid w:val="3C0B0DDB"/>
    <w:rsid w:val="3C246007"/>
    <w:rsid w:val="3D0347C9"/>
    <w:rsid w:val="3DB124C2"/>
    <w:rsid w:val="3E5021D3"/>
    <w:rsid w:val="3F9D41C3"/>
    <w:rsid w:val="404B45DD"/>
    <w:rsid w:val="40A055E4"/>
    <w:rsid w:val="410D0279"/>
    <w:rsid w:val="4175643F"/>
    <w:rsid w:val="41797DF0"/>
    <w:rsid w:val="417E204F"/>
    <w:rsid w:val="43146527"/>
    <w:rsid w:val="435B1210"/>
    <w:rsid w:val="43F15DC2"/>
    <w:rsid w:val="444C5A43"/>
    <w:rsid w:val="44703E94"/>
    <w:rsid w:val="447D214A"/>
    <w:rsid w:val="45886FF9"/>
    <w:rsid w:val="46965919"/>
    <w:rsid w:val="46E6047B"/>
    <w:rsid w:val="46FC3137"/>
    <w:rsid w:val="475A633F"/>
    <w:rsid w:val="47B33D64"/>
    <w:rsid w:val="4B8D35BB"/>
    <w:rsid w:val="4C63126C"/>
    <w:rsid w:val="4C637D9C"/>
    <w:rsid w:val="4CD77B1B"/>
    <w:rsid w:val="4D5A746B"/>
    <w:rsid w:val="4D5C7C4A"/>
    <w:rsid w:val="4D9B404E"/>
    <w:rsid w:val="4DDC4C8C"/>
    <w:rsid w:val="4E0329AC"/>
    <w:rsid w:val="4E0F02B7"/>
    <w:rsid w:val="4FA20F4F"/>
    <w:rsid w:val="4FE614EB"/>
    <w:rsid w:val="4FFB1593"/>
    <w:rsid w:val="501B4920"/>
    <w:rsid w:val="502C3333"/>
    <w:rsid w:val="50656A43"/>
    <w:rsid w:val="515D58AC"/>
    <w:rsid w:val="5208412D"/>
    <w:rsid w:val="520A1843"/>
    <w:rsid w:val="52354064"/>
    <w:rsid w:val="53555A56"/>
    <w:rsid w:val="53A77A38"/>
    <w:rsid w:val="53D224B3"/>
    <w:rsid w:val="543C6BD8"/>
    <w:rsid w:val="545474B1"/>
    <w:rsid w:val="54547F90"/>
    <w:rsid w:val="54F31330"/>
    <w:rsid w:val="558A0274"/>
    <w:rsid w:val="561D2540"/>
    <w:rsid w:val="56282A48"/>
    <w:rsid w:val="56DF008F"/>
    <w:rsid w:val="57080C0F"/>
    <w:rsid w:val="57F70649"/>
    <w:rsid w:val="57FE4EC6"/>
    <w:rsid w:val="583271E7"/>
    <w:rsid w:val="58386519"/>
    <w:rsid w:val="588C0756"/>
    <w:rsid w:val="58C05C20"/>
    <w:rsid w:val="59423723"/>
    <w:rsid w:val="597F3196"/>
    <w:rsid w:val="59D847E8"/>
    <w:rsid w:val="5A475E8D"/>
    <w:rsid w:val="5A5F05EA"/>
    <w:rsid w:val="5A7B6CD4"/>
    <w:rsid w:val="5B9C117D"/>
    <w:rsid w:val="5C7834CB"/>
    <w:rsid w:val="5C84672A"/>
    <w:rsid w:val="5CF07506"/>
    <w:rsid w:val="5D283143"/>
    <w:rsid w:val="5E4E3A4B"/>
    <w:rsid w:val="5ECA5F08"/>
    <w:rsid w:val="604E233C"/>
    <w:rsid w:val="60CD1047"/>
    <w:rsid w:val="61211191"/>
    <w:rsid w:val="6156418A"/>
    <w:rsid w:val="621974FF"/>
    <w:rsid w:val="62487671"/>
    <w:rsid w:val="62701944"/>
    <w:rsid w:val="63135732"/>
    <w:rsid w:val="63170FCA"/>
    <w:rsid w:val="63A804B5"/>
    <w:rsid w:val="642E7236"/>
    <w:rsid w:val="64A3242D"/>
    <w:rsid w:val="651E7E2D"/>
    <w:rsid w:val="6615622F"/>
    <w:rsid w:val="6680501B"/>
    <w:rsid w:val="67030D6B"/>
    <w:rsid w:val="67F97798"/>
    <w:rsid w:val="67FC76A6"/>
    <w:rsid w:val="690507DD"/>
    <w:rsid w:val="69334257"/>
    <w:rsid w:val="694E41B4"/>
    <w:rsid w:val="69A7361C"/>
    <w:rsid w:val="6A1D308C"/>
    <w:rsid w:val="6AB466D0"/>
    <w:rsid w:val="6BC124C3"/>
    <w:rsid w:val="6C03799C"/>
    <w:rsid w:val="6C0D3D2E"/>
    <w:rsid w:val="6C6F2147"/>
    <w:rsid w:val="6D27740D"/>
    <w:rsid w:val="6D7E0B5E"/>
    <w:rsid w:val="6DF71419"/>
    <w:rsid w:val="6E470F4F"/>
    <w:rsid w:val="6E914D8E"/>
    <w:rsid w:val="70016545"/>
    <w:rsid w:val="70CE744A"/>
    <w:rsid w:val="70DD3194"/>
    <w:rsid w:val="70F128AA"/>
    <w:rsid w:val="71B26ED5"/>
    <w:rsid w:val="71FF1D0A"/>
    <w:rsid w:val="72034A70"/>
    <w:rsid w:val="72617B57"/>
    <w:rsid w:val="72B03567"/>
    <w:rsid w:val="72E26D38"/>
    <w:rsid w:val="735C12CB"/>
    <w:rsid w:val="739F3DE2"/>
    <w:rsid w:val="73A7019D"/>
    <w:rsid w:val="73B202C7"/>
    <w:rsid w:val="73E54550"/>
    <w:rsid w:val="74367A9C"/>
    <w:rsid w:val="747800B5"/>
    <w:rsid w:val="7488772B"/>
    <w:rsid w:val="74B50298"/>
    <w:rsid w:val="750413C3"/>
    <w:rsid w:val="758445C1"/>
    <w:rsid w:val="764C4EE8"/>
    <w:rsid w:val="77A93851"/>
    <w:rsid w:val="78857244"/>
    <w:rsid w:val="79F20909"/>
    <w:rsid w:val="7A7C4677"/>
    <w:rsid w:val="7A943F88"/>
    <w:rsid w:val="7B460161"/>
    <w:rsid w:val="7BF619AE"/>
    <w:rsid w:val="7D221505"/>
    <w:rsid w:val="7DD31408"/>
    <w:rsid w:val="7DF56AAC"/>
    <w:rsid w:val="7DFA08E4"/>
    <w:rsid w:val="7F914720"/>
    <w:rsid w:val="7FA73FAF"/>
    <w:rsid w:val="7FB12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4"/>
    <w:basedOn w:val="1"/>
    <w:next w:val="5"/>
    <w:qFormat/>
    <w:uiPriority w:val="0"/>
    <w:pPr>
      <w:keepNext/>
      <w:keepLines/>
      <w:spacing w:before="280" w:after="290" w:line="372" w:lineRule="auto"/>
      <w:ind w:firstLine="200" w:firstLineChars="200"/>
      <w:outlineLvl w:val="3"/>
    </w:pPr>
    <w:rPr>
      <w:rFonts w:ascii="Arial" w:hAnsi="Arial" w:eastAsia="黑体"/>
      <w:b/>
      <w:kern w:val="2"/>
      <w:sz w:val="24"/>
      <w:szCs w:val="24"/>
    </w:rPr>
  </w:style>
  <w:style w:type="paragraph" w:styleId="6">
    <w:name w:val="heading 5"/>
    <w:basedOn w:val="1"/>
    <w:next w:val="5"/>
    <w:qFormat/>
    <w:uiPriority w:val="0"/>
    <w:pPr>
      <w:keepNext/>
      <w:keepLines/>
      <w:tabs>
        <w:tab w:val="left" w:pos="2100"/>
      </w:tabs>
      <w:spacing w:before="280" w:after="290" w:line="372" w:lineRule="auto"/>
      <w:ind w:left="2100" w:firstLine="200" w:firstLineChars="200"/>
      <w:outlineLvl w:val="4"/>
    </w:pPr>
    <w:rPr>
      <w:rFonts w:ascii="Verdana" w:hAnsi="Verdana" w:eastAsia="仿宋_GB2312"/>
      <w:b/>
      <w:bCs/>
      <w:kern w:val="2"/>
      <w:sz w:val="28"/>
      <w:szCs w:val="28"/>
      <w:lang w:eastAsia="en-US"/>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next w:val="1"/>
    <w:unhideWhenUsed/>
    <w:qFormat/>
    <w:uiPriority w:val="0"/>
    <w:pPr>
      <w:spacing w:beforeLines="0" w:afterLines="0"/>
      <w:ind w:firstLine="200" w:firstLineChars="200"/>
    </w:pPr>
    <w:rPr>
      <w:rFonts w:hint="eastAsia" w:ascii="Times New Roman" w:eastAsia="Times New Roman"/>
      <w:kern w:val="2"/>
      <w:sz w:val="21"/>
    </w:rPr>
  </w:style>
  <w:style w:type="paragraph" w:styleId="7">
    <w:name w:val="annotation text"/>
    <w:basedOn w:val="1"/>
    <w:unhideWhenUsed/>
    <w:qFormat/>
    <w:uiPriority w:val="0"/>
    <w:pPr>
      <w:jc w:val="left"/>
    </w:pPr>
    <w:rPr>
      <w:rFonts w:ascii="Times New Roman"/>
      <w:kern w:val="2"/>
      <w:sz w:val="21"/>
      <w:szCs w:val="24"/>
    </w:rPr>
  </w:style>
  <w:style w:type="paragraph" w:styleId="8">
    <w:name w:val="Body Text"/>
    <w:basedOn w:val="1"/>
    <w:next w:val="9"/>
    <w:unhideWhenUsed/>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styleId="9">
    <w:name w:val="Body Text First Indent"/>
    <w:basedOn w:val="8"/>
    <w:unhideWhenUsed/>
    <w:qFormat/>
    <w:uiPriority w:val="99"/>
    <w:pPr>
      <w:spacing w:line="440" w:lineRule="exact"/>
      <w:ind w:firstLine="420" w:firstLineChars="200"/>
    </w:pPr>
    <w:rPr>
      <w:szCs w:val="20"/>
    </w:rPr>
  </w:style>
  <w:style w:type="paragraph" w:styleId="10">
    <w:name w:val="Body Text Indent"/>
    <w:basedOn w:val="1"/>
    <w:unhideWhenUsed/>
    <w:qFormat/>
    <w:uiPriority w:val="99"/>
    <w:pPr>
      <w:ind w:firstLine="630"/>
    </w:pPr>
    <w:rPr>
      <w:rFonts w:ascii="Calibri"/>
      <w:kern w:val="2"/>
      <w:sz w:val="32"/>
      <w:szCs w:val="20"/>
    </w:rPr>
  </w:style>
  <w:style w:type="paragraph" w:styleId="11">
    <w:name w:val="Plain Text"/>
    <w:basedOn w:val="1"/>
    <w:next w:val="1"/>
    <w:qFormat/>
    <w:uiPriority w:val="0"/>
    <w:rPr>
      <w:rFonts w:ascii="宋体" w:hAnsi="Courier New" w:eastAsiaTheme="minorEastAsia" w:cstheme="minorBidi"/>
      <w:szCs w:val="22"/>
    </w:rPr>
  </w:style>
  <w:style w:type="paragraph" w:styleId="12">
    <w:name w:val="footer"/>
    <w:basedOn w:val="1"/>
    <w:unhideWhenUsed/>
    <w:qFormat/>
    <w:uiPriority w:val="0"/>
    <w:pPr>
      <w:tabs>
        <w:tab w:val="center" w:pos="4153"/>
        <w:tab w:val="right" w:pos="8306"/>
      </w:tabs>
      <w:snapToGrid w:val="0"/>
      <w:spacing w:beforeLines="0" w:afterLines="0"/>
      <w:jc w:val="left"/>
    </w:pPr>
    <w:rPr>
      <w:rFonts w:hint="default" w:ascii="Calibri"/>
      <w:kern w:val="2"/>
      <w:sz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rFonts w:ascii="Times New Roman"/>
      <w:kern w:val="2"/>
      <w:sz w:val="18"/>
      <w:szCs w:val="20"/>
    </w:rPr>
  </w:style>
  <w:style w:type="paragraph" w:styleId="14">
    <w:name w:val="toc 1"/>
    <w:basedOn w:val="1"/>
    <w:next w:val="1"/>
    <w:unhideWhenUsed/>
    <w:qFormat/>
    <w:uiPriority w:val="39"/>
    <w:rPr>
      <w:rFonts w:ascii="宋体" w:hAnsi="Times New Roman"/>
      <w:kern w:val="0"/>
      <w:sz w:val="34"/>
      <w:szCs w:val="20"/>
    </w:rPr>
  </w:style>
  <w:style w:type="paragraph" w:styleId="15">
    <w:name w:val="Subtitle"/>
    <w:basedOn w:val="1"/>
    <w:next w:val="1"/>
    <w:unhideWhenUsed/>
    <w:qFormat/>
    <w:uiPriority w:val="0"/>
    <w:pPr>
      <w:spacing w:before="240" w:beforeLines="0" w:after="60" w:afterLines="0" w:line="312" w:lineRule="auto"/>
      <w:ind w:left="200" w:leftChars="200" w:firstLine="200" w:firstLineChars="200"/>
      <w:jc w:val="center"/>
      <w:outlineLvl w:val="1"/>
    </w:pPr>
    <w:rPr>
      <w:rFonts w:hint="eastAsia" w:ascii="Times New Roman" w:eastAsia="Times New Roman"/>
      <w:b/>
      <w:kern w:val="28"/>
      <w:sz w:val="20"/>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unhideWhenUsed/>
    <w:qFormat/>
    <w:uiPriority w:val="99"/>
    <w:rPr>
      <w:sz w:val="21"/>
      <w:szCs w:val="21"/>
    </w:rPr>
  </w:style>
  <w:style w:type="paragraph" w:customStyle="1" w:styleId="20">
    <w:name w:val="标题 5（有编号）（绿盟科技）"/>
    <w:basedOn w:val="1"/>
    <w:next w:val="21"/>
    <w:qFormat/>
    <w:uiPriority w:val="99"/>
    <w:pPr>
      <w:keepNext/>
      <w:keepLines/>
      <w:spacing w:before="280" w:after="156" w:line="377" w:lineRule="auto"/>
      <w:jc w:val="left"/>
      <w:outlineLvl w:val="4"/>
    </w:pPr>
    <w:rPr>
      <w:rFonts w:ascii="Arial" w:hAnsi="Arial" w:eastAsia="黑体"/>
      <w:b/>
      <w:sz w:val="24"/>
      <w:szCs w:val="28"/>
    </w:rPr>
  </w:style>
  <w:style w:type="paragraph" w:customStyle="1" w:styleId="21">
    <w:name w:val="正文（绿盟科技）"/>
    <w:qFormat/>
    <w:uiPriority w:val="99"/>
    <w:pPr>
      <w:spacing w:line="300" w:lineRule="auto"/>
    </w:pPr>
    <w:rPr>
      <w:rFonts w:ascii="Arial" w:hAnsi="Arial" w:eastAsia="宋体" w:cs="Times New Roman"/>
      <w:sz w:val="21"/>
      <w:szCs w:val="21"/>
      <w:lang w:val="en-US" w:eastAsia="zh-CN" w:bidi="ar-SA"/>
    </w:rPr>
  </w:style>
  <w:style w:type="paragraph" w:customStyle="1" w:styleId="2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3">
    <w:name w:val="List Paragraph"/>
    <w:basedOn w:val="1"/>
    <w:qFormat/>
    <w:uiPriority w:val="34"/>
    <w:pPr>
      <w:ind w:firstLine="420" w:firstLineChars="200"/>
    </w:pPr>
  </w:style>
  <w:style w:type="paragraph" w:customStyle="1" w:styleId="24">
    <w:name w:val="宋体5号"/>
    <w:unhideWhenUsed/>
    <w:qFormat/>
    <w:uiPriority w:val="0"/>
    <w:pPr>
      <w:widowControl w:val="0"/>
      <w:spacing w:beforeLines="0" w:afterLines="0"/>
      <w:ind w:firstLine="420"/>
      <w:jc w:val="both"/>
    </w:pPr>
    <w:rPr>
      <w:rFonts w:hint="default" w:ascii="Calibri" w:hAnsi="Calibri" w:eastAsia="等线" w:cs="Times New Roman"/>
      <w:sz w:val="21"/>
      <w:szCs w:val="22"/>
      <w:lang w:val="en-US" w:eastAsia="zh-CN" w:bidi="ar-SA"/>
    </w:rPr>
  </w:style>
  <w:style w:type="paragraph" w:customStyle="1" w:styleId="25">
    <w:name w:val="样式"/>
    <w:unhideWhenUsed/>
    <w:qFormat/>
    <w:uiPriority w:val="0"/>
    <w:pPr>
      <w:widowControl w:val="0"/>
      <w:autoSpaceDE w:val="0"/>
      <w:autoSpaceDN w:val="0"/>
      <w:adjustRightInd w:val="0"/>
      <w:spacing w:beforeLines="0" w:afterLines="0"/>
    </w:pPr>
    <w:rPr>
      <w:rFonts w:hint="eastAsia" w:ascii="宋体" w:hAnsi="宋体" w:eastAsia="宋体" w:cs="Times New Roman"/>
      <w:sz w:val="24"/>
      <w:lang w:val="en-US" w:eastAsia="zh-CN"/>
    </w:rPr>
  </w:style>
  <w:style w:type="character" w:customStyle="1" w:styleId="26">
    <w:name w:val="无"/>
    <w:qFormat/>
    <w:uiPriority w:val="0"/>
  </w:style>
  <w:style w:type="character" w:customStyle="1" w:styleId="27">
    <w:name w:val="font01"/>
    <w:qFormat/>
    <w:uiPriority w:val="0"/>
    <w:rPr>
      <w:rFonts w:hint="eastAsia" w:ascii="宋体" w:hAnsi="宋体" w:eastAsia="宋体" w:cs="宋体"/>
      <w:b/>
      <w:color w:val="000000"/>
      <w:sz w:val="18"/>
      <w:szCs w:val="18"/>
      <w:u w:val="none"/>
    </w:rPr>
  </w:style>
  <w:style w:type="paragraph" w:customStyle="1" w:styleId="28">
    <w:name w:val="纯文本1"/>
    <w:basedOn w:val="1"/>
    <w:qFormat/>
    <w:uiPriority w:val="0"/>
    <w:rPr>
      <w:rFonts w:ascii="宋体" w:hAnsi="Courier New" w:eastAsia="宋体" w:cs="Courier New"/>
      <w:szCs w:val="21"/>
    </w:rPr>
  </w:style>
  <w:style w:type="paragraph" w:customStyle="1" w:styleId="29">
    <w:name w:val="列出段落1"/>
    <w:basedOn w:val="1"/>
    <w:qFormat/>
    <w:uiPriority w:val="99"/>
    <w:pPr>
      <w:ind w:firstLine="420" w:firstLineChars="200"/>
    </w:pPr>
    <w:rPr>
      <w:rFonts w:ascii="Times New Roman"/>
      <w:kern w:val="2"/>
      <w:sz w:val="21"/>
    </w:rPr>
  </w:style>
  <w:style w:type="paragraph" w:customStyle="1" w:styleId="3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1">
    <w:name w:val="!BECC正文"/>
    <w:basedOn w:val="1"/>
    <w:qFormat/>
    <w:uiPriority w:val="0"/>
    <w:pPr>
      <w:tabs>
        <w:tab w:val="left" w:pos="0"/>
      </w:tabs>
      <w:spacing w:beforeLines="50" w:line="360" w:lineRule="auto"/>
      <w:ind w:firstLine="200" w:firstLineChars="200"/>
      <w:contextualSpacing/>
    </w:pPr>
    <w:rPr>
      <w:kern w:val="0"/>
      <w:sz w:val="24"/>
      <w:szCs w:val="24"/>
    </w:rPr>
  </w:style>
  <w:style w:type="paragraph" w:customStyle="1" w:styleId="32">
    <w:name w:val="样式 正文缩进 + 首行缩进:  2 字符"/>
    <w:basedOn w:val="5"/>
    <w:qFormat/>
    <w:uiPriority w:val="0"/>
    <w:pPr>
      <w:spacing w:before="280" w:after="290" w:line="360" w:lineRule="auto"/>
      <w:ind w:left="-1" w:leftChars="-1" w:firstLine="200" w:firstLineChars="200"/>
    </w:pPr>
    <w:rPr>
      <w:rFonts w:ascii="Times New Roman" w:hAnsi="Times New Roman" w:cs="宋体"/>
      <w:sz w:val="24"/>
      <w:szCs w:val="20"/>
      <w:lang w:val="en-US"/>
    </w:rPr>
  </w:style>
  <w:style w:type="paragraph" w:customStyle="1" w:styleId="33">
    <w:name w:val="￥正文"/>
    <w:basedOn w:val="1"/>
    <w:qFormat/>
    <w:uiPriority w:val="0"/>
    <w:pPr>
      <w:spacing w:line="360" w:lineRule="auto"/>
      <w:ind w:firstLine="200" w:firstLineChars="200"/>
    </w:pPr>
    <w:rPr>
      <w:rFonts w:ascii="Times New Roman" w:hAnsi="Times New Roman" w:eastAsia="宋体" w:cs="Times New Roman"/>
      <w:kern w:val="0"/>
      <w:sz w:val="24"/>
      <w:szCs w:val="20"/>
    </w:rPr>
  </w:style>
  <w:style w:type="paragraph" w:customStyle="1" w:styleId="34">
    <w:name w:val="正文首行缩进两字符"/>
    <w:basedOn w:val="1"/>
    <w:qFormat/>
    <w:uiPriority w:val="0"/>
    <w:pPr>
      <w:spacing w:line="360" w:lineRule="auto"/>
      <w:ind w:firstLine="200" w:firstLineChars="200"/>
    </w:pPr>
    <w:rPr>
      <w:rFonts w:ascii="Times New Roman"/>
      <w:kern w:val="2"/>
      <w:sz w:val="21"/>
      <w:szCs w:val="24"/>
    </w:rPr>
  </w:style>
  <w:style w:type="character" w:customStyle="1" w:styleId="35">
    <w:name w:val="font21"/>
    <w:basedOn w:val="18"/>
    <w:qFormat/>
    <w:uiPriority w:val="0"/>
    <w:rPr>
      <w:rFonts w:hint="eastAsia" w:ascii="宋体" w:hAnsi="宋体" w:eastAsia="宋体" w:cs="宋体"/>
      <w:color w:val="000000"/>
      <w:kern w:val="0"/>
      <w:sz w:val="20"/>
      <w:szCs w:val="20"/>
      <w:u w:val="none"/>
      <w:lang w:eastAsia="en-US"/>
    </w:rPr>
  </w:style>
  <w:style w:type="character" w:customStyle="1" w:styleId="36">
    <w:name w:val="font31"/>
    <w:basedOn w:val="18"/>
    <w:qFormat/>
    <w:uiPriority w:val="0"/>
    <w:rPr>
      <w:rFonts w:hint="eastAsia" w:ascii="宋体" w:hAnsi="宋体" w:eastAsia="宋体" w:cs="宋体"/>
      <w:color w:val="000000"/>
      <w:kern w:val="0"/>
      <w:sz w:val="22"/>
      <w:szCs w:val="22"/>
      <w:u w:val="none"/>
      <w:lang w:eastAsia="en-US"/>
    </w:rPr>
  </w:style>
  <w:style w:type="character" w:customStyle="1" w:styleId="37">
    <w:name w:val="font11"/>
    <w:basedOn w:val="18"/>
    <w:qFormat/>
    <w:uiPriority w:val="0"/>
    <w:rPr>
      <w:rFonts w:hint="eastAsia" w:ascii="宋体" w:hAnsi="宋体" w:eastAsia="宋体" w:cs="宋体"/>
      <w:color w:val="000000"/>
      <w:kern w:val="0"/>
      <w:sz w:val="20"/>
      <w:szCs w:val="20"/>
      <w:u w:val="none"/>
      <w:lang w:eastAsia="en-US"/>
    </w:rPr>
  </w:style>
  <w:style w:type="character" w:customStyle="1" w:styleId="38">
    <w:name w:val="font41"/>
    <w:basedOn w:val="18"/>
    <w:qFormat/>
    <w:uiPriority w:val="0"/>
    <w:rPr>
      <w:rFonts w:hint="eastAsia" w:ascii="Times New Roman" w:hAnsi="Times New Roman" w:eastAsia="仿宋_GB2312" w:cs="Times New Roman"/>
      <w:b/>
      <w:color w:val="000000"/>
      <w:kern w:val="0"/>
      <w:sz w:val="24"/>
      <w:szCs w:val="24"/>
      <w:u w:val="none"/>
      <w:lang w:eastAsia="en-US"/>
    </w:rPr>
  </w:style>
  <w:style w:type="character" w:customStyle="1" w:styleId="39">
    <w:name w:val="font71"/>
    <w:basedOn w:val="18"/>
    <w:qFormat/>
    <w:uiPriority w:val="0"/>
    <w:rPr>
      <w:rFonts w:hint="default" w:ascii="Times New Roman" w:hAnsi="Times New Roman" w:eastAsia="仿宋_GB2312" w:cs="Times New Roman"/>
      <w:color w:val="000000"/>
      <w:kern w:val="0"/>
      <w:sz w:val="20"/>
      <w:szCs w:val="20"/>
      <w:u w:val="none"/>
      <w:lang w:eastAsia="en-US"/>
    </w:rPr>
  </w:style>
  <w:style w:type="character" w:customStyle="1" w:styleId="40">
    <w:name w:val="font51"/>
    <w:basedOn w:val="18"/>
    <w:qFormat/>
    <w:uiPriority w:val="0"/>
    <w:rPr>
      <w:rFonts w:hint="eastAsia" w:ascii="宋体" w:hAnsi="宋体" w:eastAsia="宋体" w:cs="宋体"/>
      <w:color w:val="000000"/>
      <w:kern w:val="0"/>
      <w:sz w:val="20"/>
      <w:szCs w:val="20"/>
      <w:u w:val="none"/>
      <w:lang w:eastAsia="en-US"/>
    </w:rPr>
  </w:style>
  <w:style w:type="paragraph" w:customStyle="1" w:styleId="41">
    <w:name w:val="列出段落3"/>
    <w:basedOn w:val="1"/>
    <w:qFormat/>
    <w:uiPriority w:val="0"/>
    <w:pPr>
      <w:spacing w:line="440" w:lineRule="exact"/>
      <w:ind w:firstLine="420" w:firstLineChars="200"/>
    </w:pPr>
    <w:rPr>
      <w:rFonts w:hAnsi="Times New Roman"/>
      <w:szCs w:val="20"/>
    </w:rPr>
  </w:style>
  <w:style w:type="paragraph" w:customStyle="1" w:styleId="4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2782</Words>
  <Characters>2930</Characters>
  <Lines>0</Lines>
  <Paragraphs>0</Paragraphs>
  <TotalTime>1</TotalTime>
  <ScaleCrop>false</ScaleCrop>
  <LinksUpToDate>false</LinksUpToDate>
  <CharactersWithSpaces>3000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清</cp:lastModifiedBy>
  <cp:lastPrinted>2023-07-06T01:34:00Z</cp:lastPrinted>
  <dcterms:modified xsi:type="dcterms:W3CDTF">2024-07-24T03:10:06Z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97A213B5FF7C485CAA2784E53A8E84F3_13</vt:lpwstr>
  </property>
</Properties>
</file>