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2"/>
          <w:numId w:val="1"/>
        </w:numPr>
        <w:adjustRightInd w:val="0"/>
        <w:snapToGrid w:val="0"/>
        <w:jc w:val="center"/>
        <w:rPr>
          <w:rFonts w:hint="eastAsia" w:ascii="宋体" w:hAnsi="宋体" w:cs="宋体"/>
          <w:b/>
          <w:sz w:val="30"/>
          <w:szCs w:val="30"/>
        </w:rPr>
      </w:pPr>
      <w:bookmarkStart w:id="6" w:name="_GoBack"/>
      <w:bookmarkEnd w:id="6"/>
      <w:r>
        <w:rPr>
          <w:rFonts w:hint="eastAsia" w:ascii="宋体" w:hAnsi="宋体" w:cs="宋体"/>
          <w:b/>
          <w:sz w:val="30"/>
          <w:szCs w:val="30"/>
        </w:rPr>
        <w:t>货物需求一览表</w:t>
      </w:r>
    </w:p>
    <w:p>
      <w:pPr>
        <w:adjustRightInd w:val="0"/>
        <w:snapToGrid w:val="0"/>
        <w:jc w:val="center"/>
        <w:rPr>
          <w:rFonts w:hint="eastAsia" w:ascii="宋体" w:hAnsi="宋体" w:cs="宋体"/>
          <w:b/>
          <w:sz w:val="30"/>
          <w:szCs w:val="30"/>
        </w:rPr>
      </w:pPr>
    </w:p>
    <w:tbl>
      <w:tblPr>
        <w:tblStyle w:val="5"/>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1700"/>
        <w:gridCol w:w="258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noWrap w:val="0"/>
            <w:vAlign w:val="center"/>
          </w:tcPr>
          <w:p>
            <w:pPr>
              <w:jc w:val="center"/>
              <w:rPr>
                <w:rFonts w:hint="eastAsia" w:ascii="宋体" w:hAnsi="宋体" w:cs="宋体"/>
                <w:sz w:val="24"/>
              </w:rPr>
            </w:pPr>
            <w:r>
              <w:rPr>
                <w:rFonts w:hint="eastAsia" w:ascii="宋体" w:hAnsi="宋体" w:cs="宋体"/>
                <w:sz w:val="24"/>
              </w:rPr>
              <w:t>包号</w:t>
            </w:r>
          </w:p>
        </w:tc>
        <w:tc>
          <w:tcPr>
            <w:tcW w:w="2640" w:type="dxa"/>
            <w:noWrap w:val="0"/>
            <w:vAlign w:val="center"/>
          </w:tcPr>
          <w:p>
            <w:pPr>
              <w:jc w:val="center"/>
              <w:rPr>
                <w:rFonts w:hint="eastAsia" w:ascii="宋体" w:hAnsi="宋体" w:cs="宋体"/>
                <w:sz w:val="24"/>
              </w:rPr>
            </w:pPr>
            <w:r>
              <w:rPr>
                <w:rFonts w:hint="eastAsia" w:ascii="宋体" w:hAnsi="宋体" w:cs="宋体"/>
                <w:sz w:val="24"/>
              </w:rPr>
              <w:t>货物名称</w:t>
            </w:r>
          </w:p>
        </w:tc>
        <w:tc>
          <w:tcPr>
            <w:tcW w:w="635" w:type="dxa"/>
            <w:noWrap w:val="0"/>
            <w:vAlign w:val="center"/>
          </w:tcPr>
          <w:p>
            <w:pPr>
              <w:jc w:val="center"/>
              <w:rPr>
                <w:rFonts w:hint="eastAsia" w:ascii="宋体" w:hAnsi="宋体" w:cs="宋体"/>
                <w:sz w:val="24"/>
              </w:rPr>
            </w:pPr>
            <w:r>
              <w:rPr>
                <w:rFonts w:hint="eastAsia" w:ascii="宋体" w:hAnsi="宋体" w:cs="宋体"/>
                <w:sz w:val="24"/>
              </w:rPr>
              <w:t>数量</w:t>
            </w:r>
          </w:p>
        </w:tc>
        <w:tc>
          <w:tcPr>
            <w:tcW w:w="1320" w:type="dxa"/>
            <w:noWrap w:val="0"/>
            <w:vAlign w:val="center"/>
          </w:tcPr>
          <w:p>
            <w:pPr>
              <w:jc w:val="center"/>
              <w:rPr>
                <w:rFonts w:hint="eastAsia" w:ascii="宋体" w:hAnsi="宋体" w:cs="宋体"/>
                <w:sz w:val="24"/>
              </w:rPr>
            </w:pPr>
            <w:r>
              <w:rPr>
                <w:rFonts w:hint="eastAsia" w:ascii="宋体" w:hAnsi="宋体" w:cs="宋体"/>
                <w:sz w:val="24"/>
              </w:rPr>
              <w:t>交货期</w:t>
            </w:r>
          </w:p>
        </w:tc>
        <w:tc>
          <w:tcPr>
            <w:tcW w:w="1700" w:type="dxa"/>
            <w:noWrap w:val="0"/>
            <w:vAlign w:val="center"/>
          </w:tcPr>
          <w:p>
            <w:pPr>
              <w:jc w:val="center"/>
              <w:rPr>
                <w:rFonts w:hint="eastAsia" w:ascii="宋体" w:hAnsi="宋体" w:cs="宋体"/>
                <w:sz w:val="24"/>
              </w:rPr>
            </w:pPr>
            <w:r>
              <w:rPr>
                <w:rFonts w:hint="eastAsia" w:ascii="宋体" w:hAnsi="宋体" w:cs="宋体"/>
                <w:sz w:val="24"/>
              </w:rPr>
              <w:t>指定到货港</w:t>
            </w:r>
          </w:p>
        </w:tc>
        <w:tc>
          <w:tcPr>
            <w:tcW w:w="2585" w:type="dxa"/>
            <w:noWrap w:val="0"/>
            <w:vAlign w:val="center"/>
          </w:tcPr>
          <w:p>
            <w:pPr>
              <w:jc w:val="center"/>
              <w:rPr>
                <w:rFonts w:hint="eastAsia" w:ascii="宋体" w:hAnsi="宋体" w:cs="宋体"/>
                <w:sz w:val="24"/>
                <w:shd w:val="pct10" w:color="auto" w:fill="FFFFFF"/>
              </w:rPr>
            </w:pPr>
            <w:r>
              <w:rPr>
                <w:rFonts w:hint="eastAsia" w:ascii="宋体" w:hAnsi="宋体" w:cs="宋体"/>
                <w:sz w:val="24"/>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noWrap w:val="0"/>
            <w:vAlign w:val="center"/>
          </w:tcPr>
          <w:p>
            <w:pPr>
              <w:jc w:val="center"/>
              <w:rPr>
                <w:rFonts w:hint="eastAsia" w:ascii="宋体" w:hAnsi="宋体" w:cs="宋体"/>
                <w:sz w:val="24"/>
              </w:rPr>
            </w:pPr>
            <w:r>
              <w:rPr>
                <w:rFonts w:hint="eastAsia" w:ascii="宋体" w:hAnsi="宋体" w:cs="宋体"/>
                <w:sz w:val="24"/>
              </w:rPr>
              <w:t>1</w:t>
            </w:r>
          </w:p>
        </w:tc>
        <w:tc>
          <w:tcPr>
            <w:tcW w:w="2640" w:type="dxa"/>
            <w:noWrap w:val="0"/>
            <w:vAlign w:val="center"/>
          </w:tcPr>
          <w:p>
            <w:pPr>
              <w:jc w:val="center"/>
              <w:rPr>
                <w:rFonts w:hint="eastAsia" w:ascii="宋体" w:hAnsi="宋体" w:cs="宋体"/>
                <w:sz w:val="24"/>
              </w:rPr>
            </w:pPr>
            <w:r>
              <w:rPr>
                <w:rFonts w:hint="eastAsia" w:ascii="宋体" w:hAnsi="宋体" w:cs="宋体"/>
                <w:sz w:val="24"/>
              </w:rPr>
              <w:t>电感耦合等离子体质谱仪</w:t>
            </w:r>
          </w:p>
        </w:tc>
        <w:tc>
          <w:tcPr>
            <w:tcW w:w="635" w:type="dxa"/>
            <w:noWrap w:val="0"/>
            <w:vAlign w:val="center"/>
          </w:tcPr>
          <w:p>
            <w:pPr>
              <w:jc w:val="center"/>
              <w:rPr>
                <w:rFonts w:hint="eastAsia" w:ascii="宋体" w:hAnsi="宋体" w:cs="宋体"/>
                <w:sz w:val="24"/>
              </w:rPr>
            </w:pPr>
            <w:r>
              <w:rPr>
                <w:rFonts w:hint="eastAsia" w:ascii="宋体" w:hAnsi="宋体" w:cs="宋体"/>
                <w:sz w:val="24"/>
              </w:rPr>
              <w:t>1台</w:t>
            </w:r>
          </w:p>
        </w:tc>
        <w:tc>
          <w:tcPr>
            <w:tcW w:w="1320" w:type="dxa"/>
            <w:noWrap w:val="0"/>
            <w:vAlign w:val="center"/>
          </w:tcPr>
          <w:p>
            <w:pPr>
              <w:jc w:val="center"/>
              <w:rPr>
                <w:rFonts w:hint="eastAsia" w:ascii="宋体" w:hAnsi="宋体" w:cs="宋体"/>
                <w:sz w:val="24"/>
              </w:rPr>
            </w:pPr>
            <w:r>
              <w:rPr>
                <w:rFonts w:hint="eastAsia" w:ascii="宋体" w:hAnsi="宋体" w:cs="宋体"/>
                <w:sz w:val="24"/>
              </w:rPr>
              <w:t>合同签订后3个月</w:t>
            </w:r>
          </w:p>
        </w:tc>
        <w:tc>
          <w:tcPr>
            <w:tcW w:w="1700" w:type="dxa"/>
            <w:noWrap w:val="0"/>
            <w:vAlign w:val="center"/>
          </w:tcPr>
          <w:p>
            <w:pPr>
              <w:jc w:val="center"/>
              <w:rPr>
                <w:rFonts w:hint="eastAsia" w:ascii="宋体" w:hAnsi="宋体" w:cs="宋体"/>
                <w:sz w:val="24"/>
              </w:rPr>
            </w:pPr>
            <w:r>
              <w:rPr>
                <w:rFonts w:hint="eastAsia" w:ascii="宋体" w:hAnsi="宋体" w:cs="宋体"/>
                <w:sz w:val="24"/>
              </w:rPr>
              <w:t>/</w:t>
            </w:r>
          </w:p>
        </w:tc>
        <w:tc>
          <w:tcPr>
            <w:tcW w:w="2585" w:type="dxa"/>
            <w:noWrap w:val="0"/>
            <w:vAlign w:val="center"/>
          </w:tcPr>
          <w:p>
            <w:pPr>
              <w:jc w:val="center"/>
              <w:rPr>
                <w:rFonts w:hint="eastAsia" w:ascii="宋体" w:hAnsi="宋体" w:cs="宋体"/>
                <w:sz w:val="24"/>
              </w:rPr>
            </w:pPr>
            <w:r>
              <w:rPr>
                <w:rFonts w:hint="eastAsia" w:ascii="宋体" w:hAnsi="宋体" w:cs="宋体"/>
                <w:sz w:val="24"/>
              </w:rPr>
              <w:t>中国科学院昆明植物研究所指定地点</w:t>
            </w:r>
          </w:p>
        </w:tc>
      </w:tr>
    </w:tbl>
    <w:p>
      <w:pPr>
        <w:rPr>
          <w:rFonts w:hint="eastAsia" w:ascii="宋体" w:hAnsi="宋体" w:cs="宋体"/>
          <w:sz w:val="24"/>
        </w:rPr>
      </w:pPr>
      <w:r>
        <w:rPr>
          <w:rFonts w:hint="eastAsia" w:ascii="宋体" w:hAnsi="宋体" w:cs="宋体"/>
          <w:sz w:val="24"/>
        </w:rPr>
        <w:t>注：投标人须对上述投标内容中完整的一包进行投标，不完整的投标将视为非响应性投标予以拒绝。</w:t>
      </w:r>
    </w:p>
    <w:p>
      <w:pPr>
        <w:adjustRightInd w:val="0"/>
        <w:snapToGrid w:val="0"/>
        <w:rPr>
          <w:rFonts w:hint="eastAsia" w:ascii="宋体" w:hAnsi="宋体" w:cs="宋体"/>
          <w:szCs w:val="21"/>
        </w:rPr>
      </w:pPr>
    </w:p>
    <w:p>
      <w:pPr>
        <w:adjustRightInd w:val="0"/>
        <w:snapToGrid w:val="0"/>
        <w:rPr>
          <w:rFonts w:hint="eastAsia" w:ascii="宋体" w:hAnsi="宋体" w:cs="宋体"/>
          <w:szCs w:val="21"/>
        </w:rPr>
      </w:pPr>
    </w:p>
    <w:p>
      <w:pPr>
        <w:adjustRightInd w:val="0"/>
        <w:snapToGrid w:val="0"/>
        <w:rPr>
          <w:rFonts w:hint="eastAsia" w:ascii="宋体" w:hAnsi="宋体" w:cs="宋体"/>
          <w:szCs w:val="21"/>
        </w:rPr>
      </w:pPr>
    </w:p>
    <w:p>
      <w:pPr>
        <w:adjustRightInd w:val="0"/>
        <w:snapToGrid w:val="0"/>
        <w:rPr>
          <w:rFonts w:hint="eastAsia" w:ascii="宋体" w:hAnsi="宋体" w:cs="宋体"/>
          <w:szCs w:val="21"/>
        </w:rPr>
      </w:pPr>
    </w:p>
    <w:p>
      <w:pPr>
        <w:adjustRightInd w:val="0"/>
        <w:snapToGrid w:val="0"/>
        <w:rPr>
          <w:rFonts w:hint="eastAsia" w:ascii="宋体" w:hAnsi="宋体" w:cs="宋体"/>
          <w:szCs w:val="21"/>
        </w:rPr>
      </w:pPr>
    </w:p>
    <w:p>
      <w:pPr>
        <w:adjustRightInd w:val="0"/>
        <w:snapToGrid w:val="0"/>
        <w:rPr>
          <w:rFonts w:hint="eastAsia" w:ascii="宋体" w:hAnsi="宋体" w:cs="宋体"/>
          <w:szCs w:val="21"/>
        </w:rPr>
      </w:pPr>
    </w:p>
    <w:p>
      <w:pPr>
        <w:adjustRightInd w:val="0"/>
        <w:snapToGrid w:val="0"/>
        <w:rPr>
          <w:rFonts w:hint="eastAsia" w:ascii="宋体" w:hAnsi="宋体" w:cs="宋体"/>
          <w:szCs w:val="21"/>
        </w:rPr>
      </w:pPr>
    </w:p>
    <w:p>
      <w:pPr>
        <w:adjustRightInd w:val="0"/>
        <w:snapToGrid w:val="0"/>
        <w:rPr>
          <w:rFonts w:hint="eastAsia" w:ascii="宋体" w:hAnsi="宋体" w:cs="宋体"/>
          <w:szCs w:val="21"/>
        </w:rPr>
      </w:pPr>
    </w:p>
    <w:p>
      <w:pPr>
        <w:adjustRightInd w:val="0"/>
        <w:snapToGrid w:val="0"/>
        <w:rPr>
          <w:rFonts w:hint="eastAsia" w:ascii="宋体" w:hAnsi="宋体" w:cs="宋体"/>
          <w:szCs w:val="21"/>
        </w:rPr>
      </w:pPr>
    </w:p>
    <w:p>
      <w:pPr>
        <w:adjustRightInd w:val="0"/>
        <w:snapToGrid w:val="0"/>
        <w:rPr>
          <w:rFonts w:hint="eastAsia" w:ascii="宋体" w:hAnsi="宋体" w:cs="宋体"/>
          <w:szCs w:val="21"/>
        </w:rPr>
      </w:pPr>
    </w:p>
    <w:p>
      <w:pPr>
        <w:adjustRightInd w:val="0"/>
        <w:snapToGrid w:val="0"/>
        <w:rPr>
          <w:rFonts w:hint="eastAsia" w:ascii="宋体" w:hAnsi="宋体" w:cs="宋体"/>
          <w:szCs w:val="21"/>
        </w:rPr>
      </w:pPr>
    </w:p>
    <w:p>
      <w:pPr>
        <w:adjustRightInd w:val="0"/>
        <w:snapToGrid w:val="0"/>
        <w:rPr>
          <w:rFonts w:hint="eastAsia" w:ascii="宋体" w:hAnsi="宋体" w:cs="宋体"/>
          <w:szCs w:val="21"/>
        </w:rPr>
      </w:pPr>
    </w:p>
    <w:p>
      <w:pPr>
        <w:adjustRightInd w:val="0"/>
        <w:snapToGrid w:val="0"/>
        <w:rPr>
          <w:rFonts w:hint="eastAsia" w:ascii="宋体" w:hAnsi="宋体" w:cs="宋体"/>
          <w:b/>
          <w:sz w:val="30"/>
          <w:szCs w:val="30"/>
        </w:rPr>
      </w:pPr>
      <w:r>
        <w:rPr>
          <w:rFonts w:hint="eastAsia" w:ascii="宋体" w:hAnsi="宋体" w:cs="宋体"/>
          <w:b/>
          <w:sz w:val="30"/>
          <w:szCs w:val="30"/>
        </w:rPr>
        <w:br w:type="page"/>
      </w:r>
    </w:p>
    <w:p>
      <w:pPr>
        <w:numPr>
          <w:ilvl w:val="2"/>
          <w:numId w:val="1"/>
        </w:numPr>
        <w:tabs>
          <w:tab w:val="left" w:pos="720"/>
          <w:tab w:val="clear" w:pos="1560"/>
        </w:tabs>
        <w:adjustRightInd w:val="0"/>
        <w:snapToGrid w:val="0"/>
        <w:ind w:hanging="1560"/>
        <w:jc w:val="center"/>
        <w:rPr>
          <w:rFonts w:hint="eastAsia" w:ascii="宋体" w:hAnsi="宋体" w:cs="宋体"/>
          <w:b/>
          <w:sz w:val="30"/>
          <w:szCs w:val="30"/>
        </w:rPr>
      </w:pPr>
      <w:r>
        <w:rPr>
          <w:rFonts w:hint="eastAsia" w:ascii="宋体" w:hAnsi="宋体" w:cs="宋体"/>
          <w:b/>
          <w:sz w:val="30"/>
          <w:szCs w:val="30"/>
        </w:rPr>
        <w:t>总则</w:t>
      </w:r>
    </w:p>
    <w:p>
      <w:pPr>
        <w:spacing w:line="360" w:lineRule="auto"/>
        <w:ind w:left="600" w:hanging="600"/>
        <w:rPr>
          <w:rFonts w:hint="eastAsia" w:ascii="宋体" w:hAnsi="宋体"/>
          <w:b/>
          <w:sz w:val="30"/>
          <w:szCs w:val="30"/>
        </w:rPr>
      </w:pPr>
      <w:r>
        <w:rPr>
          <w:rFonts w:hint="eastAsia" w:ascii="宋体" w:hAnsi="宋体"/>
          <w:b/>
          <w:sz w:val="30"/>
          <w:szCs w:val="30"/>
        </w:rPr>
        <w:t>一、总</w:t>
      </w:r>
      <w:r>
        <w:rPr>
          <w:rFonts w:ascii="宋体" w:hAnsi="宋体"/>
          <w:b/>
          <w:sz w:val="30"/>
          <w:szCs w:val="30"/>
        </w:rPr>
        <w:t xml:space="preserve">  </w:t>
      </w:r>
      <w:r>
        <w:rPr>
          <w:rFonts w:hint="eastAsia" w:ascii="宋体" w:hAnsi="宋体"/>
          <w:b/>
          <w:sz w:val="30"/>
          <w:szCs w:val="30"/>
        </w:rPr>
        <w:t>则</w:t>
      </w:r>
    </w:p>
    <w:p>
      <w:pPr>
        <w:spacing w:before="156" w:beforeLines="50" w:after="156" w:afterLines="50" w:line="360" w:lineRule="auto"/>
        <w:ind w:left="601" w:hanging="601"/>
        <w:rPr>
          <w:rFonts w:hint="eastAsia" w:ascii="宋体" w:hAnsi="宋体"/>
          <w:b/>
          <w:sz w:val="28"/>
        </w:rPr>
      </w:pPr>
      <w:r>
        <w:rPr>
          <w:rFonts w:ascii="宋体" w:hAnsi="宋体"/>
          <w:b/>
          <w:sz w:val="28"/>
        </w:rPr>
        <w:t>1</w:t>
      </w:r>
      <w:r>
        <w:rPr>
          <w:rFonts w:hint="eastAsia" w:ascii="宋体" w:hAnsi="宋体"/>
          <w:b/>
          <w:sz w:val="28"/>
        </w:rPr>
        <w:t>、工作条件</w:t>
      </w:r>
    </w:p>
    <w:p>
      <w:pPr>
        <w:adjustRightInd w:val="0"/>
        <w:snapToGrid w:val="0"/>
        <w:spacing w:line="360" w:lineRule="auto"/>
        <w:ind w:left="554" w:hanging="554" w:hangingChars="231"/>
        <w:rPr>
          <w:rFonts w:hint="eastAsia" w:ascii="宋体" w:hAnsi="宋体"/>
          <w:sz w:val="24"/>
        </w:rPr>
      </w:pPr>
      <w:r>
        <w:rPr>
          <w:rFonts w:hint="eastAsia" w:ascii="宋体" w:hAnsi="宋体"/>
          <w:sz w:val="24"/>
        </w:rPr>
        <w:t xml:space="preserve">除非在技术规格中另有说明，所有仪器、设备和系统都应符合下列要求： </w:t>
      </w:r>
    </w:p>
    <w:p>
      <w:pPr>
        <w:adjustRightInd w:val="0"/>
        <w:snapToGrid w:val="0"/>
        <w:spacing w:line="360" w:lineRule="auto"/>
        <w:ind w:left="554" w:hanging="554" w:hangingChars="231"/>
        <w:rPr>
          <w:rFonts w:hint="eastAsia" w:ascii="宋体" w:hAnsi="宋体"/>
          <w:sz w:val="24"/>
        </w:rPr>
      </w:pPr>
      <w:r>
        <w:rPr>
          <w:rFonts w:hint="eastAsia" w:ascii="宋体" w:hAnsi="宋体"/>
          <w:sz w:val="24"/>
        </w:rPr>
        <w:t>1.1  适于在气温为摄氏-40℃～＋50℃和相对湿度为90％的环境条件下运输和贮存。</w:t>
      </w:r>
    </w:p>
    <w:p>
      <w:pPr>
        <w:adjustRightInd w:val="0"/>
        <w:snapToGrid w:val="0"/>
        <w:spacing w:line="360" w:lineRule="auto"/>
        <w:ind w:left="554" w:hanging="554" w:hangingChars="231"/>
        <w:rPr>
          <w:rFonts w:ascii="宋体" w:hAnsi="宋体"/>
          <w:sz w:val="24"/>
        </w:rPr>
      </w:pPr>
      <w:r>
        <w:rPr>
          <w:rFonts w:ascii="宋体" w:hAnsi="宋体"/>
          <w:sz w:val="24"/>
        </w:rPr>
        <w:t xml:space="preserve">1.2  </w:t>
      </w:r>
      <w:r>
        <w:rPr>
          <w:rFonts w:hint="eastAsia" w:ascii="宋体" w:hAnsi="宋体"/>
          <w:sz w:val="24"/>
        </w:rPr>
        <w:t>适于在电源</w:t>
      </w:r>
      <w:r>
        <w:rPr>
          <w:rFonts w:ascii="宋体" w:hAnsi="宋体"/>
          <w:sz w:val="24"/>
        </w:rPr>
        <w:t>220V</w:t>
      </w:r>
      <w:r>
        <w:rPr>
          <w:rFonts w:hint="eastAsia" w:ascii="宋体" w:hAnsi="宋体"/>
          <w:sz w:val="24"/>
        </w:rPr>
        <w:t>（</w:t>
      </w:r>
      <w:r>
        <w:rPr>
          <w:rFonts w:ascii="宋体" w:hAnsi="宋体"/>
          <w:sz w:val="24"/>
        </w:rPr>
        <w:t>10</w:t>
      </w:r>
      <w:r>
        <w:rPr>
          <w:rFonts w:hint="eastAsia" w:ascii="宋体" w:hAnsi="宋体"/>
          <w:sz w:val="24"/>
        </w:rPr>
        <w:t>％）</w:t>
      </w:r>
      <w:r>
        <w:rPr>
          <w:rFonts w:ascii="宋体" w:hAnsi="宋体"/>
          <w:sz w:val="24"/>
        </w:rPr>
        <w:t>/50Hz</w:t>
      </w:r>
      <w:r>
        <w:rPr>
          <w:rFonts w:hint="eastAsia" w:ascii="宋体" w:hAnsi="宋体"/>
          <w:sz w:val="24"/>
        </w:rPr>
        <w:t>、气温摄氏</w:t>
      </w:r>
      <w:r>
        <w:rPr>
          <w:rFonts w:ascii="宋体" w:hAnsi="宋体"/>
          <w:sz w:val="24"/>
        </w:rPr>
        <w:t>+15</w:t>
      </w:r>
      <w:r>
        <w:rPr>
          <w:rFonts w:hint="eastAsia" w:ascii="宋体" w:hAnsi="宋体"/>
          <w:sz w:val="24"/>
        </w:rPr>
        <w:t>℃～＋</w:t>
      </w:r>
      <w:r>
        <w:rPr>
          <w:rFonts w:ascii="宋体" w:hAnsi="宋体"/>
          <w:sz w:val="24"/>
        </w:rPr>
        <w:t>30</w:t>
      </w:r>
      <w:r>
        <w:rPr>
          <w:rFonts w:hint="eastAsia" w:ascii="宋体" w:hAnsi="宋体"/>
          <w:sz w:val="24"/>
        </w:rPr>
        <w:t>℃和相对湿度小于</w:t>
      </w:r>
      <w:r>
        <w:rPr>
          <w:rFonts w:ascii="宋体" w:hAnsi="宋体"/>
          <w:sz w:val="24"/>
        </w:rPr>
        <w:t>80</w:t>
      </w:r>
      <w:r>
        <w:rPr>
          <w:rFonts w:hint="eastAsia" w:ascii="宋体" w:hAnsi="宋体"/>
          <w:sz w:val="24"/>
        </w:rPr>
        <w:t>％的环境条件下运行。能够连续正常工作。</w:t>
      </w:r>
    </w:p>
    <w:p>
      <w:pPr>
        <w:adjustRightInd w:val="0"/>
        <w:snapToGrid w:val="0"/>
        <w:spacing w:line="360" w:lineRule="auto"/>
        <w:ind w:left="554" w:hanging="554" w:hangingChars="231"/>
        <w:rPr>
          <w:rFonts w:hint="eastAsia" w:ascii="宋体" w:hAnsi="宋体"/>
          <w:sz w:val="24"/>
        </w:rPr>
      </w:pPr>
      <w:r>
        <w:rPr>
          <w:rFonts w:hint="eastAsia" w:ascii="宋体" w:hAnsi="宋体"/>
          <w:sz w:val="24"/>
        </w:rPr>
        <w:t>1.3  配置符合中国有关标准要求的插头，如果没有这样的插头，则需提供适当的转换插座。</w:t>
      </w:r>
    </w:p>
    <w:p>
      <w:pPr>
        <w:adjustRightInd w:val="0"/>
        <w:snapToGrid w:val="0"/>
        <w:spacing w:line="360" w:lineRule="auto"/>
        <w:ind w:left="554" w:hanging="554" w:hangingChars="231"/>
        <w:rPr>
          <w:rFonts w:hint="eastAsia" w:ascii="宋体" w:hAnsi="宋体"/>
          <w:sz w:val="24"/>
        </w:rPr>
      </w:pPr>
      <w:r>
        <w:rPr>
          <w:rFonts w:hint="eastAsia" w:ascii="宋体" w:hAnsi="宋体"/>
          <w:sz w:val="24"/>
        </w:rPr>
        <w:t>1.4  如产品达不到上述要求，投标人应注明其偏差。如仪器设备需要特殊工作条件（如水、电源、磁场强度、温度、湿度、动强度等）投标人应在投标书中加以说明。</w:t>
      </w:r>
    </w:p>
    <w:p>
      <w:pPr>
        <w:spacing w:before="156" w:beforeLines="50" w:after="156" w:afterLines="50" w:line="360" w:lineRule="auto"/>
        <w:ind w:left="601" w:hanging="601"/>
        <w:rPr>
          <w:rFonts w:hint="eastAsia" w:ascii="宋体" w:hAnsi="宋体"/>
          <w:b/>
          <w:sz w:val="28"/>
        </w:rPr>
      </w:pPr>
      <w:r>
        <w:rPr>
          <w:rFonts w:ascii="宋体" w:hAnsi="宋体"/>
          <w:b/>
          <w:sz w:val="28"/>
        </w:rPr>
        <w:t>2</w:t>
      </w:r>
      <w:r>
        <w:rPr>
          <w:rFonts w:hint="eastAsia" w:ascii="宋体" w:hAnsi="宋体"/>
          <w:b/>
          <w:sz w:val="28"/>
        </w:rPr>
        <w:t>、验收标准</w:t>
      </w:r>
    </w:p>
    <w:p>
      <w:pPr>
        <w:spacing w:after="156" w:afterLines="50"/>
        <w:ind w:left="601" w:hanging="601"/>
        <w:rPr>
          <w:rFonts w:hint="eastAsia" w:ascii="宋体" w:hAnsi="宋体"/>
          <w:sz w:val="24"/>
        </w:rPr>
      </w:pPr>
      <w:r>
        <w:rPr>
          <w:rFonts w:hint="eastAsia" w:ascii="宋体" w:hAnsi="宋体"/>
          <w:sz w:val="24"/>
        </w:rPr>
        <w:t xml:space="preserve">除非在技术规格中另有说明，所有仪器、设备和系统按下列要求进行验收： </w:t>
      </w:r>
    </w:p>
    <w:p>
      <w:pPr>
        <w:spacing w:after="156" w:afterLines="50"/>
        <w:ind w:left="601" w:hanging="601"/>
        <w:rPr>
          <w:rFonts w:hint="eastAsia" w:ascii="宋体" w:hAnsi="宋体"/>
          <w:sz w:val="24"/>
        </w:rPr>
      </w:pPr>
      <w:r>
        <w:rPr>
          <w:rFonts w:hint="eastAsia" w:ascii="宋体" w:hAnsi="宋体"/>
          <w:sz w:val="24"/>
        </w:rPr>
        <w:t>2.1  仪器设备运抵安装现场后，买方将与卖方共同开箱验收, 如卖方届时不派人来, 则验收结果应以买方的验收报告为最终验收结果。验收时发现短缺、破损, 买方有权要求卖方负责更换。</w:t>
      </w:r>
    </w:p>
    <w:p>
      <w:pPr>
        <w:spacing w:after="156" w:afterLines="50"/>
        <w:ind w:left="601" w:hanging="601"/>
        <w:rPr>
          <w:rFonts w:hint="eastAsia" w:ascii="宋体" w:hAnsi="宋体"/>
          <w:sz w:val="24"/>
        </w:rPr>
      </w:pPr>
      <w:r>
        <w:rPr>
          <w:rFonts w:hint="eastAsia" w:ascii="宋体" w:hAnsi="宋体"/>
          <w:sz w:val="24"/>
        </w:rPr>
        <w:t>2.2  验收标准以中标人提供的投标文件中所列的指标为准（该指标应不低于招标文件所要求的指标）。任何虚假指标响应一经发现即作废标，卖方必须承担由此给买方带来的一切经济损失和其它相关责任。</w:t>
      </w:r>
    </w:p>
    <w:p>
      <w:pPr>
        <w:spacing w:after="156" w:afterLines="50"/>
        <w:ind w:left="601" w:hanging="601"/>
        <w:rPr>
          <w:rFonts w:hint="eastAsia" w:ascii="宋体" w:hAnsi="宋体"/>
          <w:sz w:val="24"/>
        </w:rPr>
      </w:pPr>
      <w:r>
        <w:rPr>
          <w:rFonts w:hint="eastAsia" w:ascii="宋体" w:hAnsi="宋体"/>
          <w:sz w:val="24"/>
        </w:rPr>
        <w:t>2.3  验收由采购人、中标人及相关人员依国家有关标准、合同及有关附件要求进行，验收完毕由采购人及中标人在验收报告上签名。</w:t>
      </w:r>
    </w:p>
    <w:p>
      <w:pPr>
        <w:spacing w:after="156" w:afterLines="50"/>
        <w:ind w:left="601" w:hanging="601"/>
        <w:rPr>
          <w:rFonts w:ascii="宋体" w:hAnsi="宋体"/>
          <w:sz w:val="24"/>
        </w:rPr>
      </w:pPr>
    </w:p>
    <w:p>
      <w:pPr>
        <w:spacing w:after="156" w:afterLines="50"/>
        <w:ind w:left="601" w:hanging="601"/>
        <w:rPr>
          <w:rFonts w:hint="eastAsia" w:ascii="宋体" w:hAnsi="宋体"/>
          <w:b/>
          <w:sz w:val="24"/>
        </w:rPr>
      </w:pPr>
      <w:r>
        <w:rPr>
          <w:rFonts w:hint="eastAsia" w:ascii="宋体" w:hAnsi="宋体"/>
          <w:b/>
          <w:sz w:val="24"/>
        </w:rPr>
        <w:t>3、本技术规格书中标注“*”号的为实质性要求，不满足其投标将被拒绝。</w:t>
      </w:r>
    </w:p>
    <w:p>
      <w:pPr>
        <w:spacing w:after="156" w:afterLines="50"/>
        <w:ind w:left="601" w:hanging="601"/>
        <w:rPr>
          <w:rFonts w:ascii="宋体" w:hAnsi="宋体"/>
          <w:b/>
          <w:sz w:val="24"/>
        </w:rPr>
      </w:pPr>
    </w:p>
    <w:p>
      <w:pPr>
        <w:pStyle w:val="3"/>
        <w:spacing w:line="360" w:lineRule="auto"/>
        <w:rPr>
          <w:rFonts w:hint="eastAsia" w:hAnsi="宋体" w:cs="宋体"/>
          <w:b/>
          <w:sz w:val="24"/>
          <w:szCs w:val="24"/>
        </w:rPr>
      </w:pPr>
      <w:r>
        <w:rPr>
          <w:rFonts w:hint="eastAsia" w:hAnsi="宋体"/>
          <w:b/>
          <w:sz w:val="24"/>
        </w:rPr>
        <w:t>4、如在具体技术规格中有本总则不一致之处，以具体技术规格中的要求为准</w:t>
      </w:r>
    </w:p>
    <w:p>
      <w:pPr>
        <w:spacing w:after="156" w:afterLines="50" w:line="360" w:lineRule="auto"/>
        <w:ind w:left="601" w:hanging="601"/>
        <w:rPr>
          <w:rFonts w:hint="eastAsia" w:ascii="宋体" w:hAnsi="宋体" w:cs="宋体"/>
          <w:b/>
          <w:sz w:val="28"/>
        </w:rPr>
      </w:pPr>
      <w:r>
        <w:rPr>
          <w:rFonts w:hint="eastAsia" w:ascii="宋体" w:hAnsi="宋体" w:cs="宋体"/>
          <w:b/>
          <w:sz w:val="28"/>
        </w:rPr>
        <w:br w:type="page"/>
      </w:r>
      <w:r>
        <w:rPr>
          <w:rFonts w:hint="eastAsia" w:ascii="宋体" w:hAnsi="宋体" w:cs="宋体"/>
          <w:b/>
          <w:sz w:val="28"/>
        </w:rPr>
        <w:t>三、具体技术规格</w:t>
      </w:r>
    </w:p>
    <w:p>
      <w:pPr>
        <w:pStyle w:val="2"/>
        <w:spacing w:before="160" w:line="360" w:lineRule="auto"/>
        <w:rPr>
          <w:b w:val="0"/>
          <w:sz w:val="30"/>
          <w:szCs w:val="30"/>
        </w:rPr>
      </w:pPr>
      <w:r>
        <w:rPr>
          <w:rFonts w:hint="eastAsia"/>
          <w:sz w:val="30"/>
          <w:szCs w:val="30"/>
        </w:rPr>
        <w:t>电感耦合等离子体质谱</w:t>
      </w:r>
      <w:r>
        <w:rPr>
          <w:sz w:val="30"/>
          <w:szCs w:val="30"/>
        </w:rPr>
        <w:t>仪</w:t>
      </w:r>
      <w:r>
        <w:rPr>
          <w:rFonts w:hint="eastAsia"/>
          <w:sz w:val="30"/>
          <w:szCs w:val="30"/>
        </w:rPr>
        <w:t>技术参数</w:t>
      </w:r>
    </w:p>
    <w:p>
      <w:pPr>
        <w:numPr>
          <w:ilvl w:val="0"/>
          <w:numId w:val="2"/>
        </w:numPr>
        <w:spacing w:line="360" w:lineRule="auto"/>
        <w:outlineLvl w:val="1"/>
        <w:rPr>
          <w:rFonts w:hint="eastAsia" w:ascii="宋体" w:hAnsi="宋体" w:cs="宋体"/>
          <w:color w:val="000000"/>
          <w:sz w:val="24"/>
        </w:rPr>
      </w:pPr>
      <w:r>
        <w:rPr>
          <w:rFonts w:hint="eastAsia" w:ascii="宋体" w:hAnsi="宋体" w:cs="宋体"/>
          <w:color w:val="000000"/>
          <w:sz w:val="24"/>
        </w:rPr>
        <w:t>应用范围：本仪器要求能适用于</w:t>
      </w:r>
      <w:r>
        <w:rPr>
          <w:rFonts w:hint="eastAsia" w:ascii="宋体" w:hAnsi="宋体" w:cs="宋体"/>
          <w:sz w:val="24"/>
        </w:rPr>
        <w:t>多元素痕量分析</w:t>
      </w:r>
      <w:r>
        <w:rPr>
          <w:rFonts w:hint="eastAsia" w:ascii="宋体" w:hAnsi="宋体" w:cs="宋体"/>
          <w:color w:val="000000"/>
          <w:sz w:val="24"/>
        </w:rPr>
        <w:t>，满足环保、食品、地质、生物样品分析等等。</w:t>
      </w:r>
    </w:p>
    <w:p>
      <w:pPr>
        <w:numPr>
          <w:ilvl w:val="0"/>
          <w:numId w:val="2"/>
        </w:numPr>
        <w:spacing w:line="360" w:lineRule="auto"/>
        <w:outlineLvl w:val="1"/>
        <w:rPr>
          <w:rFonts w:hint="eastAsia" w:ascii="宋体" w:hAnsi="宋体" w:cs="宋体"/>
          <w:color w:val="000000"/>
          <w:sz w:val="24"/>
        </w:rPr>
      </w:pPr>
      <w:r>
        <w:rPr>
          <w:rFonts w:hint="eastAsia" w:ascii="宋体" w:hAnsi="宋体" w:cs="宋体"/>
          <w:color w:val="000000"/>
          <w:sz w:val="24"/>
        </w:rPr>
        <w:t>仪器工作环境</w:t>
      </w:r>
    </w:p>
    <w:p>
      <w:pPr>
        <w:spacing w:line="360" w:lineRule="auto"/>
        <w:outlineLvl w:val="2"/>
        <w:rPr>
          <w:rFonts w:hint="eastAsia" w:ascii="宋体" w:hAnsi="宋体" w:cs="宋体"/>
          <w:color w:val="000000"/>
          <w:sz w:val="24"/>
        </w:rPr>
      </w:pPr>
      <w:r>
        <w:rPr>
          <w:rFonts w:hint="eastAsia" w:ascii="宋体" w:hAnsi="宋体" w:cs="宋体"/>
          <w:color w:val="000000"/>
          <w:sz w:val="24"/>
        </w:rPr>
        <w:t>2.1 工作环境温度： 15-30℃.</w:t>
      </w:r>
    </w:p>
    <w:p>
      <w:pPr>
        <w:spacing w:line="360" w:lineRule="auto"/>
        <w:outlineLvl w:val="2"/>
        <w:rPr>
          <w:rFonts w:hint="eastAsia" w:ascii="宋体" w:hAnsi="宋体" w:cs="宋体"/>
          <w:sz w:val="24"/>
        </w:rPr>
      </w:pPr>
      <w:r>
        <w:rPr>
          <w:rFonts w:hint="eastAsia" w:ascii="宋体" w:hAnsi="宋体" w:cs="宋体"/>
          <w:color w:val="000000"/>
          <w:sz w:val="24"/>
        </w:rPr>
        <w:t xml:space="preserve">2.2 工作环境湿度： </w:t>
      </w:r>
      <w:r>
        <w:rPr>
          <w:rFonts w:hint="eastAsia" w:ascii="宋体" w:hAnsi="宋体" w:cs="宋体"/>
          <w:sz w:val="24"/>
        </w:rPr>
        <w:t>(20~80)% R.H.</w:t>
      </w:r>
    </w:p>
    <w:p>
      <w:pPr>
        <w:spacing w:line="360" w:lineRule="auto"/>
        <w:outlineLvl w:val="1"/>
        <w:rPr>
          <w:rFonts w:hint="eastAsia" w:ascii="宋体" w:hAnsi="宋体" w:cs="宋体"/>
          <w:color w:val="000000"/>
          <w:sz w:val="24"/>
        </w:rPr>
      </w:pPr>
      <w:r>
        <w:rPr>
          <w:rFonts w:hint="eastAsia" w:ascii="宋体" w:hAnsi="宋体" w:cs="宋体"/>
          <w:color w:val="000000"/>
          <w:sz w:val="24"/>
        </w:rPr>
        <w:t>3. 技术要求</w:t>
      </w:r>
    </w:p>
    <w:p>
      <w:pPr>
        <w:spacing w:line="360" w:lineRule="auto"/>
        <w:outlineLvl w:val="2"/>
        <w:rPr>
          <w:rFonts w:hint="eastAsia" w:ascii="宋体" w:hAnsi="宋体" w:cs="宋体"/>
          <w:bCs/>
          <w:color w:val="000000"/>
          <w:sz w:val="24"/>
        </w:rPr>
      </w:pPr>
      <w:r>
        <w:rPr>
          <w:rFonts w:hint="eastAsia" w:ascii="宋体" w:hAnsi="宋体" w:cs="宋体"/>
          <w:bCs/>
          <w:color w:val="000000"/>
          <w:sz w:val="24"/>
        </w:rPr>
        <w:t>3.1 进样系统</w:t>
      </w:r>
    </w:p>
    <w:p>
      <w:pPr>
        <w:adjustRightInd w:val="0"/>
        <w:snapToGrid w:val="0"/>
        <w:spacing w:line="360" w:lineRule="auto"/>
        <w:outlineLvl w:val="3"/>
        <w:rPr>
          <w:rFonts w:hint="eastAsia" w:ascii="宋体" w:hAnsi="宋体" w:cs="宋体"/>
          <w:bCs/>
          <w:color w:val="000000"/>
          <w:sz w:val="24"/>
        </w:rPr>
      </w:pPr>
      <w:r>
        <w:rPr>
          <w:rFonts w:hint="eastAsia" w:ascii="宋体" w:hAnsi="宋体" w:cs="宋体"/>
          <w:color w:val="000000"/>
          <w:sz w:val="24"/>
        </w:rPr>
        <w:t>* 3.1.1</w:t>
      </w:r>
      <w:r>
        <w:rPr>
          <w:rFonts w:hint="eastAsia" w:ascii="宋体" w:hAnsi="宋体" w:cs="宋体"/>
          <w:bCs/>
          <w:color w:val="000000"/>
          <w:sz w:val="24"/>
        </w:rPr>
        <w:t>蠕动泵和雾化器：最高转速</w:t>
      </w:r>
      <w:r>
        <w:rPr>
          <w:rFonts w:hint="eastAsia" w:ascii="宋体" w:hAnsi="宋体" w:cs="宋体"/>
          <w:sz w:val="24"/>
        </w:rPr>
        <w:t>≥</w:t>
      </w:r>
      <w:r>
        <w:rPr>
          <w:rFonts w:hint="eastAsia" w:ascii="宋体" w:hAnsi="宋体" w:cs="宋体"/>
          <w:bCs/>
          <w:color w:val="000000"/>
          <w:sz w:val="24"/>
        </w:rPr>
        <w:t>80rpm的四通道蠕动泵系统；泵体应采用惰性材质制造，防止酸腐蚀。</w:t>
      </w:r>
      <w:bookmarkStart w:id="0" w:name="OLE_LINK7"/>
      <w:bookmarkStart w:id="1" w:name="OLE_LINK8"/>
      <w:r>
        <w:rPr>
          <w:rFonts w:hint="eastAsia" w:ascii="宋体" w:hAnsi="宋体" w:cs="宋体"/>
          <w:color w:val="000000"/>
          <w:sz w:val="24"/>
        </w:rPr>
        <w:t>具备高雾化效率和耐高盐性能的同心雾化器。</w:t>
      </w:r>
      <w:bookmarkEnd w:id="0"/>
      <w:bookmarkEnd w:id="1"/>
    </w:p>
    <w:p>
      <w:pPr>
        <w:adjustRightInd w:val="0"/>
        <w:snapToGrid w:val="0"/>
        <w:spacing w:line="360" w:lineRule="auto"/>
        <w:outlineLvl w:val="3"/>
        <w:rPr>
          <w:rFonts w:hint="eastAsia" w:ascii="宋体" w:hAnsi="宋体" w:cs="宋体"/>
          <w:color w:val="000000"/>
          <w:sz w:val="24"/>
        </w:rPr>
      </w:pPr>
      <w:r>
        <w:rPr>
          <w:rFonts w:hint="eastAsia" w:ascii="宋体" w:hAnsi="宋体" w:cs="宋体"/>
          <w:color w:val="000000"/>
          <w:sz w:val="24"/>
        </w:rPr>
        <w:t>3.1.2中心管：可拆卸式中心管设计，方便针对不同样品类型选择并更换合适尺寸的中心管。</w:t>
      </w:r>
    </w:p>
    <w:p>
      <w:pPr>
        <w:adjustRightInd w:val="0"/>
        <w:snapToGrid w:val="0"/>
        <w:spacing w:line="360" w:lineRule="auto"/>
        <w:outlineLvl w:val="3"/>
        <w:rPr>
          <w:rFonts w:hint="eastAsia" w:ascii="宋体" w:hAnsi="宋体" w:cs="宋体"/>
          <w:color w:val="000000"/>
          <w:sz w:val="24"/>
        </w:rPr>
      </w:pPr>
      <w:r>
        <w:rPr>
          <w:rFonts w:hint="eastAsia" w:ascii="宋体" w:hAnsi="宋体" w:cs="宋体"/>
          <w:color w:val="000000"/>
          <w:sz w:val="24"/>
        </w:rPr>
        <w:t>3.1.3等离子体炬位调整：由计算机控制步进电机进行三维(X，Y，Z方向)位置控制，步长调节精度≤0.05mm。</w:t>
      </w:r>
    </w:p>
    <w:p>
      <w:pPr>
        <w:adjustRightInd w:val="0"/>
        <w:snapToGrid w:val="0"/>
        <w:spacing w:line="360" w:lineRule="auto"/>
        <w:outlineLvl w:val="2"/>
        <w:rPr>
          <w:rFonts w:hint="eastAsia" w:ascii="宋体" w:hAnsi="宋体" w:cs="宋体"/>
          <w:color w:val="000000"/>
          <w:sz w:val="24"/>
        </w:rPr>
      </w:pPr>
      <w:r>
        <w:rPr>
          <w:rFonts w:hint="eastAsia" w:ascii="宋体" w:hAnsi="宋体" w:cs="宋体"/>
          <w:bCs/>
          <w:color w:val="000000"/>
          <w:sz w:val="24"/>
        </w:rPr>
        <w:t>3.2 射频发生系统</w:t>
      </w:r>
    </w:p>
    <w:p>
      <w:pPr>
        <w:adjustRightInd w:val="0"/>
        <w:snapToGrid w:val="0"/>
        <w:spacing w:line="360" w:lineRule="auto"/>
        <w:outlineLvl w:val="3"/>
        <w:rPr>
          <w:rFonts w:hint="eastAsia" w:ascii="宋体" w:hAnsi="宋体" w:cs="宋体"/>
          <w:color w:val="000000"/>
          <w:sz w:val="24"/>
        </w:rPr>
      </w:pPr>
      <w:r>
        <w:rPr>
          <w:rFonts w:hint="eastAsia" w:ascii="宋体" w:hAnsi="宋体" w:cs="宋体"/>
          <w:color w:val="000000"/>
          <w:sz w:val="24"/>
        </w:rPr>
        <w:t># 3.2.1离子源：为获得更高的等离子体中心通道温度提高样品的离子化效率，仪器应采用27.12MHz工作频率驱动的自激式全固态RF发生器；功率在600-1600W范围内连续可调，调节精度≤0.5W。</w:t>
      </w:r>
    </w:p>
    <w:p>
      <w:pPr>
        <w:adjustRightInd w:val="0"/>
        <w:snapToGrid w:val="0"/>
        <w:spacing w:line="360" w:lineRule="auto"/>
        <w:outlineLvl w:val="3"/>
        <w:rPr>
          <w:rFonts w:hint="eastAsia" w:ascii="宋体" w:hAnsi="宋体" w:cs="宋体"/>
          <w:color w:val="000000"/>
          <w:sz w:val="24"/>
        </w:rPr>
      </w:pPr>
      <w:r>
        <w:rPr>
          <w:rFonts w:hint="eastAsia" w:ascii="宋体" w:hAnsi="宋体" w:cs="宋体"/>
          <w:color w:val="000000"/>
          <w:sz w:val="24"/>
        </w:rPr>
        <w:t>3.2.2在一次样品分析中能自动切换冷焰模式和标准模式，保证样品中所有分析元素（在两种不同模式中）一次进样完成分析。</w:t>
      </w:r>
    </w:p>
    <w:p>
      <w:pPr>
        <w:adjustRightInd w:val="0"/>
        <w:snapToGrid w:val="0"/>
        <w:spacing w:line="360" w:lineRule="auto"/>
        <w:outlineLvl w:val="3"/>
        <w:rPr>
          <w:rFonts w:hint="eastAsia" w:ascii="宋体" w:hAnsi="宋体" w:cs="宋体"/>
          <w:color w:val="FF0000"/>
          <w:sz w:val="24"/>
        </w:rPr>
      </w:pPr>
      <w:r>
        <w:rPr>
          <w:rFonts w:hint="eastAsia" w:ascii="宋体" w:hAnsi="宋体" w:cs="宋体"/>
          <w:color w:val="000000"/>
          <w:sz w:val="24"/>
        </w:rPr>
        <w:t>3.2.3具有工作线圈和接口的二次放电消除功能，采用无需屏蔽炬设计的虚拟接地技术，保证仪器最佳性能的同时减少不必要的消耗品。</w:t>
      </w:r>
    </w:p>
    <w:p>
      <w:pPr>
        <w:adjustRightInd w:val="0"/>
        <w:snapToGrid w:val="0"/>
        <w:spacing w:line="360" w:lineRule="auto"/>
        <w:outlineLvl w:val="2"/>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bCs/>
          <w:color w:val="000000"/>
          <w:sz w:val="24"/>
        </w:rPr>
        <w:t>3.3 接口部分</w:t>
      </w:r>
      <w:r>
        <w:rPr>
          <w:rFonts w:hint="eastAsia" w:ascii="宋体" w:hAnsi="宋体" w:cs="宋体"/>
          <w:color w:val="000000"/>
          <w:sz w:val="24"/>
        </w:rPr>
        <w:t>：接口部分的设计应兼顾保护分析腔真空度和耐盐两个方面，采样锥口径0.9-1.2mm，截取锥口径0.5-0.7mm；同时配有接口耐盐设计。</w:t>
      </w:r>
    </w:p>
    <w:p>
      <w:pPr>
        <w:adjustRightInd w:val="0"/>
        <w:snapToGrid w:val="0"/>
        <w:spacing w:line="360" w:lineRule="auto"/>
        <w:outlineLvl w:val="2"/>
        <w:rPr>
          <w:rFonts w:hint="eastAsia" w:ascii="宋体" w:hAnsi="宋体" w:cs="宋体"/>
          <w:color w:val="000000"/>
          <w:sz w:val="24"/>
        </w:rPr>
      </w:pPr>
      <w:r>
        <w:rPr>
          <w:rFonts w:hint="eastAsia" w:ascii="宋体" w:hAnsi="宋体" w:cs="宋体"/>
          <w:bCs/>
          <w:color w:val="000000"/>
          <w:sz w:val="24"/>
        </w:rPr>
        <w:t>3.4</w:t>
      </w:r>
      <w:r>
        <w:rPr>
          <w:rFonts w:hint="eastAsia" w:ascii="宋体" w:hAnsi="宋体" w:cs="宋体"/>
          <w:color w:val="000000"/>
          <w:sz w:val="24"/>
        </w:rPr>
        <w:t>离子偏转聚焦系统</w:t>
      </w:r>
    </w:p>
    <w:p>
      <w:pPr>
        <w:pStyle w:val="4"/>
        <w:adjustRightInd w:val="0"/>
        <w:snapToGrid w:val="0"/>
        <w:spacing w:line="360" w:lineRule="auto"/>
        <w:outlineLvl w:val="3"/>
        <w:rPr>
          <w:rFonts w:hint="eastAsia" w:ascii="宋体" w:hAnsi="宋体" w:cs="宋体"/>
          <w:sz w:val="24"/>
          <w:szCs w:val="24"/>
        </w:rPr>
      </w:pPr>
      <w:bookmarkStart w:id="2" w:name="OLE_LINK9"/>
      <w:bookmarkStart w:id="3" w:name="OLE_LINK10"/>
      <w:r>
        <w:rPr>
          <w:rFonts w:hint="eastAsia" w:ascii="宋体" w:hAnsi="宋体" w:cs="宋体"/>
          <w:bCs/>
          <w:color w:val="000000"/>
          <w:sz w:val="24"/>
          <w:szCs w:val="24"/>
        </w:rPr>
        <w:t>3.4</w:t>
      </w:r>
      <w:r>
        <w:rPr>
          <w:rFonts w:hint="eastAsia" w:ascii="宋体" w:hAnsi="宋体" w:cs="宋体"/>
          <w:color w:val="000000"/>
          <w:sz w:val="24"/>
          <w:szCs w:val="24"/>
        </w:rPr>
        <w:t>.1</w:t>
      </w:r>
      <w:bookmarkEnd w:id="2"/>
      <w:bookmarkEnd w:id="3"/>
      <w:r>
        <w:rPr>
          <w:rFonts w:hint="eastAsia" w:ascii="宋体" w:hAnsi="宋体" w:cs="宋体"/>
          <w:color w:val="000000"/>
          <w:sz w:val="24"/>
          <w:szCs w:val="24"/>
        </w:rPr>
        <w:t>仪器应在接口后部配置一套正交离子偏转聚焦系统。通过电场作用</w:t>
      </w:r>
      <w:r>
        <w:rPr>
          <w:rFonts w:hint="eastAsia" w:ascii="宋体" w:hAnsi="宋体" w:cs="宋体"/>
          <w:sz w:val="24"/>
          <w:szCs w:val="24"/>
        </w:rPr>
        <w:t>使样品离子产生90°偏转并与未解离的中性粒子和光子实现完全分离，以降低仪器背景噪音。</w:t>
      </w:r>
    </w:p>
    <w:p>
      <w:pPr>
        <w:pStyle w:val="4"/>
        <w:adjustRightInd w:val="0"/>
        <w:snapToGrid w:val="0"/>
        <w:spacing w:line="360" w:lineRule="auto"/>
        <w:ind w:left="1"/>
        <w:outlineLvl w:val="3"/>
        <w:rPr>
          <w:rFonts w:hint="eastAsia" w:ascii="宋体" w:hAnsi="宋体" w:cs="宋体"/>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4"/>
        </w:rPr>
        <w:t>3.4</w:t>
      </w:r>
      <w:r>
        <w:rPr>
          <w:rFonts w:hint="eastAsia" w:ascii="宋体" w:hAnsi="宋体" w:cs="宋体"/>
          <w:color w:val="000000"/>
          <w:sz w:val="24"/>
          <w:szCs w:val="24"/>
        </w:rPr>
        <w:t>.2该偏转聚焦系统应具备抑制离子束展宽的功能。可在系统内形成空间三维电场分布，保证样品离子在进行90°偏转的同时实现三维方向的离子束聚焦，抑制空间电荷效应带来的展宽，提高样品离子的传递效率进而保证仪器的灵敏度水平</w:t>
      </w:r>
      <w:r>
        <w:rPr>
          <w:rFonts w:hint="eastAsia" w:ascii="宋体" w:hAnsi="宋体" w:cs="宋体"/>
          <w:sz w:val="24"/>
          <w:szCs w:val="24"/>
        </w:rPr>
        <w:t>。</w:t>
      </w:r>
    </w:p>
    <w:p>
      <w:pPr>
        <w:adjustRightInd w:val="0"/>
        <w:snapToGrid w:val="0"/>
        <w:spacing w:line="360" w:lineRule="auto"/>
        <w:outlineLvl w:val="2"/>
        <w:rPr>
          <w:rFonts w:hint="eastAsia" w:ascii="宋体" w:hAnsi="宋体" w:cs="宋体"/>
          <w:color w:val="000000"/>
          <w:sz w:val="24"/>
        </w:rPr>
      </w:pPr>
      <w:r>
        <w:rPr>
          <w:rFonts w:hint="eastAsia" w:ascii="宋体" w:hAnsi="宋体" w:cs="宋体"/>
          <w:bCs/>
          <w:color w:val="000000"/>
          <w:sz w:val="24"/>
        </w:rPr>
        <w:t>3.5</w:t>
      </w:r>
      <w:r>
        <w:rPr>
          <w:rFonts w:hint="eastAsia" w:ascii="宋体" w:hAnsi="宋体" w:cs="宋体"/>
          <w:color w:val="000000"/>
          <w:sz w:val="24"/>
        </w:rPr>
        <w:t>四极杆碰撞反应池：</w:t>
      </w:r>
    </w:p>
    <w:p>
      <w:pPr>
        <w:spacing w:line="360" w:lineRule="auto"/>
        <w:outlineLvl w:val="2"/>
        <w:rPr>
          <w:rFonts w:hint="eastAsia" w:ascii="宋体" w:hAnsi="宋体" w:cs="宋体"/>
          <w:bCs/>
          <w:color w:val="000000"/>
          <w:sz w:val="24"/>
        </w:rPr>
      </w:pPr>
      <w:r>
        <w:rPr>
          <w:rFonts w:hint="eastAsia" w:ascii="宋体" w:hAnsi="宋体" w:cs="宋体"/>
          <w:color w:val="000000"/>
          <w:sz w:val="24"/>
        </w:rPr>
        <w:t xml:space="preserve"># </w:t>
      </w:r>
      <w:r>
        <w:rPr>
          <w:rFonts w:hint="eastAsia" w:ascii="宋体" w:hAnsi="宋体" w:cs="宋体"/>
          <w:bCs/>
          <w:color w:val="000000"/>
          <w:sz w:val="24"/>
        </w:rPr>
        <w:t>3.5.1</w:t>
      </w:r>
      <w:r>
        <w:rPr>
          <w:rFonts w:hint="eastAsia" w:ascii="宋体" w:hAnsi="宋体" w:cs="宋体"/>
          <w:color w:val="000000"/>
          <w:sz w:val="24"/>
        </w:rPr>
        <w:t xml:space="preserve">具有两套可实现质量筛选功能的四极杆。为了能够在碰撞或反应模式中引入质量筛选功能以实现更有效的多原子离子干扰去除效果，实现对复杂基体样品的准确分析。 </w:t>
      </w:r>
    </w:p>
    <w:p>
      <w:pPr>
        <w:adjustRightInd w:val="0"/>
        <w:snapToGrid w:val="0"/>
        <w:spacing w:line="360" w:lineRule="auto"/>
        <w:outlineLvl w:val="3"/>
        <w:rPr>
          <w:rFonts w:hint="eastAsia" w:ascii="宋体" w:hAnsi="宋体" w:cs="宋体"/>
          <w:sz w:val="24"/>
        </w:rPr>
      </w:pPr>
      <w:r>
        <w:rPr>
          <w:rFonts w:hint="eastAsia" w:ascii="宋体" w:hAnsi="宋体" w:cs="宋体"/>
          <w:color w:val="000000"/>
          <w:sz w:val="24"/>
        </w:rPr>
        <w:t># 3</w:t>
      </w:r>
      <w:r>
        <w:rPr>
          <w:rFonts w:hint="eastAsia" w:ascii="宋体" w:hAnsi="宋体" w:cs="宋体"/>
          <w:bCs/>
          <w:color w:val="000000"/>
          <w:sz w:val="24"/>
        </w:rPr>
        <w:t>.5.2</w:t>
      </w:r>
      <w:r>
        <w:rPr>
          <w:rFonts w:hint="eastAsia" w:ascii="宋体" w:hAnsi="宋体" w:cs="宋体"/>
          <w:sz w:val="24"/>
        </w:rPr>
        <w:t>池体内部应具有一套可实现质量筛选功能的四极杆结构设计。</w:t>
      </w:r>
    </w:p>
    <w:p>
      <w:pPr>
        <w:adjustRightInd w:val="0"/>
        <w:snapToGrid w:val="0"/>
        <w:spacing w:line="360" w:lineRule="auto"/>
        <w:outlineLvl w:val="3"/>
        <w:rPr>
          <w:rFonts w:hint="eastAsia" w:ascii="宋体" w:hAnsi="宋体" w:cs="宋体"/>
          <w:sz w:val="24"/>
        </w:rPr>
      </w:pPr>
      <w:r>
        <w:rPr>
          <w:rFonts w:hint="eastAsia" w:ascii="宋体" w:hAnsi="宋体" w:cs="宋体"/>
          <w:bCs/>
          <w:color w:val="000000"/>
          <w:sz w:val="24"/>
        </w:rPr>
        <w:t>3.5.3</w:t>
      </w:r>
      <w:r>
        <w:rPr>
          <w:rFonts w:hint="eastAsia" w:ascii="宋体" w:hAnsi="宋体" w:cs="宋体"/>
          <w:sz w:val="24"/>
        </w:rPr>
        <w:t>池内可使用标准模式（STD模式）、碰撞模式（KED模式）和反应模式（CCT模式）进行干扰的消除和样品分析。</w:t>
      </w:r>
    </w:p>
    <w:p>
      <w:pPr>
        <w:adjustRightInd w:val="0"/>
        <w:snapToGrid w:val="0"/>
        <w:spacing w:line="360" w:lineRule="auto"/>
        <w:outlineLvl w:val="3"/>
        <w:rPr>
          <w:rFonts w:hint="eastAsia" w:ascii="宋体" w:hAnsi="宋体" w:cs="宋体"/>
          <w:sz w:val="24"/>
        </w:rPr>
      </w:pPr>
      <w:r>
        <w:rPr>
          <w:rFonts w:hint="eastAsia" w:ascii="宋体" w:hAnsi="宋体" w:cs="宋体"/>
          <w:bCs/>
          <w:color w:val="000000"/>
          <w:sz w:val="24"/>
        </w:rPr>
        <w:t>3.5.4</w:t>
      </w:r>
      <w:r>
        <w:rPr>
          <w:rFonts w:hint="eastAsia" w:ascii="宋体" w:hAnsi="宋体" w:cs="宋体"/>
          <w:sz w:val="24"/>
        </w:rPr>
        <w:t>池体应具备碰撞聚焦功能，保证碰撞模式下的高灵敏度分析，并可获得</w:t>
      </w:r>
      <w:r>
        <w:rPr>
          <w:rFonts w:hint="eastAsia" w:ascii="宋体" w:hAnsi="宋体" w:cs="宋体"/>
          <w:sz w:val="24"/>
          <w:vertAlign w:val="superscript"/>
        </w:rPr>
        <w:t>238</w:t>
      </w:r>
      <w:r>
        <w:rPr>
          <w:rFonts w:hint="eastAsia" w:ascii="宋体" w:hAnsi="宋体" w:cs="宋体"/>
          <w:sz w:val="24"/>
        </w:rPr>
        <w:t>U≥1000Mcps/ppm的高灵敏度水平。</w:t>
      </w:r>
    </w:p>
    <w:p>
      <w:pPr>
        <w:adjustRightInd w:val="0"/>
        <w:snapToGrid w:val="0"/>
        <w:spacing w:line="360" w:lineRule="auto"/>
        <w:outlineLvl w:val="2"/>
        <w:rPr>
          <w:rFonts w:hint="eastAsia" w:ascii="宋体" w:hAnsi="宋体" w:cs="宋体"/>
          <w:color w:val="000000"/>
          <w:sz w:val="24"/>
        </w:rPr>
      </w:pPr>
      <w:r>
        <w:rPr>
          <w:rFonts w:hint="eastAsia" w:ascii="宋体" w:hAnsi="宋体" w:cs="宋体"/>
          <w:color w:val="000000"/>
          <w:sz w:val="24"/>
        </w:rPr>
        <w:t>3.6四极杆质量分辨器：</w:t>
      </w:r>
    </w:p>
    <w:p>
      <w:pPr>
        <w:adjustRightInd w:val="0"/>
        <w:snapToGrid w:val="0"/>
        <w:spacing w:line="360" w:lineRule="auto"/>
        <w:outlineLvl w:val="3"/>
        <w:rPr>
          <w:rFonts w:hint="eastAsia" w:ascii="宋体" w:hAnsi="宋体" w:cs="宋体"/>
          <w:color w:val="000000"/>
          <w:sz w:val="24"/>
        </w:rPr>
      </w:pPr>
      <w:r>
        <w:rPr>
          <w:rFonts w:hint="eastAsia" w:ascii="宋体" w:hAnsi="宋体" w:cs="宋体"/>
          <w:color w:val="000000"/>
          <w:sz w:val="24"/>
        </w:rPr>
        <w:t>*3.6.1纯Mo材料的长杆结构设计，提供双曲面电势场保证最佳的质量轴分辨率、丰度灵敏度；采用2.0MHz低频驱动四极杆，以获得更宽的质谱分析范围和更优异的质量轴稳定性。</w:t>
      </w:r>
    </w:p>
    <w:p>
      <w:pPr>
        <w:adjustRightInd w:val="0"/>
        <w:snapToGrid w:val="0"/>
        <w:spacing w:line="360" w:lineRule="auto"/>
        <w:outlineLvl w:val="3"/>
        <w:rPr>
          <w:rFonts w:hint="eastAsia" w:ascii="宋体" w:hAnsi="宋体" w:cs="宋体"/>
          <w:sz w:val="24"/>
        </w:rPr>
      </w:pPr>
      <w:bookmarkStart w:id="4" w:name="OLE_LINK4"/>
      <w:bookmarkStart w:id="5" w:name="OLE_LINK3"/>
      <w:r>
        <w:rPr>
          <w:rFonts w:hint="eastAsia" w:ascii="宋体" w:hAnsi="宋体" w:cs="宋体"/>
          <w:color w:val="000000"/>
          <w:sz w:val="24"/>
        </w:rPr>
        <w:t>3.6.2</w:t>
      </w:r>
      <w:r>
        <w:rPr>
          <w:rFonts w:hint="eastAsia" w:ascii="宋体" w:hAnsi="宋体" w:cs="宋体"/>
          <w:sz w:val="24"/>
        </w:rPr>
        <w:t>四极杆具有可调分辨率功能，可以在同一方法中针对不同元素进行不同分辨率的设定，要求在一次样品测试中，四极杆在不同分辨率下自动切换</w:t>
      </w:r>
      <w:bookmarkEnd w:id="4"/>
      <w:bookmarkEnd w:id="5"/>
      <w:r>
        <w:rPr>
          <w:rFonts w:hint="eastAsia" w:ascii="宋体" w:hAnsi="宋体" w:cs="宋体"/>
          <w:sz w:val="24"/>
        </w:rPr>
        <w:t>。</w:t>
      </w:r>
    </w:p>
    <w:p>
      <w:pPr>
        <w:adjustRightInd w:val="0"/>
        <w:snapToGrid w:val="0"/>
        <w:spacing w:line="360" w:lineRule="auto"/>
        <w:outlineLvl w:val="3"/>
        <w:rPr>
          <w:rFonts w:hint="eastAsia" w:ascii="宋体" w:hAnsi="宋体" w:cs="宋体"/>
          <w:color w:val="000000"/>
          <w:sz w:val="24"/>
        </w:rPr>
      </w:pPr>
      <w:r>
        <w:rPr>
          <w:rFonts w:hint="eastAsia" w:ascii="宋体" w:hAnsi="宋体" w:cs="宋体"/>
          <w:color w:val="000000"/>
          <w:sz w:val="24"/>
        </w:rPr>
        <w:t># 3.6.3质谱范围：2-290amu，且仪器应具备分析</w:t>
      </w:r>
      <w:r>
        <w:rPr>
          <w:rFonts w:hint="eastAsia" w:ascii="宋体" w:hAnsi="宋体" w:cs="宋体"/>
          <w:color w:val="000000"/>
          <w:sz w:val="24"/>
          <w:vertAlign w:val="superscript"/>
        </w:rPr>
        <w:t>286</w:t>
      </w:r>
      <w:r>
        <w:rPr>
          <w:rFonts w:hint="eastAsia" w:ascii="宋体" w:hAnsi="宋体" w:cs="宋体"/>
          <w:color w:val="000000"/>
          <w:sz w:val="24"/>
        </w:rPr>
        <w:t>UOOO</w:t>
      </w:r>
      <w:r>
        <w:rPr>
          <w:rFonts w:hint="eastAsia" w:ascii="宋体" w:hAnsi="宋体" w:cs="宋体"/>
          <w:color w:val="000000"/>
          <w:sz w:val="24"/>
          <w:vertAlign w:val="superscript"/>
        </w:rPr>
        <w:t>+</w:t>
      </w:r>
      <w:r>
        <w:rPr>
          <w:rFonts w:hint="eastAsia" w:ascii="宋体" w:hAnsi="宋体" w:cs="宋体"/>
          <w:color w:val="000000"/>
          <w:sz w:val="24"/>
        </w:rPr>
        <w:t>离子的能力，并提供文献证明。质量分辨率调节范围 0.1～1.0（amu），高分辨率≤0.1amu，低分辨率≥1.0amu。</w:t>
      </w:r>
    </w:p>
    <w:p>
      <w:pPr>
        <w:adjustRightInd w:val="0"/>
        <w:snapToGrid w:val="0"/>
        <w:spacing w:line="360" w:lineRule="auto"/>
        <w:outlineLvl w:val="2"/>
        <w:rPr>
          <w:rFonts w:hint="eastAsia" w:ascii="宋体" w:hAnsi="宋体" w:cs="宋体"/>
          <w:color w:val="000000"/>
          <w:sz w:val="24"/>
        </w:rPr>
      </w:pPr>
      <w:r>
        <w:rPr>
          <w:rFonts w:hint="eastAsia" w:ascii="宋体" w:hAnsi="宋体" w:cs="宋体"/>
          <w:color w:val="000000"/>
          <w:sz w:val="24"/>
        </w:rPr>
        <w:t>* 3.7检测器：脉冲模拟双模式同时型电子倍增器两种模式可以自动切换，在一次进样过程中同时完成扫描和跳峰分析，电子倍增器可对 &lt;0.1cps或 &gt;10</w:t>
      </w:r>
      <w:r>
        <w:rPr>
          <w:rFonts w:hint="eastAsia" w:ascii="宋体" w:hAnsi="宋体" w:cs="宋体"/>
          <w:color w:val="000000"/>
          <w:sz w:val="24"/>
          <w:vertAlign w:val="superscript"/>
        </w:rPr>
        <w:t>9</w:t>
      </w:r>
      <w:r>
        <w:rPr>
          <w:rFonts w:hint="eastAsia" w:ascii="宋体" w:hAnsi="宋体" w:cs="宋体"/>
          <w:color w:val="000000"/>
          <w:sz w:val="24"/>
        </w:rPr>
        <w:t>cps的信号进行计数且两种模式分析过程中的驻留时间可达0.1ms。</w:t>
      </w:r>
    </w:p>
    <w:p>
      <w:pPr>
        <w:adjustRightInd w:val="0"/>
        <w:snapToGrid w:val="0"/>
        <w:spacing w:line="360" w:lineRule="auto"/>
        <w:outlineLvl w:val="2"/>
        <w:rPr>
          <w:rFonts w:hint="eastAsia" w:ascii="宋体" w:hAnsi="宋体" w:cs="宋体"/>
          <w:bCs/>
          <w:color w:val="000000"/>
          <w:sz w:val="24"/>
        </w:rPr>
      </w:pPr>
      <w:r>
        <w:rPr>
          <w:rFonts w:hint="eastAsia" w:ascii="宋体" w:hAnsi="宋体" w:cs="宋体"/>
          <w:bCs/>
          <w:color w:val="000000"/>
          <w:sz w:val="24"/>
        </w:rPr>
        <w:t>3.8软件部分：</w:t>
      </w:r>
    </w:p>
    <w:p>
      <w:pPr>
        <w:adjustRightInd w:val="0"/>
        <w:snapToGrid w:val="0"/>
        <w:spacing w:line="360" w:lineRule="auto"/>
        <w:outlineLvl w:val="3"/>
        <w:rPr>
          <w:rFonts w:hint="eastAsia" w:ascii="宋体" w:hAnsi="宋体" w:cs="宋体"/>
          <w:color w:val="000000"/>
          <w:sz w:val="24"/>
        </w:rPr>
      </w:pPr>
      <w:r>
        <w:rPr>
          <w:rFonts w:hint="eastAsia" w:ascii="宋体" w:hAnsi="宋体" w:cs="宋体"/>
          <w:bCs/>
          <w:color w:val="000000"/>
          <w:sz w:val="24"/>
        </w:rPr>
        <w:t>3.8</w:t>
      </w:r>
      <w:r>
        <w:rPr>
          <w:rFonts w:hint="eastAsia" w:ascii="宋体" w:hAnsi="宋体" w:cs="宋体"/>
          <w:color w:val="000000"/>
          <w:sz w:val="24"/>
        </w:rPr>
        <w:t>.1 操作系统：提供一套全自动分析系统软件。</w:t>
      </w:r>
    </w:p>
    <w:p>
      <w:pPr>
        <w:adjustRightInd w:val="0"/>
        <w:snapToGrid w:val="0"/>
        <w:spacing w:line="360" w:lineRule="auto"/>
        <w:outlineLvl w:val="3"/>
        <w:rPr>
          <w:rFonts w:hint="eastAsia" w:ascii="宋体" w:hAnsi="宋体" w:cs="宋体"/>
          <w:color w:val="000000"/>
          <w:sz w:val="24"/>
        </w:rPr>
      </w:pPr>
      <w:r>
        <w:rPr>
          <w:rFonts w:hint="eastAsia" w:ascii="宋体" w:hAnsi="宋体" w:cs="宋体"/>
          <w:bCs/>
          <w:color w:val="000000"/>
          <w:sz w:val="24"/>
        </w:rPr>
        <w:t>3.8</w:t>
      </w:r>
      <w:r>
        <w:rPr>
          <w:rFonts w:hint="eastAsia" w:ascii="宋体" w:hAnsi="宋体" w:cs="宋体"/>
          <w:color w:val="000000"/>
          <w:sz w:val="24"/>
        </w:rPr>
        <w:t>.2 实时数据显示，和实时报告显示。</w:t>
      </w:r>
    </w:p>
    <w:p>
      <w:pPr>
        <w:adjustRightInd w:val="0"/>
        <w:snapToGrid w:val="0"/>
        <w:spacing w:line="360" w:lineRule="auto"/>
        <w:outlineLvl w:val="2"/>
        <w:rPr>
          <w:rFonts w:hint="eastAsia" w:ascii="宋体" w:hAnsi="宋体" w:cs="宋体"/>
          <w:bCs/>
          <w:color w:val="000000"/>
          <w:sz w:val="24"/>
        </w:rPr>
      </w:pPr>
      <w:r>
        <w:rPr>
          <w:rFonts w:hint="eastAsia" w:ascii="宋体" w:hAnsi="宋体" w:cs="宋体"/>
          <w:bCs/>
          <w:color w:val="000000"/>
          <w:sz w:val="24"/>
        </w:rPr>
        <w:t>3.9仪器性能要求</w:t>
      </w:r>
    </w:p>
    <w:p>
      <w:pPr>
        <w:adjustRightInd w:val="0"/>
        <w:snapToGrid w:val="0"/>
        <w:spacing w:line="360" w:lineRule="auto"/>
        <w:outlineLvl w:val="3"/>
        <w:rPr>
          <w:rFonts w:hint="eastAsia" w:ascii="宋体" w:hAnsi="宋体" w:cs="宋体"/>
          <w:color w:val="000000"/>
          <w:sz w:val="24"/>
        </w:rPr>
      </w:pPr>
      <w:r>
        <w:rPr>
          <w:rFonts w:hint="eastAsia" w:ascii="宋体" w:hAnsi="宋体" w:cs="宋体"/>
          <w:color w:val="000000"/>
          <w:sz w:val="24"/>
        </w:rPr>
        <w:t xml:space="preserve">3.9.1 </w:t>
      </w:r>
      <w:r>
        <w:rPr>
          <w:rFonts w:hint="eastAsia" w:ascii="宋体" w:hAnsi="宋体" w:cs="宋体"/>
          <w:bCs/>
          <w:color w:val="000000"/>
          <w:sz w:val="24"/>
        </w:rPr>
        <w:t>标准模式</w:t>
      </w:r>
      <w:r>
        <w:rPr>
          <w:rFonts w:hint="eastAsia" w:ascii="宋体" w:hAnsi="宋体" w:cs="宋体"/>
          <w:color w:val="000000"/>
          <w:sz w:val="24"/>
        </w:rPr>
        <w:t>灵敏度</w:t>
      </w:r>
    </w:p>
    <w:p>
      <w:pPr>
        <w:adjustRightInd w:val="0"/>
        <w:snapToGrid w:val="0"/>
        <w:spacing w:line="360" w:lineRule="auto"/>
        <w:outlineLvl w:val="3"/>
        <w:rPr>
          <w:rFonts w:hint="eastAsia" w:ascii="宋体" w:hAnsi="宋体" w:cs="宋体"/>
          <w:color w:val="000000"/>
          <w:sz w:val="24"/>
        </w:rPr>
      </w:pPr>
      <w:r>
        <w:rPr>
          <w:rFonts w:hint="eastAsia" w:ascii="宋体" w:hAnsi="宋体" w:cs="宋体"/>
          <w:color w:val="000000"/>
          <w:sz w:val="24"/>
        </w:rPr>
        <w:t xml:space="preserve">中质量数(Y或In): &gt; 270Mcps/ppm，高质量数(Tl或U): &gt; 400Mcps/ppm     </w:t>
      </w:r>
    </w:p>
    <w:p>
      <w:pPr>
        <w:adjustRightInd w:val="0"/>
        <w:snapToGrid w:val="0"/>
        <w:spacing w:line="360" w:lineRule="auto"/>
        <w:outlineLvl w:val="3"/>
        <w:rPr>
          <w:rFonts w:hint="eastAsia" w:ascii="宋体" w:hAnsi="宋体" w:cs="宋体"/>
          <w:color w:val="000000"/>
          <w:sz w:val="24"/>
        </w:rPr>
      </w:pPr>
      <w:r>
        <w:rPr>
          <w:rFonts w:hint="eastAsia" w:ascii="宋体" w:hAnsi="宋体" w:cs="宋体"/>
          <w:color w:val="000000"/>
          <w:sz w:val="24"/>
        </w:rPr>
        <w:t>3.9.</w:t>
      </w:r>
      <w:r>
        <w:rPr>
          <w:rFonts w:hint="eastAsia" w:ascii="宋体" w:hAnsi="宋体" w:cs="宋体"/>
          <w:bCs/>
          <w:color w:val="000000"/>
          <w:sz w:val="24"/>
        </w:rPr>
        <w:t>2 标准模式下（No Gas）随机背景：＜1 cps (4.5amu</w:t>
      </w:r>
      <w:r>
        <w:rPr>
          <w:rFonts w:hint="eastAsia" w:ascii="宋体" w:hAnsi="宋体" w:cs="宋体"/>
          <w:color w:val="000000"/>
          <w:sz w:val="24"/>
        </w:rPr>
        <w:t>)，He 模式随机背景：</w:t>
      </w:r>
      <w:r>
        <w:rPr>
          <w:rFonts w:hint="eastAsia" w:ascii="宋体" w:hAnsi="宋体" w:cs="宋体"/>
          <w:bCs/>
          <w:color w:val="000000"/>
          <w:sz w:val="24"/>
        </w:rPr>
        <w:t>＜0.5 cps (4.5amu</w:t>
      </w:r>
      <w:r>
        <w:rPr>
          <w:rFonts w:hint="eastAsia" w:ascii="宋体" w:hAnsi="宋体" w:cs="宋体"/>
          <w:color w:val="000000"/>
          <w:sz w:val="24"/>
        </w:rPr>
        <w:t>)</w:t>
      </w:r>
    </w:p>
    <w:p>
      <w:pPr>
        <w:adjustRightInd w:val="0"/>
        <w:snapToGrid w:val="0"/>
        <w:spacing w:line="360" w:lineRule="auto"/>
        <w:outlineLvl w:val="3"/>
        <w:rPr>
          <w:rFonts w:hint="eastAsia" w:ascii="宋体" w:hAnsi="宋体" w:cs="宋体"/>
          <w:color w:val="000000"/>
          <w:sz w:val="24"/>
        </w:rPr>
      </w:pPr>
      <w:r>
        <w:rPr>
          <w:rFonts w:hint="eastAsia" w:ascii="宋体" w:hAnsi="宋体" w:cs="宋体"/>
          <w:color w:val="000000"/>
          <w:sz w:val="24"/>
        </w:rPr>
        <w:t>3.9.3 标准模式下，仪器信噪比&gt;220M</w:t>
      </w:r>
    </w:p>
    <w:p>
      <w:pPr>
        <w:adjustRightInd w:val="0"/>
        <w:snapToGrid w:val="0"/>
        <w:spacing w:line="360" w:lineRule="auto"/>
        <w:outlineLvl w:val="3"/>
        <w:rPr>
          <w:rFonts w:hint="eastAsia" w:ascii="宋体" w:hAnsi="宋体" w:cs="宋体"/>
          <w:color w:val="000000"/>
          <w:sz w:val="24"/>
        </w:rPr>
      </w:pPr>
      <w:r>
        <w:rPr>
          <w:rFonts w:hint="eastAsia" w:ascii="宋体" w:hAnsi="宋体" w:cs="宋体"/>
          <w:color w:val="000000"/>
          <w:sz w:val="24"/>
        </w:rPr>
        <w:t xml:space="preserve">3.9.4氧化物离子(CeO+/Ce+)＜2%；双电荷粒子(Ba++/Ba+&gt;)＜3%。     </w:t>
      </w:r>
    </w:p>
    <w:p>
      <w:pPr>
        <w:adjustRightInd w:val="0"/>
        <w:snapToGrid w:val="0"/>
        <w:spacing w:line="360" w:lineRule="auto"/>
        <w:outlineLvl w:val="3"/>
        <w:rPr>
          <w:rFonts w:hint="eastAsia" w:ascii="宋体" w:hAnsi="宋体" w:cs="宋体"/>
          <w:bCs/>
          <w:color w:val="000000"/>
          <w:sz w:val="24"/>
        </w:rPr>
      </w:pPr>
      <w:r>
        <w:rPr>
          <w:rFonts w:hint="eastAsia" w:ascii="宋体" w:hAnsi="宋体" w:cs="宋体"/>
          <w:color w:val="000000"/>
          <w:sz w:val="24"/>
        </w:rPr>
        <w:t>3.9.5仪器检出限</w:t>
      </w:r>
    </w:p>
    <w:p>
      <w:pPr>
        <w:adjustRightInd w:val="0"/>
        <w:snapToGrid w:val="0"/>
        <w:spacing w:line="360" w:lineRule="auto"/>
        <w:outlineLvl w:val="3"/>
        <w:rPr>
          <w:rFonts w:hint="eastAsia" w:ascii="宋体" w:hAnsi="宋体" w:cs="宋体"/>
          <w:color w:val="000000"/>
          <w:sz w:val="24"/>
        </w:rPr>
      </w:pPr>
      <w:r>
        <w:rPr>
          <w:rFonts w:hint="eastAsia" w:ascii="宋体" w:hAnsi="宋体" w:cs="宋体"/>
          <w:color w:val="000000"/>
          <w:sz w:val="24"/>
        </w:rPr>
        <w:t>轻质量元素:＜0.5ppt ，中质量数元素:</w:t>
      </w:r>
      <w:r>
        <w:rPr>
          <w:rFonts w:hint="eastAsia" w:ascii="宋体" w:hAnsi="宋体" w:cs="宋体"/>
          <w:bCs/>
          <w:color w:val="000000"/>
          <w:sz w:val="24"/>
        </w:rPr>
        <w:t>＜0.1ppt ，</w:t>
      </w:r>
      <w:r>
        <w:rPr>
          <w:rFonts w:hint="eastAsia" w:ascii="宋体" w:hAnsi="宋体" w:cs="宋体"/>
          <w:color w:val="000000"/>
          <w:sz w:val="24"/>
        </w:rPr>
        <w:t>高质量数元素</w:t>
      </w:r>
      <w:r>
        <w:rPr>
          <w:rFonts w:hint="eastAsia" w:ascii="宋体" w:hAnsi="宋体" w:cs="宋体"/>
          <w:bCs/>
          <w:color w:val="000000"/>
          <w:sz w:val="24"/>
        </w:rPr>
        <w:t xml:space="preserve">:＜0.1ppt。      </w:t>
      </w:r>
    </w:p>
    <w:p>
      <w:pPr>
        <w:adjustRightInd w:val="0"/>
        <w:snapToGrid w:val="0"/>
        <w:spacing w:line="360" w:lineRule="auto"/>
        <w:outlineLvl w:val="3"/>
        <w:rPr>
          <w:rFonts w:hint="eastAsia" w:ascii="宋体" w:hAnsi="宋体" w:cs="宋体"/>
          <w:sz w:val="24"/>
        </w:rPr>
      </w:pPr>
      <w:r>
        <w:rPr>
          <w:rFonts w:hint="eastAsia" w:ascii="宋体" w:hAnsi="宋体" w:cs="宋体"/>
          <w:color w:val="000000"/>
          <w:sz w:val="24"/>
        </w:rPr>
        <w:t>* 3.9.6</w:t>
      </w:r>
      <w:r>
        <w:rPr>
          <w:rFonts w:hint="eastAsia" w:ascii="宋体" w:hAnsi="宋体" w:cs="宋体"/>
          <w:sz w:val="24"/>
        </w:rPr>
        <w:t xml:space="preserve">短期稳定性 10min (RSD): &lt; 2% </w:t>
      </w:r>
      <w:r>
        <w:rPr>
          <w:rFonts w:hint="eastAsia" w:ascii="宋体" w:hAnsi="宋体" w:cs="宋体"/>
          <w:bCs/>
          <w:sz w:val="24"/>
        </w:rPr>
        <w:t>，</w:t>
      </w:r>
      <w:r>
        <w:rPr>
          <w:rFonts w:hint="eastAsia" w:ascii="宋体" w:hAnsi="宋体" w:cs="宋体"/>
          <w:color w:val="000000"/>
          <w:sz w:val="24"/>
        </w:rPr>
        <w:t>长期稳定性 2 hr(RSD): &lt; 3% ，</w:t>
      </w:r>
      <w:r>
        <w:rPr>
          <w:rFonts w:hint="eastAsia" w:ascii="宋体" w:hAnsi="宋体" w:cs="宋体"/>
          <w:sz w:val="24"/>
        </w:rPr>
        <w:t>质谱校正稳定性: &lt; 0.025 amu/24hr。</w:t>
      </w:r>
    </w:p>
    <w:p>
      <w:pPr>
        <w:spacing w:line="360" w:lineRule="auto"/>
        <w:outlineLvl w:val="1"/>
        <w:rPr>
          <w:rFonts w:hint="eastAsia" w:ascii="宋体" w:hAnsi="宋体" w:cs="宋体"/>
          <w:color w:val="000000"/>
          <w:sz w:val="24"/>
        </w:rPr>
      </w:pPr>
      <w:r>
        <w:rPr>
          <w:rFonts w:hint="eastAsia" w:ascii="宋体" w:hAnsi="宋体" w:cs="宋体"/>
          <w:color w:val="000000"/>
          <w:sz w:val="24"/>
        </w:rPr>
        <w:t>4售后服务</w:t>
      </w:r>
    </w:p>
    <w:p>
      <w:pPr>
        <w:spacing w:line="360" w:lineRule="auto"/>
        <w:rPr>
          <w:rFonts w:hint="eastAsia" w:ascii="宋体" w:hAnsi="宋体" w:cs="宋体"/>
          <w:kern w:val="0"/>
          <w:sz w:val="24"/>
        </w:rPr>
      </w:pPr>
      <w:r>
        <w:rPr>
          <w:rFonts w:hint="eastAsia" w:ascii="宋体" w:hAnsi="宋体" w:cs="宋体"/>
          <w:color w:val="000000"/>
          <w:sz w:val="24"/>
        </w:rPr>
        <w:t>4.1</w:t>
      </w:r>
      <w:r>
        <w:rPr>
          <w:rFonts w:hint="eastAsia" w:ascii="宋体" w:hAnsi="宋体" w:cs="宋体"/>
          <w:kern w:val="0"/>
          <w:sz w:val="24"/>
        </w:rPr>
        <w:t>仪器维修：仪器自验收签字之日起，保修期: 1 年，仪器终生维修。提供软件终生免费升级。供货商在接到用户维修申请后 72小时内派维修工程师到现场维修。保修期内，如仪器出现故障（消耗品和人为损坏除外），保修期顺延。</w:t>
      </w:r>
    </w:p>
    <w:p>
      <w:pPr>
        <w:spacing w:line="360" w:lineRule="auto"/>
        <w:rPr>
          <w:rFonts w:hint="eastAsia" w:ascii="宋体" w:hAnsi="宋体" w:cs="宋体"/>
          <w:kern w:val="0"/>
          <w:sz w:val="24"/>
        </w:rPr>
      </w:pPr>
      <w:r>
        <w:rPr>
          <w:rFonts w:hint="eastAsia" w:ascii="宋体" w:hAnsi="宋体" w:cs="宋体"/>
          <w:kern w:val="0"/>
          <w:sz w:val="24"/>
        </w:rPr>
        <w:t>4.2仪器培训：对使用人员要由厂商提供不少于两次的本地培训，一人次的厂商免费集中培训。</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4DC7E89"/>
    <w:multiLevelType w:val="singleLevel"/>
    <w:tmpl w:val="64DC7E89"/>
    <w:lvl w:ilvl="0" w:tentative="0">
      <w:start w:val="1"/>
      <w:numFmt w:val="decimal"/>
      <w:suff w:val="space"/>
      <w:lvlText w:val="%1."/>
      <w:lvlJc w:val="left"/>
    </w:lvl>
  </w:abstractNum>
  <w:abstractNum w:abstractNumId="1">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jYTIzZGUxMzUyYzc4ODFmYzlkNjk5ZTYzODY2NmIifQ=="/>
  </w:docVars>
  <w:rsids>
    <w:rsidRoot w:val="4401617E"/>
    <w:rsid w:val="1B6879C9"/>
    <w:rsid w:val="440161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Plain Text"/>
    <w:basedOn w:val="1"/>
    <w:qFormat/>
    <w:uiPriority w:val="0"/>
    <w:rPr>
      <w:rFonts w:ascii="宋体" w:hAnsi="Courier New"/>
      <w:szCs w:val="20"/>
    </w:rPr>
  </w:style>
  <w:style w:type="paragraph" w:styleId="4">
    <w:name w:val="Date"/>
    <w:basedOn w:val="1"/>
    <w:next w:val="1"/>
    <w:uiPriority w:val="0"/>
    <w:rPr>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2243</Words>
  <Characters>2648</Characters>
  <Lines>0</Lines>
  <Paragraphs>0</Paragraphs>
  <TotalTime>0</TotalTime>
  <ScaleCrop>false</ScaleCrop>
  <LinksUpToDate>false</LinksUpToDate>
  <CharactersWithSpaces>2740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2024-07-05T13:11:00Z</dcterms:created>
  <dc:creator>Robin</dc:creator>
  <cp:lastModifiedBy>清</cp:lastModifiedBy>
  <dcterms:modified xsi:type="dcterms:W3CDTF">2024-07-06T00:44:58Z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ACE60E4AB223461A96BE62D2ECDBEE31_13</vt:lpwstr>
  </property>
</Properties>
</file>