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highlight w:val="none"/>
        </w:rPr>
      </w:pPr>
      <w:bookmarkStart w:id="1" w:name="_GoBack"/>
      <w:bookmarkEnd w:id="1"/>
      <w:r>
        <w:rPr>
          <w:rFonts w:hint="eastAsia" w:ascii="宋体" w:hAnsi="宋体"/>
          <w:b/>
          <w:bCs/>
          <w:kern w:val="0"/>
          <w:sz w:val="36"/>
          <w:szCs w:val="36"/>
          <w:highlight w:val="none"/>
        </w:rPr>
        <w:t>项目需求</w:t>
      </w:r>
    </w:p>
    <w:p>
      <w:pPr>
        <w:pStyle w:val="2"/>
        <w:spacing w:line="360" w:lineRule="auto"/>
        <w:rPr>
          <w:b/>
          <w:highlight w:val="none"/>
        </w:rPr>
      </w:pPr>
    </w:p>
    <w:p>
      <w:pPr>
        <w:pStyle w:val="2"/>
        <w:spacing w:line="360" w:lineRule="auto"/>
        <w:rPr>
          <w:b/>
          <w:highlight w:val="none"/>
        </w:rPr>
      </w:pPr>
    </w:p>
    <w:p>
      <w:pPr>
        <w:pStyle w:val="2"/>
        <w:spacing w:line="360" w:lineRule="auto"/>
        <w:rPr>
          <w:b/>
          <w:highlight w:val="none"/>
        </w:rPr>
      </w:pPr>
    </w:p>
    <w:p>
      <w:pPr>
        <w:tabs>
          <w:tab w:val="left" w:pos="1560"/>
        </w:tabs>
        <w:adjustRightInd w:val="0"/>
        <w:snapToGrid w:val="0"/>
        <w:spacing w:line="360" w:lineRule="auto"/>
        <w:jc w:val="center"/>
        <w:rPr>
          <w:rFonts w:ascii="宋体" w:hAnsi="宋体"/>
          <w:b/>
          <w:sz w:val="32"/>
          <w:szCs w:val="32"/>
          <w:highlight w:val="none"/>
        </w:rPr>
      </w:pPr>
      <w:r>
        <w:rPr>
          <w:rFonts w:hint="eastAsia" w:ascii="宋体" w:hAnsi="宋体"/>
          <w:b/>
          <w:sz w:val="32"/>
          <w:szCs w:val="32"/>
          <w:highlight w:val="none"/>
        </w:rPr>
        <w:t>一</w:t>
      </w:r>
      <w:r>
        <w:rPr>
          <w:rFonts w:ascii="宋体" w:hAnsi="宋体"/>
          <w:b/>
          <w:sz w:val="32"/>
          <w:szCs w:val="32"/>
          <w:highlight w:val="none"/>
        </w:rPr>
        <w:t>、</w:t>
      </w:r>
      <w:r>
        <w:rPr>
          <w:rFonts w:hint="eastAsia" w:ascii="宋体" w:hAnsi="宋体"/>
          <w:b/>
          <w:sz w:val="32"/>
          <w:szCs w:val="32"/>
          <w:highlight w:val="none"/>
        </w:rPr>
        <w:t>项目需求一览表</w:t>
      </w:r>
    </w:p>
    <w:p>
      <w:pPr>
        <w:adjustRightInd w:val="0"/>
        <w:snapToGrid w:val="0"/>
        <w:spacing w:line="360" w:lineRule="auto"/>
        <w:jc w:val="center"/>
        <w:rPr>
          <w:rFonts w:ascii="宋体" w:hAnsi="宋体"/>
          <w:b/>
          <w:sz w:val="30"/>
          <w:szCs w:val="30"/>
          <w:highlight w:val="none"/>
        </w:rPr>
      </w:pPr>
    </w:p>
    <w:p>
      <w:pPr>
        <w:adjustRightInd w:val="0"/>
        <w:snapToGrid w:val="0"/>
        <w:spacing w:line="360" w:lineRule="auto"/>
        <w:jc w:val="center"/>
        <w:rPr>
          <w:rFonts w:ascii="宋体" w:hAnsi="宋体"/>
          <w:b/>
          <w:sz w:val="30"/>
          <w:szCs w:val="30"/>
          <w:highlight w:val="none"/>
        </w:rPr>
      </w:pPr>
    </w:p>
    <w:tbl>
      <w:tblPr>
        <w:tblStyle w:val="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527"/>
        <w:gridCol w:w="1558"/>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pPr>
              <w:jc w:val="center"/>
              <w:rPr>
                <w:rFonts w:ascii="宋体" w:hAnsi="Bookman Old Style"/>
                <w:sz w:val="24"/>
              </w:rPr>
            </w:pPr>
            <w:r>
              <w:rPr>
                <w:rFonts w:hint="eastAsia" w:ascii="宋体" w:hAnsi="Bookman Old Style"/>
                <w:sz w:val="24"/>
              </w:rPr>
              <w:t>包号</w:t>
            </w:r>
          </w:p>
        </w:tc>
        <w:tc>
          <w:tcPr>
            <w:tcW w:w="2640" w:type="dxa"/>
            <w:vAlign w:val="center"/>
          </w:tcPr>
          <w:p>
            <w:pPr>
              <w:jc w:val="center"/>
              <w:rPr>
                <w:rFonts w:ascii="宋体" w:hAnsi="Bookman Old Style"/>
                <w:sz w:val="24"/>
              </w:rPr>
            </w:pPr>
            <w:r>
              <w:rPr>
                <w:rFonts w:hint="eastAsia" w:ascii="宋体" w:hAnsi="Bookman Old Style"/>
                <w:sz w:val="24"/>
              </w:rPr>
              <w:t>货物名称</w:t>
            </w:r>
          </w:p>
        </w:tc>
        <w:tc>
          <w:tcPr>
            <w:tcW w:w="635" w:type="dxa"/>
            <w:vAlign w:val="center"/>
          </w:tcPr>
          <w:p>
            <w:pPr>
              <w:jc w:val="center"/>
              <w:rPr>
                <w:rFonts w:ascii="宋体" w:hAnsi="Bookman Old Style"/>
                <w:sz w:val="24"/>
              </w:rPr>
            </w:pPr>
            <w:r>
              <w:rPr>
                <w:rFonts w:hint="eastAsia" w:ascii="宋体" w:hAnsi="Bookman Old Style"/>
                <w:sz w:val="24"/>
              </w:rPr>
              <w:t>数量</w:t>
            </w:r>
          </w:p>
        </w:tc>
        <w:tc>
          <w:tcPr>
            <w:tcW w:w="1527" w:type="dxa"/>
            <w:vAlign w:val="center"/>
          </w:tcPr>
          <w:p>
            <w:pPr>
              <w:jc w:val="center"/>
              <w:rPr>
                <w:rFonts w:ascii="宋体" w:hAnsi="Bookman Old Style"/>
                <w:sz w:val="24"/>
              </w:rPr>
            </w:pPr>
            <w:r>
              <w:rPr>
                <w:rFonts w:hint="eastAsia" w:ascii="宋体" w:hAnsi="Bookman Old Style"/>
                <w:sz w:val="24"/>
              </w:rPr>
              <w:t>交货期</w:t>
            </w:r>
          </w:p>
        </w:tc>
        <w:tc>
          <w:tcPr>
            <w:tcW w:w="1558" w:type="dxa"/>
            <w:vAlign w:val="center"/>
          </w:tcPr>
          <w:p>
            <w:pPr>
              <w:jc w:val="center"/>
              <w:rPr>
                <w:rFonts w:ascii="宋体" w:hAnsi="Bookman Old Style"/>
                <w:sz w:val="24"/>
              </w:rPr>
            </w:pPr>
            <w:r>
              <w:rPr>
                <w:rFonts w:hint="eastAsia" w:ascii="宋体" w:hAnsi="Bookman Old Style"/>
                <w:sz w:val="24"/>
              </w:rPr>
              <w:t>指定到货港</w:t>
            </w:r>
          </w:p>
        </w:tc>
        <w:tc>
          <w:tcPr>
            <w:tcW w:w="2520" w:type="dxa"/>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pPr>
              <w:jc w:val="center"/>
              <w:rPr>
                <w:rFonts w:ascii="宋体" w:hAnsi="宋体" w:eastAsia="宋体" w:cs="宋体"/>
                <w:sz w:val="24"/>
                <w:szCs w:val="24"/>
              </w:rPr>
            </w:pPr>
            <w:r>
              <w:rPr>
                <w:rFonts w:hint="eastAsia" w:ascii="宋体" w:hAnsi="宋体" w:eastAsia="宋体" w:cs="宋体"/>
                <w:sz w:val="24"/>
                <w:szCs w:val="24"/>
              </w:rPr>
              <w:t>1</w:t>
            </w:r>
          </w:p>
        </w:tc>
        <w:tc>
          <w:tcPr>
            <w:tcW w:w="2640" w:type="dxa"/>
            <w:vAlign w:val="center"/>
          </w:tcPr>
          <w:p>
            <w:pPr>
              <w:jc w:val="center"/>
              <w:rPr>
                <w:rFonts w:hint="eastAsia" w:ascii="宋体" w:hAnsi="宋体" w:eastAsia="宋体" w:cs="宋体"/>
                <w:sz w:val="24"/>
                <w:szCs w:val="24"/>
                <w:lang w:eastAsia="zh-CN"/>
              </w:rPr>
            </w:pPr>
            <w:r>
              <w:rPr>
                <w:rFonts w:hint="eastAsia" w:ascii="宋体" w:hAnsi="宋体" w:eastAsia="宋体" w:cs="宋体"/>
                <w:kern w:val="0"/>
                <w:sz w:val="24"/>
                <w:szCs w:val="24"/>
              </w:rPr>
              <w:t>元素分析仪</w:t>
            </w:r>
          </w:p>
        </w:tc>
        <w:tc>
          <w:tcPr>
            <w:tcW w:w="635" w:type="dxa"/>
            <w:vAlign w:val="center"/>
          </w:tcPr>
          <w:p>
            <w:pPr>
              <w:jc w:val="center"/>
              <w:rPr>
                <w:rFonts w:ascii="宋体" w:hAnsi="宋体" w:eastAsia="宋体" w:cs="宋体"/>
                <w:sz w:val="24"/>
                <w:szCs w:val="24"/>
              </w:rPr>
            </w:pPr>
            <w:r>
              <w:rPr>
                <w:rFonts w:hint="eastAsia" w:ascii="宋体" w:hAnsi="宋体" w:eastAsia="宋体" w:cs="宋体"/>
                <w:sz w:val="24"/>
                <w:szCs w:val="24"/>
              </w:rPr>
              <w:t>1</w:t>
            </w:r>
          </w:p>
        </w:tc>
        <w:tc>
          <w:tcPr>
            <w:tcW w:w="1527" w:type="dxa"/>
            <w:vAlign w:val="center"/>
          </w:tcPr>
          <w:p>
            <w:pPr>
              <w:jc w:val="center"/>
              <w:rPr>
                <w:rFonts w:ascii="宋体" w:hAnsi="宋体" w:eastAsia="宋体" w:cs="宋体"/>
                <w:sz w:val="24"/>
                <w:szCs w:val="24"/>
              </w:rPr>
            </w:pP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4个月</w:t>
            </w:r>
            <w:r>
              <w:rPr>
                <w:rFonts w:hint="eastAsia" w:ascii="宋体" w:hAnsi="宋体" w:eastAsia="宋体" w:cs="宋体"/>
                <w:color w:val="000000" w:themeColor="text1"/>
                <w:kern w:val="0"/>
                <w:sz w:val="24"/>
                <w:szCs w:val="24"/>
                <w:lang w:val="de-DE"/>
                <w14:textFill>
                  <w14:solidFill>
                    <w14:schemeClr w14:val="tx1"/>
                  </w14:solidFill>
                </w14:textFill>
              </w:rPr>
              <w:t>内</w:t>
            </w:r>
          </w:p>
        </w:tc>
        <w:tc>
          <w:tcPr>
            <w:tcW w:w="1558" w:type="dxa"/>
            <w:vAlign w:val="center"/>
          </w:tcPr>
          <w:p>
            <w:pPr>
              <w:jc w:val="center"/>
              <w:rPr>
                <w:rFonts w:ascii="宋体" w:hAnsi="宋体" w:eastAsia="宋体" w:cs="宋体"/>
                <w:sz w:val="24"/>
                <w:szCs w:val="24"/>
              </w:rPr>
            </w:pPr>
            <w:r>
              <w:rPr>
                <w:rFonts w:hint="eastAsia" w:ascii="宋体" w:hAnsi="宋体" w:eastAsia="宋体" w:cs="宋体"/>
                <w:sz w:val="24"/>
                <w:szCs w:val="24"/>
              </w:rPr>
              <w:t>成都</w:t>
            </w:r>
          </w:p>
        </w:tc>
        <w:tc>
          <w:tcPr>
            <w:tcW w:w="2520" w:type="dxa"/>
            <w:vAlign w:val="center"/>
          </w:tcPr>
          <w:p>
            <w:pPr>
              <w:jc w:val="center"/>
              <w:rPr>
                <w:rFonts w:ascii="宋体" w:hAnsi="宋体" w:eastAsia="宋体" w:cs="宋体"/>
                <w:sz w:val="24"/>
                <w:szCs w:val="24"/>
              </w:rPr>
            </w:pPr>
            <w:r>
              <w:rPr>
                <w:rFonts w:hint="eastAsia" w:ascii="宋体" w:hAnsi="宋体" w:eastAsia="宋体" w:cs="宋体"/>
                <w:sz w:val="24"/>
                <w:szCs w:val="24"/>
              </w:rPr>
              <w:t>用户指定地点</w:t>
            </w:r>
          </w:p>
        </w:tc>
      </w:tr>
    </w:tbl>
    <w:p>
      <w:pPr>
        <w:spacing w:line="360" w:lineRule="auto"/>
        <w:rPr>
          <w:b/>
          <w:sz w:val="24"/>
          <w:highlight w:val="none"/>
        </w:rPr>
      </w:pPr>
    </w:p>
    <w:p>
      <w:pPr>
        <w:spacing w:line="360" w:lineRule="auto"/>
        <w:rPr>
          <w:rFonts w:ascii="Bookman Old Style" w:hAnsi="Bookman Old Style"/>
          <w:b/>
          <w:sz w:val="24"/>
          <w:highlight w:val="none"/>
        </w:rPr>
      </w:pPr>
      <w:r>
        <w:rPr>
          <w:rFonts w:hint="eastAsia"/>
          <w:b/>
          <w:sz w:val="24"/>
          <w:highlight w:val="none"/>
        </w:rPr>
        <w:t>注：投标人须对上述投标内容中完整的一包进行投标响应，</w:t>
      </w:r>
      <w:r>
        <w:rPr>
          <w:rFonts w:hint="eastAsia" w:ascii="Bookman Old Style" w:hAnsi="Bookman Old Style"/>
          <w:b/>
          <w:sz w:val="24"/>
          <w:highlight w:val="none"/>
        </w:rPr>
        <w:t>不完整的投标将视为非响应性投标予以拒绝。</w:t>
      </w:r>
    </w:p>
    <w:p>
      <w:pPr>
        <w:widowControl/>
        <w:snapToGrid w:val="0"/>
        <w:spacing w:line="360" w:lineRule="auto"/>
        <w:jc w:val="center"/>
        <w:rPr>
          <w:b/>
          <w:highlight w:val="none"/>
        </w:rPr>
      </w:pPr>
      <w:r>
        <w:rPr>
          <w:b/>
          <w:highlight w:val="none"/>
        </w:rPr>
        <w:br w:type="page"/>
      </w:r>
    </w:p>
    <w:p>
      <w:pPr>
        <w:keepNext/>
        <w:keepLines/>
        <w:spacing w:before="240" w:after="120" w:line="360" w:lineRule="auto"/>
        <w:jc w:val="center"/>
        <w:outlineLvl w:val="1"/>
        <w:rPr>
          <w:b/>
          <w:bCs/>
          <w:sz w:val="32"/>
          <w:szCs w:val="32"/>
          <w:highlight w:val="none"/>
        </w:rPr>
      </w:pPr>
      <w:r>
        <w:rPr>
          <w:rFonts w:hint="eastAsia"/>
          <w:b/>
          <w:bCs/>
          <w:sz w:val="32"/>
          <w:szCs w:val="32"/>
          <w:highlight w:val="none"/>
        </w:rPr>
        <w:t>二、总则</w:t>
      </w:r>
    </w:p>
    <w:p>
      <w:pPr>
        <w:autoSpaceDE w:val="0"/>
        <w:autoSpaceDN w:val="0"/>
        <w:adjustRightInd w:val="0"/>
        <w:spacing w:line="360" w:lineRule="auto"/>
        <w:ind w:firstLine="420"/>
        <w:jc w:val="left"/>
        <w:rPr>
          <w:rFonts w:ascii="宋体"/>
          <w:kern w:val="0"/>
          <w:sz w:val="24"/>
          <w:szCs w:val="20"/>
          <w:highlight w:val="none"/>
        </w:rPr>
      </w:pPr>
    </w:p>
    <w:p>
      <w:pPr>
        <w:spacing w:line="360" w:lineRule="auto"/>
        <w:rPr>
          <w:rFonts w:ascii="宋体" w:hAnsi="宋体"/>
          <w:bCs/>
          <w:sz w:val="24"/>
          <w:highlight w:val="none"/>
        </w:rPr>
      </w:pPr>
      <w:bookmarkStart w:id="0" w:name="_Hlk108442230"/>
      <w:r>
        <w:rPr>
          <w:rFonts w:hint="eastAsia" w:ascii="宋体" w:hAnsi="宋体"/>
          <w:bCs/>
          <w:sz w:val="24"/>
          <w:highlight w:val="none"/>
        </w:rPr>
        <w:t>1、投标要求</w:t>
      </w:r>
    </w:p>
    <w:p>
      <w:pPr>
        <w:spacing w:line="360" w:lineRule="auto"/>
        <w:rPr>
          <w:rFonts w:ascii="宋体" w:hAnsi="宋体"/>
          <w:bCs/>
          <w:sz w:val="24"/>
          <w:highlight w:val="none"/>
        </w:rPr>
      </w:pPr>
      <w:r>
        <w:rPr>
          <w:rFonts w:hint="eastAsia" w:ascii="宋体" w:hAnsi="宋体"/>
          <w:bCs/>
          <w:sz w:val="24"/>
          <w:highlight w:val="none"/>
        </w:rPr>
        <w:t>1.1  投标人在准备投标书时，务必在所提供的商品的技术规格文件中，标明型号、商标名称、目录号。</w:t>
      </w:r>
    </w:p>
    <w:p>
      <w:pPr>
        <w:spacing w:line="360" w:lineRule="auto"/>
        <w:rPr>
          <w:rFonts w:ascii="宋体" w:hAnsi="宋体"/>
          <w:bCs/>
          <w:sz w:val="24"/>
          <w:highlight w:val="none"/>
        </w:rPr>
      </w:pPr>
      <w:r>
        <w:rPr>
          <w:rFonts w:hint="eastAsia" w:ascii="宋体" w:hAnsi="宋体"/>
          <w:bCs/>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采购人有权拒绝其投标。</w:t>
      </w:r>
    </w:p>
    <w:p>
      <w:pPr>
        <w:spacing w:line="360" w:lineRule="auto"/>
        <w:rPr>
          <w:rFonts w:ascii="宋体" w:hAnsi="宋体"/>
          <w:bCs/>
          <w:sz w:val="24"/>
          <w:highlight w:val="none"/>
        </w:rPr>
      </w:pPr>
      <w:r>
        <w:rPr>
          <w:rFonts w:hint="eastAsia" w:ascii="宋体" w:hAnsi="宋体"/>
          <w:bCs/>
          <w:sz w:val="24"/>
          <w:highlight w:val="none"/>
        </w:rPr>
        <w:t>1.3  投标人提供的产品样本，必须是“原件”而非复印件，图表、简图、电路图以及印刷电路板图等都应清晰易读。采购人有权不付任何附加费用复制这些资料以供参考。</w:t>
      </w:r>
    </w:p>
    <w:p>
      <w:pPr>
        <w:spacing w:line="360" w:lineRule="auto"/>
        <w:rPr>
          <w:rFonts w:ascii="宋体" w:hAnsi="宋体"/>
          <w:bCs/>
          <w:sz w:val="24"/>
          <w:highlight w:val="none"/>
        </w:rPr>
      </w:pPr>
      <w:r>
        <w:rPr>
          <w:rFonts w:hint="eastAsia" w:ascii="宋体" w:hAnsi="宋体"/>
          <w:bCs/>
          <w:sz w:val="24"/>
          <w:highlight w:val="none"/>
        </w:rPr>
        <w:t>1.4  投标人的投标产品应符合国家有关部门规定的相应技术、节能、安全和环保标准；如国家有关部门对投标人的投标产品有强制性规定或要求的，则投标人的投标产品必须符合相应规定或要求。</w:t>
      </w:r>
    </w:p>
    <w:p>
      <w:pPr>
        <w:spacing w:line="360" w:lineRule="auto"/>
        <w:rPr>
          <w:rFonts w:ascii="宋体" w:hAnsi="宋体"/>
          <w:bCs/>
          <w:sz w:val="24"/>
          <w:highlight w:val="none"/>
        </w:rPr>
      </w:pPr>
      <w:r>
        <w:rPr>
          <w:rFonts w:hint="eastAsia" w:ascii="宋体" w:hAnsi="宋体"/>
          <w:bCs/>
          <w:sz w:val="24"/>
          <w:highlight w:val="none"/>
        </w:rPr>
        <w:t>2、评标标准</w:t>
      </w:r>
    </w:p>
    <w:p>
      <w:pPr>
        <w:spacing w:line="360" w:lineRule="auto"/>
        <w:rPr>
          <w:rFonts w:ascii="宋体" w:hAnsi="宋体"/>
          <w:bCs/>
          <w:sz w:val="24"/>
          <w:highlight w:val="none"/>
        </w:rPr>
      </w:pPr>
      <w:r>
        <w:rPr>
          <w:rFonts w:hint="eastAsia" w:ascii="宋体" w:hAnsi="宋体"/>
          <w:bCs/>
          <w:sz w:val="24"/>
          <w:highlight w:val="none"/>
        </w:rPr>
        <w:t>2.1  除招标文件中指定的附件和专用工具外，投标人应提供货物的正常运行和常规保养所需的全套标准附件、专用工具和消耗品。投标人在投标书中需列出这些附件和工具的数量和单价的清单，这些附件和工具的报价的总值需计入投标价中。</w:t>
      </w:r>
    </w:p>
    <w:p>
      <w:pPr>
        <w:spacing w:line="360" w:lineRule="auto"/>
        <w:rPr>
          <w:rFonts w:ascii="宋体" w:hAnsi="宋体"/>
          <w:bCs/>
          <w:sz w:val="24"/>
          <w:highlight w:val="none"/>
        </w:rPr>
      </w:pPr>
      <w:r>
        <w:rPr>
          <w:rFonts w:hint="eastAsia" w:ascii="宋体" w:hAnsi="宋体"/>
          <w:bCs/>
          <w:sz w:val="24"/>
          <w:highlight w:val="none"/>
        </w:rPr>
        <w:t>2.2  对于标书技术规范中已列出的作为查询选件的附件、零配件、专用工具和消耗品，投标书中应列明其数量、单价、总价供采购人参考。投标人也可推荐采购人没有要求的附件或专用工具作为选件，并列明其数量、单价、总价供采购人参考。选件价格不计入评标价中。选件一旦为采购人用户接受，其费用将加入合同价中。</w:t>
      </w:r>
    </w:p>
    <w:p>
      <w:pPr>
        <w:spacing w:line="360" w:lineRule="auto"/>
        <w:rPr>
          <w:rFonts w:ascii="宋体" w:hAnsi="宋体"/>
          <w:bCs/>
          <w:sz w:val="24"/>
          <w:highlight w:val="none"/>
        </w:rPr>
      </w:pPr>
      <w:r>
        <w:rPr>
          <w:rFonts w:hint="eastAsia" w:ascii="宋体" w:hAnsi="宋体"/>
          <w:bCs/>
          <w:sz w:val="24"/>
          <w:highlight w:val="none"/>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pPr>
        <w:spacing w:line="360" w:lineRule="auto"/>
        <w:rPr>
          <w:rFonts w:ascii="宋体" w:hAnsi="宋体"/>
          <w:bCs/>
          <w:sz w:val="24"/>
          <w:highlight w:val="none"/>
        </w:rPr>
      </w:pPr>
      <w:r>
        <w:rPr>
          <w:rFonts w:hint="eastAsia" w:ascii="宋体" w:hAnsi="宋体"/>
          <w:bCs/>
          <w:sz w:val="24"/>
          <w:highlight w:val="none"/>
        </w:rPr>
        <w:t>2.4  关于设备的安装调试，如果有必要的安装准备条件，投标人应在合同生效后一个月内向买方提出详细的要求或计划。安装调试的费用应计入投标价中，并应单独列出，供评标使用。</w:t>
      </w:r>
    </w:p>
    <w:p>
      <w:pPr>
        <w:spacing w:line="360" w:lineRule="auto"/>
        <w:rPr>
          <w:rFonts w:ascii="宋体" w:hAnsi="宋体"/>
          <w:bCs/>
          <w:sz w:val="24"/>
          <w:highlight w:val="none"/>
        </w:rPr>
      </w:pPr>
      <w:r>
        <w:rPr>
          <w:rFonts w:hint="eastAsia" w:ascii="宋体" w:hAnsi="宋体"/>
          <w:bCs/>
          <w:sz w:val="24"/>
          <w:highlight w:val="none"/>
        </w:rPr>
        <w:t>2.5  制造厂家提供的培训指的是涉及货物的基本原理、操作使用和保养维修等有关内容的培训。培训教员的培训费、旅费、食宿费等费用和培训场地费及培训资料费均应由投标人支付。</w:t>
      </w:r>
    </w:p>
    <w:p>
      <w:pPr>
        <w:spacing w:line="360" w:lineRule="auto"/>
        <w:rPr>
          <w:rFonts w:ascii="宋体" w:hAnsi="宋体"/>
          <w:bCs/>
          <w:sz w:val="24"/>
          <w:highlight w:val="none"/>
        </w:rPr>
      </w:pPr>
      <w:r>
        <w:rPr>
          <w:rFonts w:hint="eastAsia" w:ascii="宋体" w:hAnsi="宋体"/>
          <w:bCs/>
          <w:sz w:val="24"/>
          <w:highlight w:val="none"/>
        </w:rPr>
        <w:t>2.6  在评标过程中，采购人有权向投标人索取任何与评标有关的资料，投标人务必在接到此类要求后，在规定时间内予以答复。对于无答复的投标人，采购人有权拒绝其投标。</w:t>
      </w:r>
    </w:p>
    <w:p>
      <w:pPr>
        <w:spacing w:line="360" w:lineRule="auto"/>
        <w:rPr>
          <w:rFonts w:ascii="宋体" w:hAnsi="宋体"/>
          <w:bCs/>
          <w:sz w:val="24"/>
          <w:highlight w:val="none"/>
        </w:rPr>
      </w:pPr>
      <w:r>
        <w:rPr>
          <w:rFonts w:hint="eastAsia" w:ascii="宋体" w:hAnsi="宋体"/>
          <w:bCs/>
          <w:sz w:val="24"/>
          <w:highlight w:val="none"/>
        </w:rPr>
        <w:t>3、工作条件</w:t>
      </w:r>
    </w:p>
    <w:p>
      <w:pPr>
        <w:spacing w:line="360" w:lineRule="auto"/>
        <w:rPr>
          <w:rFonts w:hint="default" w:ascii="宋体" w:hAnsi="宋体" w:eastAsia="宋体"/>
          <w:bCs/>
          <w:sz w:val="24"/>
          <w:highlight w:val="none"/>
          <w:lang w:val="en-US" w:eastAsia="zh-CN"/>
        </w:rPr>
      </w:pPr>
      <w:r>
        <w:rPr>
          <w:rFonts w:hint="eastAsia" w:ascii="宋体" w:hAnsi="宋体"/>
          <w:bCs/>
          <w:sz w:val="24"/>
          <w:highlight w:val="none"/>
          <w:lang w:val="en-US" w:eastAsia="zh-CN"/>
        </w:rPr>
        <w:t>详见项目需求书</w:t>
      </w:r>
    </w:p>
    <w:p>
      <w:pPr>
        <w:spacing w:line="360" w:lineRule="auto"/>
        <w:rPr>
          <w:rFonts w:ascii="宋体" w:hAnsi="宋体"/>
          <w:bCs/>
          <w:sz w:val="24"/>
          <w:highlight w:val="none"/>
        </w:rPr>
      </w:pPr>
      <w:r>
        <w:rPr>
          <w:rFonts w:hint="eastAsia" w:ascii="宋体" w:hAnsi="宋体"/>
          <w:bCs/>
          <w:sz w:val="24"/>
          <w:highlight w:val="none"/>
        </w:rPr>
        <w:t>4、验收标准</w:t>
      </w:r>
    </w:p>
    <w:p>
      <w:pPr>
        <w:spacing w:line="360" w:lineRule="auto"/>
        <w:rPr>
          <w:rFonts w:ascii="宋体" w:hAnsi="宋体"/>
          <w:bCs/>
          <w:sz w:val="24"/>
          <w:highlight w:val="none"/>
        </w:rPr>
      </w:pPr>
      <w:r>
        <w:rPr>
          <w:rFonts w:hint="eastAsia" w:ascii="宋体" w:hAnsi="宋体"/>
          <w:bCs/>
          <w:sz w:val="24"/>
          <w:highlight w:val="none"/>
        </w:rPr>
        <w:t xml:space="preserve">除非在技术规格中另有说明，所有货物和系统按下列要求进行验收： </w:t>
      </w:r>
    </w:p>
    <w:p>
      <w:pPr>
        <w:spacing w:line="360" w:lineRule="auto"/>
        <w:rPr>
          <w:rFonts w:ascii="宋体" w:hAnsi="宋体"/>
          <w:bCs/>
          <w:sz w:val="24"/>
          <w:highlight w:val="none"/>
        </w:rPr>
      </w:pPr>
      <w:r>
        <w:rPr>
          <w:rFonts w:hint="eastAsia" w:ascii="宋体" w:hAnsi="宋体"/>
          <w:bCs/>
          <w:sz w:val="24"/>
          <w:highlight w:val="none"/>
        </w:rPr>
        <w:t>4.1 货物运抵安装现场后，采购人将与中标人共同开箱验收,如中标人届时不派人来, 则验收结果应以采购人的验收报告为最终验收结果。验收时发现短缺、破损, 采购人有权要求中标人负责更换。</w:t>
      </w:r>
    </w:p>
    <w:p>
      <w:pPr>
        <w:spacing w:line="360" w:lineRule="auto"/>
        <w:rPr>
          <w:rFonts w:ascii="宋体" w:hAnsi="宋体"/>
          <w:bCs/>
          <w:sz w:val="24"/>
          <w:highlight w:val="none"/>
        </w:rPr>
      </w:pPr>
      <w:r>
        <w:rPr>
          <w:rFonts w:hint="eastAsia" w:ascii="宋体" w:hAnsi="宋体"/>
          <w:bCs/>
          <w:sz w:val="24"/>
          <w:highlight w:val="none"/>
        </w:rPr>
        <w:t>4.2  验收标准以中标人提供的投标文件中所列的指标为准（该指标应不低于招标文件所要求的指标）。任何虚假指标响应一经发现即作废标，中标人必须承担由此给采购人带来的一切经济损失和其它相关责任。</w:t>
      </w:r>
    </w:p>
    <w:p>
      <w:pPr>
        <w:spacing w:line="360" w:lineRule="auto"/>
        <w:rPr>
          <w:rFonts w:ascii="宋体" w:hAnsi="宋体"/>
          <w:bCs/>
          <w:sz w:val="24"/>
          <w:highlight w:val="none"/>
        </w:rPr>
      </w:pPr>
      <w:r>
        <w:rPr>
          <w:rFonts w:hint="eastAsia" w:ascii="宋体" w:hAnsi="宋体"/>
          <w:bCs/>
          <w:sz w:val="24"/>
          <w:highlight w:val="none"/>
        </w:rPr>
        <w:t>4.3  验收由采购人、中标人及相关人员依国家有关标准、合同及有关附件要求进行，验收完毕由采购人及中标人在验收报告上签名。</w:t>
      </w:r>
    </w:p>
    <w:p>
      <w:pPr>
        <w:spacing w:line="360" w:lineRule="auto"/>
        <w:rPr>
          <w:rFonts w:ascii="宋体" w:hAnsi="宋体"/>
          <w:bCs/>
          <w:sz w:val="24"/>
          <w:highlight w:val="none"/>
        </w:rPr>
      </w:pPr>
    </w:p>
    <w:p>
      <w:pPr>
        <w:spacing w:line="360" w:lineRule="auto"/>
        <w:rPr>
          <w:rFonts w:ascii="宋体" w:hAnsi="宋体"/>
          <w:b/>
          <w:sz w:val="24"/>
          <w:highlight w:val="none"/>
        </w:rPr>
      </w:pPr>
      <w:r>
        <w:rPr>
          <w:rFonts w:hint="eastAsia" w:ascii="宋体" w:hAnsi="宋体"/>
          <w:b/>
          <w:sz w:val="24"/>
          <w:highlight w:val="none"/>
        </w:rPr>
        <w:t>5、本项目需求中标注“★”号的为实质性要求，不满足其投标将被拒绝。</w:t>
      </w:r>
    </w:p>
    <w:p>
      <w:pPr>
        <w:spacing w:line="360" w:lineRule="auto"/>
        <w:rPr>
          <w:rFonts w:ascii="宋体" w:hAnsi="宋体"/>
          <w:b/>
          <w:sz w:val="24"/>
          <w:highlight w:val="none"/>
        </w:rPr>
      </w:pPr>
      <w:r>
        <w:rPr>
          <w:rFonts w:hint="eastAsia" w:ascii="宋体" w:hAnsi="宋体"/>
          <w:b/>
          <w:sz w:val="24"/>
          <w:highlight w:val="none"/>
        </w:rPr>
        <w:t>6、如在具体要求中有本总则不一致之处，以具体要求中的要求内容为准。</w:t>
      </w:r>
    </w:p>
    <w:bookmarkEnd w:id="0"/>
    <w:p>
      <w:pPr>
        <w:widowControl/>
        <w:spacing w:line="360" w:lineRule="auto"/>
        <w:jc w:val="left"/>
        <w:rPr>
          <w:rFonts w:ascii="宋体"/>
          <w:b/>
          <w:bCs/>
          <w:kern w:val="0"/>
          <w:sz w:val="32"/>
          <w:szCs w:val="32"/>
          <w:highlight w:val="none"/>
        </w:rPr>
      </w:pPr>
      <w:r>
        <w:rPr>
          <w:b/>
          <w:bCs/>
          <w:sz w:val="32"/>
          <w:szCs w:val="32"/>
          <w:highlight w:val="none"/>
        </w:rPr>
        <w:br w:type="page"/>
      </w:r>
    </w:p>
    <w:p>
      <w:pPr>
        <w:autoSpaceDE w:val="0"/>
        <w:autoSpaceDN w:val="0"/>
        <w:adjustRightInd w:val="0"/>
        <w:spacing w:line="360" w:lineRule="auto"/>
        <w:ind w:firstLine="420"/>
        <w:jc w:val="center"/>
        <w:rPr>
          <w:rFonts w:ascii="宋体"/>
          <w:b/>
          <w:bCs/>
          <w:kern w:val="0"/>
          <w:sz w:val="32"/>
          <w:szCs w:val="32"/>
          <w:highlight w:val="none"/>
        </w:rPr>
      </w:pPr>
      <w:r>
        <w:rPr>
          <w:rFonts w:hint="eastAsia" w:ascii="宋体"/>
          <w:b/>
          <w:bCs/>
          <w:kern w:val="0"/>
          <w:sz w:val="32"/>
          <w:szCs w:val="32"/>
          <w:highlight w:val="none"/>
        </w:rPr>
        <w:t>三、具体要求</w:t>
      </w:r>
    </w:p>
    <w:p>
      <w:pPr>
        <w:keepNext/>
        <w:keepLines/>
        <w:spacing w:line="360" w:lineRule="auto"/>
        <w:jc w:val="center"/>
        <w:outlineLvl w:val="3"/>
        <w:rPr>
          <w:rFonts w:hint="eastAsia" w:eastAsia="宋体"/>
          <w:b/>
          <w:bCs/>
          <w:sz w:val="32"/>
          <w:szCs w:val="32"/>
          <w:highlight w:val="none"/>
          <w:lang w:eastAsia="zh-CN"/>
        </w:rPr>
      </w:pPr>
      <w:r>
        <w:rPr>
          <w:rFonts w:hint="eastAsia" w:ascii="Times New Roman" w:hAnsi="Times New Roman" w:cs="Times New Roman"/>
          <w:b/>
          <w:sz w:val="28"/>
          <w:highlight w:val="none"/>
          <w:lang w:eastAsia="zh-CN"/>
        </w:rPr>
        <w:t>第1包：</w:t>
      </w:r>
      <w:r>
        <w:rPr>
          <w:rFonts w:hint="eastAsia"/>
          <w:b/>
          <w:sz w:val="28"/>
          <w:highlight w:val="none"/>
          <w:lang w:eastAsia="zh-CN"/>
        </w:rPr>
        <w:t>元素分析仪</w:t>
      </w:r>
    </w:p>
    <w:p>
      <w:pPr>
        <w:pStyle w:val="5"/>
        <w:numPr>
          <w:ilvl w:val="0"/>
          <w:numId w:val="1"/>
        </w:numPr>
        <w:spacing w:line="360" w:lineRule="auto"/>
        <w:ind w:right="708" w:rightChars="337" w:hanging="905"/>
        <w:jc w:val="both"/>
        <w:rPr>
          <w:rFonts w:ascii="宋体" w:hAnsi="宋体" w:eastAsia="宋体" w:cs="宋体"/>
          <w:color w:val="000000" w:themeColor="text1"/>
          <w:sz w:val="24"/>
          <w:szCs w:val="24"/>
          <w14:textFill>
            <w14:solidFill>
              <w14:schemeClr w14:val="tx1"/>
            </w14:solidFill>
          </w14:textFill>
        </w:rPr>
      </w:pP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550" w:type="dxa"/>
            <w:noWrap/>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设备名称</w:t>
            </w:r>
          </w:p>
        </w:tc>
        <w:tc>
          <w:tcPr>
            <w:tcW w:w="681" w:type="dxa"/>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091" w:type="dxa"/>
            <w:noWrap/>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c>
          <w:tcPr>
            <w:tcW w:w="1651" w:type="dxa"/>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是否接受进口设备参与投标</w:t>
            </w:r>
          </w:p>
        </w:tc>
        <w:tc>
          <w:tcPr>
            <w:tcW w:w="1238" w:type="dxa"/>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预算金额</w:t>
            </w:r>
          </w:p>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（万元）</w:t>
            </w:r>
          </w:p>
        </w:tc>
        <w:tc>
          <w:tcPr>
            <w:tcW w:w="1260" w:type="dxa"/>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最高限价（万元）</w:t>
            </w:r>
          </w:p>
        </w:tc>
        <w:tc>
          <w:tcPr>
            <w:tcW w:w="1260" w:type="dxa"/>
            <w:vAlign w:val="center"/>
          </w:tcPr>
          <w:p>
            <w:pPr>
              <w:widowControl/>
              <w:snapToGrid w:val="0"/>
              <w:spacing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本项目所属行业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一</w:t>
            </w:r>
          </w:p>
        </w:tc>
        <w:tc>
          <w:tcPr>
            <w:tcW w:w="1550" w:type="dxa"/>
            <w:vAlign w:val="center"/>
          </w:tcPr>
          <w:p>
            <w:pPr>
              <w:widowControl/>
              <w:spacing w:line="360" w:lineRule="auto"/>
              <w:jc w:val="left"/>
              <w:rPr>
                <w:rFonts w:ascii="宋体" w:hAnsi="宋体" w:eastAsia="宋体" w:cs="宋体"/>
                <w:color w:val="000000" w:themeColor="text1"/>
                <w:kern w:val="0"/>
                <w:sz w:val="24"/>
                <w:szCs w:val="24"/>
                <w:highlight w:val="yellow"/>
                <w14:textFill>
                  <w14:solidFill>
                    <w14:schemeClr w14:val="tx1"/>
                  </w14:solidFill>
                </w14:textFill>
              </w:rPr>
            </w:pPr>
            <w:r>
              <w:rPr>
                <w:rFonts w:hint="eastAsia" w:ascii="宋体" w:hAnsi="宋体" w:eastAsia="宋体" w:cs="宋体"/>
                <w:kern w:val="0"/>
                <w:sz w:val="24"/>
                <w:szCs w:val="24"/>
              </w:rPr>
              <w:t>元素分析仪</w:t>
            </w:r>
          </w:p>
        </w:tc>
        <w:tc>
          <w:tcPr>
            <w:tcW w:w="681"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091"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套</w:t>
            </w:r>
          </w:p>
        </w:tc>
        <w:tc>
          <w:tcPr>
            <w:tcW w:w="1651"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是</w:t>
            </w:r>
          </w:p>
        </w:tc>
        <w:tc>
          <w:tcPr>
            <w:tcW w:w="1238"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65</w:t>
            </w:r>
          </w:p>
        </w:tc>
        <w:tc>
          <w:tcPr>
            <w:tcW w:w="1260"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58</w:t>
            </w:r>
          </w:p>
        </w:tc>
        <w:tc>
          <w:tcPr>
            <w:tcW w:w="1260" w:type="dxa"/>
            <w:vAlign w:val="center"/>
          </w:tcPr>
          <w:p>
            <w:pPr>
              <w:widowControl/>
              <w:snapToGrid w:val="0"/>
              <w:spacing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工业</w:t>
            </w:r>
          </w:p>
        </w:tc>
      </w:tr>
    </w:tbl>
    <w:p>
      <w:pPr>
        <w:pStyle w:val="5"/>
        <w:numPr>
          <w:ilvl w:val="0"/>
          <w:numId w:val="1"/>
        </w:numPr>
        <w:spacing w:line="360" w:lineRule="auto"/>
        <w:ind w:right="708" w:rightChars="337" w:hanging="905"/>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技术部分</w:t>
      </w:r>
    </w:p>
    <w:p/>
    <w:p>
      <w:pPr>
        <w:widowControl/>
        <w:snapToGrid w:val="0"/>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4409" w:type="dxa"/>
          </w:tcPr>
          <w:p>
            <w:pPr>
              <w:widowControl/>
              <w:snapToGrid w:val="0"/>
              <w:spacing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810" w:type="dxa"/>
          </w:tcPr>
          <w:p>
            <w:pPr>
              <w:widowControl/>
              <w:snapToGrid w:val="0"/>
              <w:spacing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570" w:type="dxa"/>
          </w:tcPr>
          <w:p>
            <w:pPr>
              <w:widowControl/>
              <w:snapToGrid w:val="0"/>
              <w:spacing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w:t>
            </w:r>
          </w:p>
        </w:tc>
        <w:tc>
          <w:tcPr>
            <w:tcW w:w="4409" w:type="dxa"/>
          </w:tcPr>
          <w:p>
            <w:pPr>
              <w:widowControl/>
              <w:snapToGrid w:val="0"/>
              <w:spacing w:beforeLines="5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24"/>
                <w:szCs w:val="24"/>
              </w:rPr>
              <w:t>元素分析仪主机</w:t>
            </w:r>
          </w:p>
        </w:tc>
        <w:tc>
          <w:tcPr>
            <w:tcW w:w="1810"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燃烧炉</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 xml:space="preserve">TCD检测器 </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色谱柱或吸附柱</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五</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1000次耗材包</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六</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锡纸</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10</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七</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钨粒套装</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八</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 xml:space="preserve">还原管 </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九</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十万分之一天平</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 xml:space="preserve">打印复印扫描一体机 </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十一</w:t>
            </w:r>
          </w:p>
        </w:tc>
        <w:tc>
          <w:tcPr>
            <w:tcW w:w="4409" w:type="dxa"/>
          </w:tcPr>
          <w:p>
            <w:pPr>
              <w:widowControl/>
              <w:snapToGrid w:val="0"/>
              <w:spacing w:beforeLines="50" w:line="360" w:lineRule="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sz w:val="24"/>
                <w:szCs w:val="24"/>
              </w:rPr>
              <w:t>数据处理工作站</w:t>
            </w:r>
            <w:r>
              <w:rPr>
                <w:rFonts w:hint="eastAsia" w:ascii="宋体" w:hAnsi="宋体" w:eastAsia="宋体" w:cs="宋体"/>
                <w:color w:val="000000" w:themeColor="text1"/>
                <w:sz w:val="24"/>
                <w:szCs w:val="24"/>
                <w14:textFill>
                  <w14:solidFill>
                    <w14:schemeClr w14:val="tx1"/>
                  </w14:solidFill>
                </w14:textFill>
              </w:rPr>
              <w:t>（内存≥16G, 硬盘≥512G）</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pPr>
              <w:widowControl/>
              <w:snapToGrid w:val="0"/>
              <w:spacing w:beforeLines="50"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十二</w:t>
            </w:r>
          </w:p>
        </w:tc>
        <w:tc>
          <w:tcPr>
            <w:tcW w:w="4409" w:type="dxa"/>
          </w:tcPr>
          <w:p>
            <w:pPr>
              <w:widowControl/>
              <w:snapToGrid w:val="0"/>
              <w:spacing w:beforeLines="50" w:line="360" w:lineRule="auto"/>
              <w:rPr>
                <w:rFonts w:hint="eastAsia" w:ascii="宋体" w:hAnsi="宋体" w:eastAsia="宋体" w:cs="宋体"/>
                <w:bCs/>
                <w:sz w:val="24"/>
                <w:szCs w:val="24"/>
              </w:rPr>
            </w:pPr>
            <w:r>
              <w:rPr>
                <w:rFonts w:hint="eastAsia" w:ascii="宋体" w:hAnsi="宋体" w:eastAsia="宋体" w:cs="宋体"/>
                <w:bCs/>
                <w:sz w:val="24"/>
                <w:szCs w:val="24"/>
              </w:rPr>
              <w:t>维修工具包</w:t>
            </w:r>
          </w:p>
        </w:tc>
        <w:tc>
          <w:tcPr>
            <w:tcW w:w="181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w:t>
            </w:r>
          </w:p>
        </w:tc>
        <w:tc>
          <w:tcPr>
            <w:tcW w:w="1570" w:type="dxa"/>
          </w:tcPr>
          <w:p>
            <w:pPr>
              <w:widowControl/>
              <w:snapToGrid w:val="0"/>
              <w:spacing w:beforeLines="50" w:line="360" w:lineRule="auto"/>
              <w:jc w:val="center"/>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套</w:t>
            </w:r>
          </w:p>
        </w:tc>
      </w:tr>
    </w:tbl>
    <w:p>
      <w:pPr>
        <w:widowControl/>
        <w:snapToGrid w:val="0"/>
        <w:spacing w:beforeLines="50" w:afterLines="50" w:line="360" w:lineRule="auto"/>
        <w:rPr>
          <w:rFonts w:ascii="宋体" w:hAnsi="宋体" w:eastAsia="宋体" w:cs="宋体"/>
          <w:b/>
          <w:bCs/>
          <w:color w:val="000000" w:themeColor="text1"/>
          <w:sz w:val="24"/>
          <w:szCs w:val="24"/>
          <w14:textFill>
            <w14:solidFill>
              <w14:schemeClr w14:val="tx1"/>
            </w14:solidFill>
          </w14:textFill>
        </w:rPr>
      </w:pPr>
    </w:p>
    <w:p>
      <w:pPr>
        <w:widowControl/>
        <w:snapToGrid w:val="0"/>
        <w:spacing w:beforeLines="50" w:after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vAlign w:val="center"/>
          </w:tcPr>
          <w:p>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vAlign w:val="center"/>
          </w:tcPr>
          <w:p>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元素分析仪技术参数和性能指标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51" w:type="dxa"/>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应用范围和要求</w:t>
            </w:r>
          </w:p>
        </w:tc>
        <w:tc>
          <w:tcPr>
            <w:tcW w:w="7879" w:type="dxa"/>
            <w:gridSpan w:val="2"/>
            <w:vAlign w:val="center"/>
          </w:tcPr>
          <w:p>
            <w:pPr>
              <w:rPr>
                <w:rFonts w:hint="eastAsia" w:ascii="宋体" w:hAnsi="宋体" w:eastAsia="宋体" w:cs="宋体"/>
                <w:sz w:val="24"/>
                <w:szCs w:val="24"/>
              </w:rPr>
            </w:pPr>
            <w:r>
              <w:rPr>
                <w:rFonts w:hint="eastAsia" w:ascii="宋体" w:hAnsi="宋体" w:eastAsia="宋体" w:cs="宋体"/>
                <w:sz w:val="24"/>
                <w:szCs w:val="24"/>
              </w:rPr>
              <w:t>分析方法:该有机元素分析仪用于进样量大的样品C、N等元素的测定；样品在高温下燃烧分解，将待测元素转化成气体进行分析，可以在单次样品分析中简单快速获得C、N元素同时分析，由TCD检测器进行检测。</w:t>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分析范围：包括固体废弃物、垃圾、植物、土壤、肥料、食品、化学、药物学产品、高分子聚和物、能源、环保、地质、石化、食品、生物质材料等样品分析测试。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51" w:type="dxa"/>
            <w:vMerge w:val="restart"/>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性能指标</w:t>
            </w:r>
          </w:p>
        </w:tc>
        <w:tc>
          <w:tcPr>
            <w:tcW w:w="7879" w:type="dxa"/>
            <w:gridSpan w:val="2"/>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工作条件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环境温度：-40℃~+40℃；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环境湿度：0-80% 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电源电压  AC  220V ± 10%  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仪器运行的持久性：可长时间连续工作；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879" w:type="dxa"/>
            <w:gridSpan w:val="2"/>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主要技术指标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 xml:space="preserve"> </w:t>
            </w: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测量元素：C、N元素，后期可升级高温燃烧法测试Cl、H、S、O固体样品；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仪器采用紧凑的台式设计，单电源供应模式，整个仪器采用安全电压设计，安全规范符合国家或行业标准；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widowControl/>
              <w:snapToGrid w:val="0"/>
              <w:spacing w:line="360" w:lineRule="auto"/>
              <w:ind w:firstLine="240" w:firstLineChars="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进样方式：惰性气体吹扫样品，保证无空气干扰；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燃烧炉：采用2-3级串联式管反应燃烧炉，高温燃烧温度可达1200℃，瞬时温度可达1800℃，燃烧炉质保≥8年；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采用动态燃烧+延时燃烧技术，加氧时间动态可调，最长加氧燃烧时间≥5分钟；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全自动进样器，内置同步电机控制的进样盘，无卡样风险，在实验进行过程中可随时添加样品；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7130" w:type="dxa"/>
            <w:vAlign w:val="center"/>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检测限：≤60ppm TCD，精密度/标准偏差：CN%≤0.1% ，检测器质保≥8年；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1"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8</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样品量：进样量0.2 mg～1.5 g，以利于不均匀样品和低含量样品的大体积进样，至少连续测100个样(每样≥100mg)不需要清灰，燃烧管和还原管均可重复使用；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9</w:t>
            </w:r>
          </w:p>
        </w:tc>
        <w:tc>
          <w:tcPr>
            <w:tcW w:w="7130" w:type="dxa"/>
            <w:vAlign w:val="center"/>
          </w:tcPr>
          <w:p>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检测范围：CN测量模式，碳0～150 mg绝对量；氮0～100 mg绝对量；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软件自动检漏，提示漏点，分离C:N元素比值高达12000:1的样品，无样品峰重叠，具备分析时间自动优化功能；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仪器仅需氦气和氧气两种分析气体，并且待机状态下氦气零消耗，节省气体；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w:t>
            </w:r>
          </w:p>
        </w:tc>
        <w:tc>
          <w:tcPr>
            <w:tcW w:w="7130" w:type="dxa"/>
            <w:vAlign w:val="center"/>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CN模式下，重复测定标准物质5次，每次进样量不低于50mg，单次进样可同时测试元素的结果，元素测定重复性绝对误差不大于0.3%；</w:t>
            </w:r>
          </w:p>
        </w:tc>
      </w:tr>
    </w:tbl>
    <w:p>
      <w:pPr>
        <w:pStyle w:val="5"/>
        <w:numPr>
          <w:ilvl w:val="0"/>
          <w:numId w:val="1"/>
        </w:numPr>
        <w:spacing w:line="360" w:lineRule="auto"/>
        <w:ind w:right="708" w:rightChars="337" w:hanging="905"/>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商务条款</w:t>
      </w:r>
    </w:p>
    <w:p>
      <w:pPr>
        <w:numPr>
          <w:ilvl w:val="0"/>
          <w:numId w:val="2"/>
        </w:numPr>
        <w:autoSpaceDE w:val="0"/>
        <w:autoSpaceDN w:val="0"/>
        <w:adjustRightInd w:val="0"/>
        <w:spacing w:line="360" w:lineRule="auto"/>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★交货地点：</w:t>
      </w:r>
      <w:r>
        <w:rPr>
          <w:rFonts w:hint="eastAsia" w:ascii="宋体" w:hAnsi="宋体" w:eastAsia="宋体" w:cs="宋体"/>
          <w:color w:val="000000" w:themeColor="text1"/>
          <w:kern w:val="0"/>
          <w:sz w:val="24"/>
          <w:szCs w:val="24"/>
          <w14:textFill>
            <w14:solidFill>
              <w14:schemeClr w14:val="tx1"/>
            </w14:solidFill>
          </w14:textFill>
        </w:rPr>
        <w:t>正式合同</w:t>
      </w:r>
      <w:r>
        <w:rPr>
          <w:rFonts w:hint="eastAsia" w:ascii="宋体" w:hAnsi="宋体" w:eastAsia="宋体" w:cs="宋体"/>
          <w:color w:val="000000" w:themeColor="text1"/>
          <w:kern w:val="0"/>
          <w:sz w:val="24"/>
          <w:szCs w:val="24"/>
          <w:lang w:val="zh-CN"/>
          <w14:textFill>
            <w14:solidFill>
              <w14:schemeClr w14:val="tx1"/>
            </w14:solidFill>
          </w14:textFill>
        </w:rPr>
        <w:t>指定地点。</w:t>
      </w:r>
    </w:p>
    <w:p>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hint="eastAsia" w:ascii="宋体" w:hAnsi="宋体" w:eastAsia="宋体" w:cs="宋体"/>
          <w:color w:val="000000" w:themeColor="text1"/>
          <w:kern w:val="0"/>
          <w:sz w:val="24"/>
          <w:szCs w:val="24"/>
          <w14:textFill>
            <w14:solidFill>
              <w14:schemeClr w14:val="tx1"/>
            </w14:solidFill>
          </w14:textFill>
        </w:rPr>
        <w:t>4个月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pPr>
        <w:numPr>
          <w:ilvl w:val="0"/>
          <w:numId w:val="2"/>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pPr>
        <w:numPr>
          <w:ilvl w:val="0"/>
          <w:numId w:val="3"/>
        </w:numPr>
        <w:tabs>
          <w:tab w:val="left" w:pos="420"/>
          <w:tab w:val="clear" w:pos="312"/>
        </w:tabs>
        <w:autoSpaceDE w:val="0"/>
        <w:autoSpaceDN w:val="0"/>
        <w:adjustRightInd w:val="0"/>
        <w:spacing w:line="360" w:lineRule="auto"/>
        <w:rPr>
          <w:rFonts w:ascii="宋体" w:hAnsi="宋体" w:eastAsia="宋体" w:cs="宋体"/>
          <w:sz w:val="24"/>
          <w:szCs w:val="24"/>
          <w:lang w:val="zh-CN"/>
        </w:rPr>
      </w:pPr>
      <w:r>
        <w:rPr>
          <w:rFonts w:hint="eastAsia" w:ascii="宋体" w:hAnsi="宋体" w:eastAsia="宋体" w:cs="宋体"/>
          <w:sz w:val="24"/>
          <w:szCs w:val="24"/>
        </w:rPr>
        <w:t>本项目允许采购进口产品参与投标，不拒绝投标人选用国产产品参与投标（进口产品是指通过海关验放进入中国境内且产自关境外的进口产品）。</w:t>
      </w:r>
      <w:r>
        <w:rPr>
          <w:rFonts w:hint="eastAsia" w:ascii="宋体" w:hAnsi="宋体" w:cs="仿宋_GB2312"/>
          <w:sz w:val="24"/>
        </w:rPr>
        <w:t>进口产品与服务报CIP指定交货地点人民币价（不含关税、增值税），外贸代理费、清关杂费等由中标人承担；</w:t>
      </w:r>
      <w:r>
        <w:rPr>
          <w:rFonts w:hint="eastAsia" w:ascii="宋体" w:hAnsi="宋体" w:cs="仿宋_GB2312"/>
          <w:bCs/>
          <w:sz w:val="24"/>
        </w:rPr>
        <w:t>对原产于美国的产品，进口时在正常科创免税之外，中国政府加征的特殊关税由中标人承担。</w:t>
      </w:r>
    </w:p>
    <w:p>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cs="仿宋_GB2312"/>
          <w:sz w:val="24"/>
        </w:rPr>
        <w:t>国产产品与服务报项目现场交货人民币价。</w:t>
      </w:r>
      <w:r>
        <w:rPr>
          <w:rFonts w:hint="eastAsia" w:ascii="宋体" w:hAnsi="宋体" w:eastAsia="宋体" w:cs="宋体"/>
          <w:sz w:val="24"/>
          <w:szCs w:val="24"/>
          <w:lang w:val="zh-CN"/>
        </w:rPr>
        <w:t>投标价包</w:t>
      </w:r>
      <w:r>
        <w:rPr>
          <w:rFonts w:hint="eastAsia" w:ascii="宋体" w:hAnsi="宋体" w:eastAsia="宋体" w:cs="宋体"/>
          <w:color w:val="000000" w:themeColor="text1"/>
          <w:sz w:val="24"/>
          <w:szCs w:val="24"/>
          <w:lang w:val="zh-CN"/>
          <w14:textFill>
            <w14:solidFill>
              <w14:schemeClr w14:val="tx1"/>
            </w14:solidFill>
          </w14:textFill>
        </w:rPr>
        <w:t>含仪器设备的价款、包装、税费、运输、装卸、安装、调试、技术指导、培训、咨询、服务、保险、检测、验收合格交付使用之前以及技术和售后服务等其他各项有关费用。</w:t>
      </w:r>
    </w:p>
    <w:p>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投标报价不得超过最高限价。</w:t>
      </w:r>
    </w:p>
    <w:p>
      <w:pPr>
        <w:numPr>
          <w:ilvl w:val="0"/>
          <w:numId w:val="2"/>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b/>
          <w:bCs/>
          <w:color w:val="000000" w:themeColor="text1"/>
          <w:kern w:val="0"/>
          <w:sz w:val="24"/>
          <w:szCs w:val="24"/>
          <w14:textFill>
            <w14:solidFill>
              <w14:schemeClr w14:val="tx1"/>
            </w14:solidFill>
          </w14:textFill>
        </w:rPr>
        <w:t>进</w:t>
      </w:r>
      <w:r>
        <w:rPr>
          <w:rFonts w:hint="eastAsia" w:ascii="宋体" w:hAnsi="宋体" w:eastAsia="宋体" w:cs="宋体"/>
          <w:b/>
          <w:bCs/>
          <w:color w:val="000000" w:themeColor="text1"/>
          <w:kern w:val="0"/>
          <w:sz w:val="24"/>
          <w:szCs w:val="24"/>
          <w:lang w:val="zh-CN"/>
          <w14:textFill>
            <w14:solidFill>
              <w14:schemeClr w14:val="tx1"/>
            </w14:solidFill>
          </w14:textFill>
        </w:rPr>
        <w:t>口产品必须提供原厂有效授权</w:t>
      </w:r>
      <w:r>
        <w:rPr>
          <w:rFonts w:hint="eastAsia" w:ascii="宋体" w:hAnsi="宋体" w:eastAsia="宋体" w:cs="宋体"/>
          <w:b/>
          <w:bCs/>
          <w:color w:val="000000" w:themeColor="text1"/>
          <w:kern w:val="0"/>
          <w:sz w:val="24"/>
          <w:szCs w:val="24"/>
          <w14:textFill>
            <w14:solidFill>
              <w14:schemeClr w14:val="tx1"/>
            </w14:solidFill>
          </w14:textFill>
        </w:rPr>
        <w:t>书</w:t>
      </w:r>
    </w:p>
    <w:p>
      <w:pPr>
        <w:numPr>
          <w:ilvl w:val="0"/>
          <w:numId w:val="2"/>
        </w:numPr>
        <w:tabs>
          <w:tab w:val="left" w:pos="0"/>
        </w:tabs>
        <w:autoSpaceDE w:val="0"/>
        <w:autoSpaceDN w:val="0"/>
        <w:adjustRightInd w:val="0"/>
        <w:spacing w:line="360" w:lineRule="auto"/>
        <w:rPr>
          <w:rFonts w:hint="eastAsia"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★付款方式：</w:t>
      </w:r>
    </w:p>
    <w:p>
      <w:pPr>
        <w:tabs>
          <w:tab w:val="left" w:pos="0"/>
        </w:tabs>
        <w:autoSpaceDE w:val="0"/>
        <w:autoSpaceDN w:val="0"/>
        <w:adjustRightIn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对于国产产品支付方式</w:t>
      </w:r>
      <w:r>
        <w:rPr>
          <w:rFonts w:hint="eastAsia" w:ascii="宋体" w:hAnsi="宋体" w:eastAsia="宋体" w:cs="宋体"/>
          <w:color w:val="000000" w:themeColor="text1"/>
          <w:sz w:val="24"/>
          <w:szCs w:val="24"/>
          <w14:textFill>
            <w14:solidFill>
              <w14:schemeClr w14:val="tx1"/>
            </w14:solidFill>
          </w14:textFill>
        </w:rPr>
        <w:t>:</w:t>
      </w:r>
    </w:p>
    <w:p>
      <w:pPr>
        <w:tabs>
          <w:tab w:val="left" w:pos="0"/>
        </w:tabs>
        <w:autoSpaceDE w:val="0"/>
        <w:autoSpaceDN w:val="0"/>
        <w:adjustRightInd w:val="0"/>
        <w:spacing w:line="360" w:lineRule="auto"/>
        <w:ind w:firstLine="480" w:firstLineChars="200"/>
        <w:rPr>
          <w:rFonts w:ascii="宋体" w:hAnsi="宋体" w:eastAsia="宋体" w:cs="宋体"/>
          <w:sz w:val="24"/>
          <w:szCs w:val="24"/>
          <w:lang w:val="zh-CN"/>
        </w:rPr>
      </w:pPr>
      <w:r>
        <w:rPr>
          <w:rFonts w:hint="eastAsia" w:ascii="宋体" w:hAnsi="宋体" w:eastAsia="宋体" w:cs="宋体"/>
          <w:sz w:val="24"/>
          <w:szCs w:val="24"/>
          <w:lang w:val="zh-CN"/>
        </w:rPr>
        <w:t>合同签订后1个月内支付合同总额的30%；货物送达并</w:t>
      </w:r>
      <w:r>
        <w:rPr>
          <w:rFonts w:cs="宋体"/>
          <w:sz w:val="24"/>
          <w:szCs w:val="24"/>
          <w:lang w:val="zh-CN"/>
        </w:rPr>
        <w:t>开箱清点</w:t>
      </w:r>
      <w:r>
        <w:rPr>
          <w:rFonts w:hint="eastAsia" w:ascii="宋体" w:hAnsi="宋体" w:eastAsia="宋体" w:cs="宋体"/>
          <w:sz w:val="24"/>
          <w:szCs w:val="24"/>
          <w:lang w:val="zh-CN"/>
        </w:rPr>
        <w:t>后1个月内支付合同总额的</w:t>
      </w:r>
      <w:r>
        <w:rPr>
          <w:rFonts w:ascii="宋体" w:hAnsi="宋体" w:eastAsia="宋体" w:cs="宋体"/>
          <w:sz w:val="24"/>
          <w:szCs w:val="24"/>
        </w:rPr>
        <w:t>6</w:t>
      </w:r>
      <w:r>
        <w:rPr>
          <w:rFonts w:hint="eastAsia" w:ascii="宋体" w:hAnsi="宋体" w:eastAsia="宋体" w:cs="宋体"/>
          <w:sz w:val="24"/>
          <w:szCs w:val="24"/>
          <w:lang w:val="zh-CN"/>
        </w:rPr>
        <w:t>0%；货物自验收合格之日起正常运行1个月后即支付合同总额的</w:t>
      </w:r>
      <w:r>
        <w:rPr>
          <w:rFonts w:ascii="宋体" w:hAnsi="宋体" w:eastAsia="宋体" w:cs="宋体"/>
          <w:sz w:val="24"/>
          <w:szCs w:val="24"/>
        </w:rPr>
        <w:t>1</w:t>
      </w:r>
      <w:r>
        <w:rPr>
          <w:rFonts w:hint="eastAsia" w:ascii="宋体" w:hAnsi="宋体" w:eastAsia="宋体" w:cs="宋体"/>
          <w:sz w:val="24"/>
          <w:szCs w:val="24"/>
          <w:lang w:val="zh-CN"/>
        </w:rPr>
        <w:t>0%，或者，采购人</w:t>
      </w:r>
      <w:r>
        <w:rPr>
          <w:rFonts w:hint="eastAsia" w:ascii="宋体" w:hAnsi="宋体" w:eastAsia="宋体" w:cs="宋体"/>
          <w:sz w:val="24"/>
          <w:szCs w:val="24"/>
        </w:rPr>
        <w:t>在</w:t>
      </w:r>
      <w:r>
        <w:rPr>
          <w:rFonts w:hint="eastAsia" w:ascii="宋体" w:hAnsi="宋体" w:eastAsia="宋体" w:cs="宋体"/>
          <w:sz w:val="24"/>
          <w:szCs w:val="24"/>
          <w:lang w:val="zh-CN"/>
        </w:rPr>
        <w:t>收到中标（或成交）供应商合同总额10%的履约保证金后即支付合同总额的</w:t>
      </w:r>
      <w:r>
        <w:rPr>
          <w:rFonts w:ascii="宋体" w:hAnsi="宋体" w:eastAsia="宋体" w:cs="宋体"/>
          <w:sz w:val="24"/>
          <w:szCs w:val="24"/>
        </w:rPr>
        <w:t>1</w:t>
      </w:r>
      <w:r>
        <w:rPr>
          <w:rFonts w:hint="eastAsia" w:ascii="宋体" w:hAnsi="宋体" w:eastAsia="宋体" w:cs="宋体"/>
          <w:sz w:val="24"/>
          <w:szCs w:val="24"/>
          <w:lang w:val="zh-CN"/>
        </w:rPr>
        <w:t>0%，并于货物自验收合格之日起正常运行1个月后，再以转账方式无息退还履约保证金。采购人支付每笔合同进度款前，中标（或成交）供应商应按项目进度及要求提交付款申请，并向采购人出具足额合规有效完税发票。</w:t>
      </w:r>
    </w:p>
    <w:p>
      <w:pPr>
        <w:tabs>
          <w:tab w:val="left" w:pos="0"/>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对于进口产品支付方式</w:t>
      </w:r>
      <w:r>
        <w:rPr>
          <w:rFonts w:hint="eastAsia" w:ascii="宋体" w:hAnsi="宋体" w:eastAsia="宋体" w:cs="宋体"/>
          <w:color w:val="000000" w:themeColor="text1"/>
          <w:sz w:val="24"/>
          <w:szCs w:val="24"/>
          <w14:textFill>
            <w14:solidFill>
              <w14:schemeClr w14:val="tx1"/>
            </w14:solidFill>
          </w14:textFill>
        </w:rPr>
        <w:t>:</w:t>
      </w:r>
    </w:p>
    <w:p>
      <w:pPr>
        <w:numPr>
          <w:ilvl w:val="0"/>
          <w:numId w:val="4"/>
        </w:numPr>
        <w:tabs>
          <w:tab w:val="left" w:pos="0"/>
        </w:tabs>
        <w:autoSpaceDE w:val="0"/>
        <w:autoSpaceDN w:val="0"/>
        <w:adjustRightInd w:val="0"/>
        <w:spacing w:line="360" w:lineRule="auto"/>
        <w:ind w:firstLine="480" w:firstLineChars="20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采用即期不可撤销信用证等国际贸易支付条件支付：</w:t>
      </w:r>
      <w:r>
        <w:rPr>
          <w:rFonts w:hint="eastAsia" w:ascii="宋体" w:hAnsi="宋体" w:eastAsia="宋体" w:cs="宋体"/>
          <w:color w:val="000000" w:themeColor="text1"/>
          <w:sz w:val="24"/>
          <w:szCs w:val="24"/>
          <w14:textFill>
            <w14:solidFill>
              <w14:schemeClr w14:val="tx1"/>
            </w14:solidFill>
          </w14:textFill>
        </w:rPr>
        <w:t>8</w:t>
      </w:r>
      <w:r>
        <w:rPr>
          <w:rFonts w:hint="eastAsia" w:ascii="宋体" w:hAnsi="宋体" w:eastAsia="宋体" w:cs="宋体"/>
          <w:color w:val="000000" w:themeColor="text1"/>
          <w:sz w:val="24"/>
          <w:szCs w:val="24"/>
          <w:lang w:val="zh-CN"/>
          <w14:textFill>
            <w14:solidFill>
              <w14:schemeClr w14:val="tx1"/>
            </w14:solidFill>
          </w14:textFill>
        </w:rPr>
        <w:t>0%凭合同要求单据支付；</w:t>
      </w:r>
    </w:p>
    <w:p>
      <w:pPr>
        <w:numPr>
          <w:ilvl w:val="0"/>
          <w:numId w:val="4"/>
        </w:numPr>
        <w:tabs>
          <w:tab w:val="left" w:pos="0"/>
        </w:tabs>
        <w:autoSpaceDE w:val="0"/>
        <w:autoSpaceDN w:val="0"/>
        <w:adjustRightInd w:val="0"/>
        <w:spacing w:line="360" w:lineRule="auto"/>
        <w:ind w:firstLine="480" w:firstLineChars="200"/>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zh-CN"/>
          <w14:textFill>
            <w14:solidFill>
              <w14:schemeClr w14:val="tx1"/>
            </w14:solidFill>
          </w14:textFill>
        </w:rPr>
        <w:t>0%凭用户代表签字并加盖单位公章后的验收报告支付。</w:t>
      </w:r>
    </w:p>
    <w:p>
      <w:pPr>
        <w:numPr>
          <w:ilvl w:val="0"/>
          <w:numId w:val="2"/>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投标人需为本项目配备足够的售后服务力量，具有国内本地化的服务团队。</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投标人售后服务响应时间：电话响应时间要求1小时内，到场响应时间要求3个工作日内（指从接到报障至到达故障现场的时间）。</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投标人免费提供技术支持热线电话，满足24小时热线服务。</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投标人免费提供email技术支持，并且在24小时内回复。</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投标人提供仪器设备的免费保修期一年（保修期内免费维修并更换除消耗品以外的零部件，维修人员的路费、食宿等自理）。</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投标人提供配套软件三年内免费升级服务。</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投标人提供设备二次搬运（含保险）服务。</w:t>
      </w:r>
    </w:p>
    <w:p>
      <w:pPr>
        <w:widowControl/>
        <w:numPr>
          <w:ilvl w:val="0"/>
          <w:numId w:val="5"/>
        </w:numPr>
        <w:tabs>
          <w:tab w:val="left" w:pos="420"/>
          <w:tab w:val="clear" w:pos="1500"/>
        </w:tabs>
        <w:spacing w:beforeLines="50" w:line="360" w:lineRule="auto"/>
        <w:ind w:left="420"/>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★产品整机质保期为一年，核心部件高温燃烧炉、</w:t>
      </w:r>
      <w:r>
        <w:rPr>
          <w:sz w:val="24"/>
          <w:szCs w:val="24"/>
        </w:rPr>
        <w:t>热导检测器TCD</w:t>
      </w:r>
      <w:r>
        <w:rPr>
          <w:rFonts w:hint="eastAsia" w:ascii="宋体" w:hAnsi="宋体" w:eastAsia="宋体" w:cs="宋体"/>
          <w:color w:val="000000" w:themeColor="text1"/>
          <w:kern w:val="0"/>
          <w:sz w:val="24"/>
          <w:szCs w:val="24"/>
          <w:lang w:val="zh-CN"/>
          <w14:textFill>
            <w14:solidFill>
              <w14:schemeClr w14:val="tx1"/>
            </w14:solidFill>
          </w14:textFill>
        </w:rPr>
        <w:t>质保8年，在质保期内针对质保对象属产品质量问题所发生的一切费用由供方负担。</w:t>
      </w:r>
    </w:p>
    <w:p>
      <w:pPr>
        <w:pStyle w:val="6"/>
        <w:spacing w:line="360" w:lineRule="auto"/>
        <w:ind w:firstLine="480"/>
        <w:rPr>
          <w:rFonts w:hint="default" w:cs="宋体"/>
          <w:color w:val="000000" w:themeColor="text1"/>
          <w:sz w:val="24"/>
          <w:szCs w:val="24"/>
          <w:lang w:val="zh-CN"/>
          <w14:textFill>
            <w14:solidFill>
              <w14:schemeClr w14:val="tx1"/>
            </w14:solidFill>
          </w14:textFill>
        </w:rPr>
      </w:pPr>
    </w:p>
    <w:p>
      <w:pPr>
        <w:widowControl/>
        <w:numPr>
          <w:ilvl w:val="0"/>
          <w:numId w:val="2"/>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pPr>
        <w:widowControl/>
        <w:numPr>
          <w:ilvl w:val="0"/>
          <w:numId w:val="6"/>
        </w:numPr>
        <w:tabs>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pPr>
        <w:widowControl/>
        <w:numPr>
          <w:ilvl w:val="0"/>
          <w:numId w:val="6"/>
        </w:numPr>
        <w:tabs>
          <w:tab w:val="clear" w:pos="1500"/>
        </w:tabs>
        <w:spacing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w:t>
      </w:r>
      <w:r>
        <w:rPr>
          <w:sz w:val="24"/>
          <w:szCs w:val="24"/>
        </w:rPr>
        <w:t>培训</w:t>
      </w:r>
      <w:r>
        <w:rPr>
          <w:rFonts w:hint="eastAsia"/>
          <w:sz w:val="24"/>
          <w:szCs w:val="24"/>
        </w:rPr>
        <w:t>5</w:t>
      </w:r>
      <w:r>
        <w:rPr>
          <w:sz w:val="24"/>
          <w:szCs w:val="24"/>
        </w:rPr>
        <w:t>人以上</w:t>
      </w:r>
      <w:r>
        <w:rPr>
          <w:rFonts w:hint="eastAsia"/>
          <w:sz w:val="24"/>
          <w:szCs w:val="24"/>
        </w:rPr>
        <w:t>，包括仪器原理、日常使用注意事项、故障维护和检修等</w:t>
      </w:r>
      <w:r>
        <w:rPr>
          <w:rFonts w:hint="eastAsia" w:ascii="宋体" w:hAnsi="宋体" w:eastAsia="宋体" w:cs="宋体"/>
          <w:color w:val="000000" w:themeColor="text1"/>
          <w:sz w:val="24"/>
          <w:szCs w:val="24"/>
          <w14:textFill>
            <w14:solidFill>
              <w14:schemeClr w14:val="tx1"/>
            </w14:solidFill>
          </w14:textFill>
        </w:rPr>
        <w:t>；培训至采购人可独立熟练操作为止,并能及时排除大部分的系统障碍</w:t>
      </w:r>
      <w:r>
        <w:rPr>
          <w:rFonts w:hint="eastAsia"/>
          <w:sz w:val="24"/>
          <w:szCs w:val="24"/>
        </w:rPr>
        <w:t>。</w:t>
      </w:r>
    </w:p>
    <w:p>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pPr>
        <w:pStyle w:val="6"/>
        <w:numPr>
          <w:ilvl w:val="0"/>
          <w:numId w:val="7"/>
        </w:numPr>
        <w:spacing w:line="360" w:lineRule="auto"/>
        <w:ind w:firstLineChars="0"/>
        <w:rPr>
          <w:rFonts w:hint="default" w:cs="宋体"/>
          <w:bCs/>
          <w:color w:val="000000" w:themeColor="text1"/>
          <w:kern w:val="0"/>
          <w:sz w:val="24"/>
          <w:szCs w:val="24"/>
          <w:lang w:val="zh-CN"/>
          <w14:textFill>
            <w14:solidFill>
              <w14:schemeClr w14:val="tx1"/>
            </w14:solidFill>
          </w14:textFill>
        </w:rPr>
      </w:pPr>
      <w:r>
        <w:rPr>
          <w:rFonts w:cs="宋体"/>
          <w:bCs/>
          <w:color w:val="000000" w:themeColor="text1"/>
          <w:kern w:val="0"/>
          <w:sz w:val="24"/>
          <w:szCs w:val="24"/>
          <w14:textFill>
            <w14:solidFill>
              <w14:schemeClr w14:val="tx1"/>
            </w14:solidFill>
          </w14:textFill>
        </w:rPr>
        <w:t>合同签订后15天内，中标人应</w:t>
      </w:r>
      <w:r>
        <w:rPr>
          <w:rFonts w:cs="宋体"/>
          <w:bCs/>
          <w:color w:val="000000" w:themeColor="text1"/>
          <w:kern w:val="0"/>
          <w:sz w:val="24"/>
          <w:szCs w:val="24"/>
          <w:lang w:val="zh-CN"/>
          <w14:textFill>
            <w14:solidFill>
              <w14:schemeClr w14:val="tx1"/>
            </w14:solidFill>
          </w14:textFill>
        </w:rPr>
        <w:t>提供</w:t>
      </w:r>
      <w:r>
        <w:rPr>
          <w:rFonts w:cs="宋体"/>
          <w:color w:val="000000" w:themeColor="text1"/>
          <w:sz w:val="24"/>
          <w:szCs w:val="24"/>
          <w14:textFill>
            <w14:solidFill>
              <w14:schemeClr w14:val="tx1"/>
            </w14:solidFill>
          </w14:textFill>
        </w:rPr>
        <w:t>仪器安装前对实验室的具体安装</w:t>
      </w:r>
      <w:r>
        <w:rPr>
          <w:rFonts w:cs="宋体"/>
          <w:bCs/>
          <w:color w:val="000000" w:themeColor="text1"/>
          <w:kern w:val="0"/>
          <w:sz w:val="24"/>
          <w:szCs w:val="24"/>
          <w:lang w:val="zh-CN"/>
          <w14:textFill>
            <w14:solidFill>
              <w14:schemeClr w14:val="tx1"/>
            </w14:solidFill>
          </w14:textFill>
        </w:rPr>
        <w:t>条件</w:t>
      </w:r>
      <w:r>
        <w:rPr>
          <w:rFonts w:cs="宋体"/>
          <w:color w:val="000000" w:themeColor="text1"/>
          <w:sz w:val="24"/>
          <w:szCs w:val="24"/>
          <w14:textFill>
            <w14:solidFill>
              <w14:schemeClr w14:val="tx1"/>
            </w14:solidFill>
          </w14:textFill>
        </w:rPr>
        <w:t>要求</w:t>
      </w:r>
      <w:r>
        <w:rPr>
          <w:rFonts w:cs="宋体"/>
          <w:bCs/>
          <w:color w:val="000000" w:themeColor="text1"/>
          <w:kern w:val="0"/>
          <w:sz w:val="24"/>
          <w:szCs w:val="24"/>
          <w:lang w:val="zh-CN"/>
          <w14:textFill>
            <w14:solidFill>
              <w14:schemeClr w14:val="tx1"/>
            </w14:solidFill>
          </w14:textFill>
        </w:rPr>
        <w:t>，</w:t>
      </w:r>
      <w:r>
        <w:rPr>
          <w:rFonts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pStyle w:val="6"/>
        <w:numPr>
          <w:ilvl w:val="0"/>
          <w:numId w:val="7"/>
        </w:numPr>
        <w:spacing w:line="360" w:lineRule="auto"/>
        <w:ind w:firstLineChars="0"/>
        <w:rPr>
          <w:rFonts w:hint="default" w:cs="宋体"/>
          <w:bCs/>
          <w:color w:val="000000" w:themeColor="text1"/>
          <w:kern w:val="0"/>
          <w:sz w:val="24"/>
          <w:szCs w:val="24"/>
          <w:lang w:val="zh-CN"/>
          <w14:textFill>
            <w14:solidFill>
              <w14:schemeClr w14:val="tx1"/>
            </w14:solidFill>
          </w14:textFill>
        </w:rPr>
      </w:pPr>
      <w:r>
        <w:rPr>
          <w:rFonts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pStyle w:val="6"/>
        <w:numPr>
          <w:ilvl w:val="0"/>
          <w:numId w:val="7"/>
        </w:numPr>
        <w:spacing w:line="360" w:lineRule="auto"/>
        <w:ind w:firstLineChars="0"/>
        <w:rPr>
          <w:rFonts w:hint="default" w:cs="宋体"/>
          <w:bCs/>
          <w:color w:val="000000" w:themeColor="text1"/>
          <w:kern w:val="0"/>
          <w:sz w:val="24"/>
          <w:szCs w:val="24"/>
          <w:lang w:val="zh-CN"/>
          <w14:textFill>
            <w14:solidFill>
              <w14:schemeClr w14:val="tx1"/>
            </w14:solidFill>
          </w14:textFill>
        </w:rPr>
      </w:pPr>
      <w:r>
        <w:rPr>
          <w:rFonts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pStyle w:val="6"/>
        <w:numPr>
          <w:ilvl w:val="0"/>
          <w:numId w:val="7"/>
        </w:numPr>
        <w:spacing w:line="360" w:lineRule="auto"/>
        <w:ind w:firstLineChars="0"/>
        <w:rPr>
          <w:rFonts w:hint="default" w:cs="宋体"/>
          <w:color w:val="000000" w:themeColor="text1"/>
          <w:sz w:val="24"/>
          <w:szCs w:val="24"/>
          <w:lang w:val="zh-CN"/>
          <w14:textFill>
            <w14:solidFill>
              <w14:schemeClr w14:val="tx1"/>
            </w14:solidFill>
          </w14:textFill>
        </w:rPr>
      </w:pPr>
      <w:r>
        <w:rPr>
          <w:rFonts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pPr>
        <w:numPr>
          <w:ilvl w:val="0"/>
          <w:numId w:val="8"/>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8"/>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F222F"/>
    <w:multiLevelType w:val="singleLevel"/>
    <w:tmpl w:val="030F222F"/>
    <w:lvl w:ilvl="0" w:tentative="0">
      <w:start w:val="1"/>
      <w:numFmt w:val="decimal"/>
      <w:lvlText w:val="%1)"/>
      <w:lvlJc w:val="left"/>
      <w:pPr>
        <w:tabs>
          <w:tab w:val="left" w:pos="312"/>
        </w:tabs>
      </w:pPr>
    </w:lvl>
  </w:abstractNum>
  <w:abstractNum w:abstractNumId="1">
    <w:nsid w:val="04986757"/>
    <w:multiLevelType w:val="singleLevel"/>
    <w:tmpl w:val="04986757"/>
    <w:lvl w:ilvl="0" w:tentative="0">
      <w:start w:val="1"/>
      <w:numFmt w:val="decimal"/>
      <w:lvlText w:val="%1)"/>
      <w:lvlJc w:val="left"/>
      <w:pPr>
        <w:ind w:left="425" w:hanging="425"/>
      </w:pPr>
      <w:rPr>
        <w:rFonts w:hint="default"/>
      </w:rPr>
    </w:lvl>
  </w:abstractNum>
  <w:abstractNum w:abstractNumId="2">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6E8E1544"/>
    <w:multiLevelType w:val="singleLevel"/>
    <w:tmpl w:val="6E8E1544"/>
    <w:lvl w:ilvl="0" w:tentative="0">
      <w:start w:val="1"/>
      <w:numFmt w:val="decimal"/>
      <w:suff w:val="nothing"/>
      <w:lvlText w:val="%1、"/>
      <w:lvlJc w:val="left"/>
    </w:lvl>
  </w:abstractNum>
  <w:abstractNum w:abstractNumId="5">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7">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6"/>
  </w:num>
  <w:num w:numId="2">
    <w:abstractNumId w:val="7"/>
  </w:num>
  <w:num w:numId="3">
    <w:abstractNumId w:val="0"/>
  </w:num>
  <w:num w:numId="4">
    <w:abstractNumId w:val="4"/>
  </w:num>
  <w:num w:numId="5">
    <w:abstractNumId w:val="2"/>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wNmYzNTdjN2ZlYjFiMTM1ZDhlN2NmZmFiODU3YTQifQ=="/>
  </w:docVars>
  <w:rsids>
    <w:rsidRoot w:val="6B137A18"/>
    <w:rsid w:val="3FA21BCB"/>
    <w:rsid w:val="6B137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Title"/>
    <w:basedOn w:val="1"/>
    <w:next w:val="1"/>
    <w:qFormat/>
    <w:uiPriority w:val="0"/>
    <w:pPr>
      <w:jc w:val="center"/>
    </w:pPr>
    <w:rPr>
      <w:sz w:val="30"/>
    </w:rPr>
  </w:style>
  <w:style w:type="paragraph" w:styleId="6">
    <w:name w:val="Body Text First Indent 2"/>
    <w:basedOn w:val="3"/>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4355</Words>
  <Characters>4500</Characters>
  <Lines>0</Lines>
  <Paragraphs>0</Paragraphs>
  <TotalTime>0</TotalTime>
  <ScaleCrop>false</ScaleCrop>
  <LinksUpToDate>false</LinksUpToDate>
  <CharactersWithSpaces>4558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2024-06-27T06:36:00Z</dcterms:created>
  <dc:creator>DF</dc:creator>
  <cp:lastModifiedBy>清</cp:lastModifiedBy>
  <dcterms:modified xsi:type="dcterms:W3CDTF">2024-06-28T01:52:02Z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E073012140764FBA8C6F495253DCCE52_13</vt:lpwstr>
  </property>
</Properties>
</file>