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bCs/>
          <w:color w:val="auto"/>
          <w:szCs w:val="32"/>
          <w:highlight w:val="none"/>
        </w:rPr>
      </w:pPr>
      <w:bookmarkStart w:id="1" w:name="_GoBack"/>
      <w:bookmarkEnd w:id="1"/>
      <w:r>
        <w:rPr>
          <w:b/>
          <w:color w:val="auto"/>
          <w:sz w:val="44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4242435</wp:posOffset>
            </wp:positionH>
            <wp:positionV relativeFrom="paragraph">
              <wp:posOffset>31115</wp:posOffset>
            </wp:positionV>
            <wp:extent cx="1628775" cy="600075"/>
            <wp:effectExtent l="0" t="0" r="9525" b="9525"/>
            <wp:wrapTight wrapText="bothSides">
              <wp:wrapPolygon>
                <wp:start x="-126" y="0"/>
                <wp:lineTo x="-126" y="21257"/>
                <wp:lineTo x="21600" y="21257"/>
                <wp:lineTo x="21600" y="0"/>
                <wp:lineTo x="-126" y="0"/>
              </wp:wrapPolygon>
            </wp:wrapTight>
            <wp:docPr id="1" name="图片 8" descr="无标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8" descr="无标题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color w:val="auto"/>
          <w:sz w:val="32"/>
          <w:szCs w:val="32"/>
          <w:highlight w:val="none"/>
        </w:rPr>
        <w:t xml:space="preserve">                                           </w:t>
      </w:r>
    </w:p>
    <w:p>
      <w:pPr>
        <w:ind w:right="-281"/>
        <w:jc w:val="right"/>
        <w:rPr>
          <w:b/>
          <w:color w:val="auto"/>
          <w:sz w:val="28"/>
          <w:highlight w:val="none"/>
        </w:rPr>
      </w:pPr>
    </w:p>
    <w:p>
      <w:pPr>
        <w:spacing w:after="312" w:afterLines="100" w:line="500" w:lineRule="exact"/>
        <w:jc w:val="center"/>
        <w:rPr>
          <w:b/>
          <w:color w:val="auto"/>
          <w:sz w:val="44"/>
          <w:szCs w:val="44"/>
          <w:highlight w:val="none"/>
        </w:rPr>
      </w:pPr>
    </w:p>
    <w:p>
      <w:pPr>
        <w:spacing w:after="312" w:afterLines="100" w:line="500" w:lineRule="exact"/>
        <w:jc w:val="center"/>
        <w:rPr>
          <w:b/>
          <w:color w:val="auto"/>
          <w:sz w:val="52"/>
          <w:szCs w:val="52"/>
          <w:highlight w:val="none"/>
        </w:rPr>
      </w:pPr>
    </w:p>
    <w:p>
      <w:pPr>
        <w:spacing w:after="312" w:afterLines="100" w:line="500" w:lineRule="exact"/>
        <w:jc w:val="center"/>
        <w:rPr>
          <w:b/>
          <w:color w:val="auto"/>
          <w:sz w:val="52"/>
          <w:szCs w:val="52"/>
          <w:highlight w:val="none"/>
        </w:rPr>
      </w:pPr>
      <w:r>
        <w:rPr>
          <w:b/>
          <w:color w:val="auto"/>
          <w:sz w:val="52"/>
          <w:szCs w:val="52"/>
          <w:highlight w:val="none"/>
        </w:rPr>
        <w:t>中国科学院城市环境研究所</w:t>
      </w:r>
    </w:p>
    <w:p>
      <w:pPr>
        <w:spacing w:after="312" w:afterLines="100"/>
        <w:jc w:val="center"/>
        <w:rPr>
          <w:b/>
          <w:color w:val="auto"/>
          <w:sz w:val="52"/>
          <w:szCs w:val="52"/>
          <w:highlight w:val="none"/>
        </w:rPr>
      </w:pPr>
      <w:r>
        <w:rPr>
          <w:b/>
          <w:color w:val="auto"/>
          <w:sz w:val="52"/>
          <w:szCs w:val="52"/>
          <w:highlight w:val="none"/>
          <w:u w:val="none"/>
        </w:rPr>
        <w:t>电子顺磁共振波谱仪</w:t>
      </w:r>
      <w:r>
        <w:rPr>
          <w:b/>
          <w:color w:val="auto"/>
          <w:sz w:val="52"/>
          <w:szCs w:val="52"/>
          <w:highlight w:val="none"/>
        </w:rPr>
        <w:t>采购项目</w:t>
      </w:r>
    </w:p>
    <w:p>
      <w:pPr>
        <w:spacing w:line="360" w:lineRule="auto"/>
        <w:jc w:val="center"/>
        <w:rPr>
          <w:b/>
          <w:color w:val="auto"/>
          <w:sz w:val="44"/>
          <w:highlight w:val="none"/>
        </w:rPr>
      </w:pPr>
    </w:p>
    <w:p>
      <w:pPr>
        <w:spacing w:line="360" w:lineRule="auto"/>
        <w:rPr>
          <w:b/>
          <w:color w:val="auto"/>
          <w:sz w:val="44"/>
          <w:highlight w:val="none"/>
        </w:rPr>
      </w:pPr>
    </w:p>
    <w:p>
      <w:pPr>
        <w:spacing w:line="360" w:lineRule="auto"/>
        <w:jc w:val="center"/>
        <w:rPr>
          <w:b/>
          <w:color w:val="auto"/>
          <w:szCs w:val="21"/>
          <w:highlight w:val="none"/>
        </w:rPr>
      </w:pPr>
      <w:r>
        <w:rPr>
          <w:b/>
          <w:color w:val="auto"/>
          <w:sz w:val="72"/>
          <w:szCs w:val="52"/>
          <w:highlight w:val="none"/>
        </w:rPr>
        <w:t>招  标  文  件</w:t>
      </w:r>
    </w:p>
    <w:p>
      <w:pPr>
        <w:spacing w:line="360" w:lineRule="auto"/>
        <w:jc w:val="center"/>
        <w:rPr>
          <w:b/>
          <w:color w:val="auto"/>
          <w:sz w:val="32"/>
          <w:szCs w:val="32"/>
          <w:highlight w:val="none"/>
        </w:rPr>
      </w:pPr>
    </w:p>
    <w:p>
      <w:pPr>
        <w:spacing w:line="360" w:lineRule="auto"/>
        <w:jc w:val="center"/>
        <w:rPr>
          <w:b/>
          <w:color w:val="auto"/>
          <w:sz w:val="44"/>
          <w:szCs w:val="44"/>
          <w:highlight w:val="none"/>
        </w:rPr>
      </w:pPr>
      <w:r>
        <w:rPr>
          <w:b/>
          <w:color w:val="auto"/>
          <w:sz w:val="44"/>
          <w:szCs w:val="44"/>
          <w:highlight w:val="none"/>
        </w:rPr>
        <w:t>第二册</w:t>
      </w:r>
    </w:p>
    <w:p>
      <w:pPr>
        <w:spacing w:line="360" w:lineRule="auto"/>
        <w:jc w:val="center"/>
        <w:rPr>
          <w:b/>
          <w:color w:val="auto"/>
          <w:sz w:val="44"/>
          <w:szCs w:val="44"/>
          <w:highlight w:val="none"/>
        </w:rPr>
      </w:pPr>
      <w:r>
        <w:rPr>
          <w:b/>
          <w:color w:val="auto"/>
          <w:sz w:val="44"/>
          <w:szCs w:val="44"/>
          <w:highlight w:val="none"/>
        </w:rPr>
        <w:t>（专用册）</w:t>
      </w:r>
    </w:p>
    <w:p>
      <w:pPr>
        <w:spacing w:line="360" w:lineRule="auto"/>
        <w:jc w:val="center"/>
        <w:rPr>
          <w:b/>
          <w:color w:val="auto"/>
          <w:sz w:val="30"/>
          <w:szCs w:val="30"/>
          <w:highlight w:val="none"/>
        </w:rPr>
      </w:pPr>
    </w:p>
    <w:p>
      <w:pPr>
        <w:spacing w:line="360" w:lineRule="auto"/>
        <w:jc w:val="center"/>
        <w:rPr>
          <w:b/>
          <w:color w:val="auto"/>
          <w:sz w:val="32"/>
          <w:highlight w:val="none"/>
        </w:rPr>
      </w:pPr>
      <w:r>
        <w:rPr>
          <w:b/>
          <w:color w:val="auto"/>
          <w:sz w:val="36"/>
          <w:szCs w:val="36"/>
          <w:highlight w:val="none"/>
        </w:rPr>
        <w:t>招标编号：</w:t>
      </w:r>
      <w:r>
        <w:rPr>
          <w:b/>
          <w:color w:val="auto"/>
          <w:sz w:val="36"/>
          <w:szCs w:val="36"/>
          <w:highlight w:val="none"/>
          <w:u w:val="single"/>
        </w:rPr>
        <w:t>OITC-G240300882</w:t>
      </w:r>
    </w:p>
    <w:p>
      <w:pPr>
        <w:spacing w:line="360" w:lineRule="auto"/>
        <w:jc w:val="center"/>
        <w:rPr>
          <w:b/>
          <w:color w:val="auto"/>
          <w:sz w:val="32"/>
          <w:highlight w:val="none"/>
        </w:rPr>
      </w:pPr>
    </w:p>
    <w:p>
      <w:pPr>
        <w:adjustRightInd w:val="0"/>
        <w:snapToGrid w:val="0"/>
        <w:spacing w:before="120"/>
        <w:jc w:val="center"/>
        <w:rPr>
          <w:b/>
          <w:bCs/>
          <w:snapToGrid w:val="0"/>
          <w:color w:val="auto"/>
          <w:spacing w:val="20"/>
          <w:sz w:val="36"/>
          <w:szCs w:val="36"/>
          <w:highlight w:val="none"/>
        </w:rPr>
      </w:pPr>
      <w:r>
        <w:rPr>
          <w:b/>
          <w:bCs/>
          <w:snapToGrid w:val="0"/>
          <w:color w:val="auto"/>
          <w:spacing w:val="20"/>
          <w:sz w:val="36"/>
          <w:szCs w:val="36"/>
          <w:highlight w:val="none"/>
        </w:rPr>
        <w:t>东方国际招标有限责任公司</w:t>
      </w:r>
    </w:p>
    <w:p>
      <w:pPr>
        <w:adjustRightInd w:val="0"/>
        <w:snapToGrid w:val="0"/>
        <w:jc w:val="center"/>
        <w:rPr>
          <w:b/>
          <w:snapToGrid w:val="0"/>
          <w:color w:val="auto"/>
          <w:sz w:val="36"/>
          <w:szCs w:val="36"/>
          <w:highlight w:val="none"/>
        </w:rPr>
      </w:pPr>
    </w:p>
    <w:p>
      <w:pPr>
        <w:adjustRightInd w:val="0"/>
        <w:snapToGrid w:val="0"/>
        <w:jc w:val="center"/>
        <w:rPr>
          <w:b/>
          <w:snapToGrid w:val="0"/>
          <w:color w:val="auto"/>
          <w:sz w:val="36"/>
          <w:szCs w:val="36"/>
          <w:highlight w:val="none"/>
        </w:rPr>
      </w:pPr>
      <w:r>
        <w:rPr>
          <w:b/>
          <w:snapToGrid w:val="0"/>
          <w:color w:val="auto"/>
          <w:sz w:val="36"/>
          <w:szCs w:val="36"/>
          <w:highlight w:val="none"/>
        </w:rPr>
        <w:t>中国 · 北京</w:t>
      </w:r>
    </w:p>
    <w:p>
      <w:pPr>
        <w:adjustRightInd w:val="0"/>
        <w:snapToGrid w:val="0"/>
        <w:jc w:val="center"/>
        <w:rPr>
          <w:b/>
          <w:color w:val="auto"/>
          <w:sz w:val="32"/>
          <w:szCs w:val="32"/>
          <w:highlight w:val="none"/>
        </w:rPr>
      </w:pPr>
      <w:r>
        <w:rPr>
          <w:b/>
          <w:snapToGrid w:val="0"/>
          <w:color w:val="auto"/>
          <w:sz w:val="36"/>
          <w:szCs w:val="36"/>
          <w:highlight w:val="none"/>
        </w:rPr>
        <w:t>2024年6月</w:t>
      </w:r>
    </w:p>
    <w:p>
      <w:pPr>
        <w:pStyle w:val="2"/>
        <w:snapToGrid w:val="0"/>
        <w:spacing w:before="0" w:after="0" w:line="240" w:lineRule="auto"/>
        <w:rPr>
          <w:rFonts w:ascii="Times New Roman"/>
          <w:color w:val="auto"/>
          <w:sz w:val="24"/>
          <w:szCs w:val="24"/>
          <w:highlight w:val="none"/>
        </w:rPr>
      </w:pPr>
    </w:p>
    <w:p>
      <w:pPr>
        <w:adjustRightInd w:val="0"/>
        <w:snapToGrid w:val="0"/>
        <w:rPr>
          <w:color w:val="auto"/>
          <w:highlight w:val="none"/>
        </w:rPr>
      </w:pPr>
    </w:p>
    <w:p>
      <w:pPr>
        <w:adjustRightInd w:val="0"/>
        <w:snapToGrid w:val="0"/>
        <w:rPr>
          <w:color w:val="auto"/>
          <w:highlight w:val="none"/>
        </w:rPr>
      </w:pPr>
    </w:p>
    <w:p>
      <w:pPr>
        <w:adjustRightInd w:val="0"/>
        <w:snapToGrid w:val="0"/>
        <w:rPr>
          <w:color w:val="auto"/>
          <w:highlight w:val="none"/>
        </w:rPr>
      </w:pPr>
    </w:p>
    <w:p>
      <w:pPr>
        <w:adjustRightInd w:val="0"/>
        <w:snapToGrid w:val="0"/>
        <w:rPr>
          <w:color w:val="auto"/>
          <w:highlight w:val="none"/>
        </w:rPr>
      </w:pPr>
    </w:p>
    <w:p>
      <w:pPr>
        <w:adjustRightInd w:val="0"/>
        <w:snapToGrid w:val="0"/>
        <w:rPr>
          <w:color w:val="auto"/>
          <w:highlight w:val="none"/>
        </w:rPr>
      </w:pPr>
    </w:p>
    <w:p>
      <w:pPr>
        <w:adjustRightInd w:val="0"/>
        <w:snapToGrid w:val="0"/>
        <w:jc w:val="center"/>
        <w:rPr>
          <w:b/>
          <w:color w:val="auto"/>
          <w:sz w:val="24"/>
          <w:highlight w:val="none"/>
        </w:rPr>
      </w:pPr>
      <w:bookmarkStart w:id="0" w:name="_Toc512937852"/>
    </w:p>
    <w:p>
      <w:pPr>
        <w:adjustRightInd w:val="0"/>
        <w:snapToGrid w:val="0"/>
        <w:jc w:val="center"/>
        <w:rPr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b/>
          <w:color w:val="auto"/>
          <w:sz w:val="24"/>
          <w:highlight w:val="none"/>
        </w:rPr>
      </w:pPr>
    </w:p>
    <w:p>
      <w:pPr>
        <w:adjustRightInd w:val="0"/>
        <w:snapToGrid w:val="0"/>
        <w:spacing w:before="936" w:beforeLines="300"/>
        <w:jc w:val="center"/>
        <w:rPr>
          <w:rFonts w:eastAsia="黑体"/>
          <w:b/>
          <w:color w:val="auto"/>
          <w:kern w:val="44"/>
          <w:sz w:val="48"/>
          <w:szCs w:val="20"/>
          <w:highlight w:val="none"/>
        </w:rPr>
      </w:pPr>
      <w:r>
        <w:rPr>
          <w:rFonts w:eastAsia="黑体"/>
          <w:b/>
          <w:color w:val="auto"/>
          <w:kern w:val="44"/>
          <w:sz w:val="48"/>
          <w:szCs w:val="20"/>
          <w:highlight w:val="none"/>
        </w:rPr>
        <w:t>第八部分  采购需求</w:t>
      </w:r>
      <w:r>
        <w:rPr>
          <w:rFonts w:eastAsia="黑体"/>
          <w:b/>
          <w:color w:val="auto"/>
          <w:kern w:val="44"/>
          <w:sz w:val="48"/>
          <w:szCs w:val="20"/>
          <w:highlight w:val="none"/>
        </w:rPr>
        <w:br w:type="page"/>
      </w:r>
    </w:p>
    <w:bookmarkEnd w:id="0"/>
    <w:p>
      <w:pPr>
        <w:adjustRightInd w:val="0"/>
        <w:snapToGrid w:val="0"/>
        <w:jc w:val="center"/>
        <w:rPr>
          <w:b/>
          <w:color w:val="auto"/>
          <w:sz w:val="30"/>
          <w:szCs w:val="30"/>
          <w:highlight w:val="none"/>
        </w:rPr>
      </w:pPr>
      <w:r>
        <w:rPr>
          <w:b/>
          <w:color w:val="auto"/>
          <w:sz w:val="30"/>
          <w:szCs w:val="30"/>
          <w:highlight w:val="none"/>
        </w:rPr>
        <w:t>一、货物需求一览表</w:t>
      </w:r>
    </w:p>
    <w:p>
      <w:pPr>
        <w:adjustRightInd w:val="0"/>
        <w:snapToGrid w:val="0"/>
        <w:jc w:val="center"/>
        <w:rPr>
          <w:b/>
          <w:color w:val="auto"/>
          <w:sz w:val="30"/>
          <w:szCs w:val="30"/>
          <w:highlight w:val="none"/>
        </w:rPr>
      </w:pPr>
    </w:p>
    <w:tbl>
      <w:tblPr>
        <w:tblStyle w:val="28"/>
        <w:tblW w:w="8741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04"/>
        <w:gridCol w:w="1878"/>
        <w:gridCol w:w="1122"/>
        <w:gridCol w:w="1011"/>
        <w:gridCol w:w="1567"/>
        <w:gridCol w:w="2459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1878" w:type="dxa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color w:val="auto"/>
                <w:sz w:val="24"/>
                <w:highlight w:val="none"/>
              </w:rPr>
              <w:t>货物名称</w:t>
            </w:r>
          </w:p>
        </w:tc>
        <w:tc>
          <w:tcPr>
            <w:tcW w:w="1122" w:type="dxa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1011" w:type="dxa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color w:val="auto"/>
                <w:sz w:val="24"/>
                <w:highlight w:val="none"/>
              </w:rPr>
              <w:t>交货期</w:t>
            </w:r>
          </w:p>
        </w:tc>
        <w:tc>
          <w:tcPr>
            <w:tcW w:w="1567" w:type="dxa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color w:val="auto"/>
                <w:sz w:val="24"/>
                <w:highlight w:val="none"/>
              </w:rPr>
              <w:t>指定到货港</w:t>
            </w:r>
          </w:p>
        </w:tc>
        <w:tc>
          <w:tcPr>
            <w:tcW w:w="2459" w:type="dxa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  <w:shd w:val="pct10" w:color="auto" w:fill="FFFFFF"/>
              </w:rPr>
            </w:pPr>
            <w:r>
              <w:rPr>
                <w:color w:val="auto"/>
                <w:sz w:val="24"/>
                <w:highlight w:val="none"/>
              </w:rPr>
              <w:t>项目现场（交货地点）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1878" w:type="dxa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color w:val="auto"/>
                <w:kern w:val="0"/>
                <w:sz w:val="24"/>
                <w:highlight w:val="none"/>
              </w:rPr>
              <w:t>电子顺磁共振波谱仪</w:t>
            </w:r>
          </w:p>
        </w:tc>
        <w:tc>
          <w:tcPr>
            <w:tcW w:w="1122" w:type="dxa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color w:val="auto"/>
                <w:sz w:val="24"/>
                <w:highlight w:val="none"/>
              </w:rPr>
              <w:t>1套</w:t>
            </w:r>
          </w:p>
        </w:tc>
        <w:tc>
          <w:tcPr>
            <w:tcW w:w="5037" w:type="dxa"/>
            <w:gridSpan w:val="3"/>
            <w:vAlign w:val="center"/>
          </w:tcPr>
          <w:p>
            <w:pPr>
              <w:jc w:val="center"/>
              <w:rPr>
                <w:color w:val="auto"/>
                <w:sz w:val="24"/>
                <w:highlight w:val="none"/>
              </w:rPr>
            </w:pPr>
            <w:r>
              <w:rPr>
                <w:color w:val="auto"/>
                <w:sz w:val="24"/>
                <w:highlight w:val="none"/>
              </w:rPr>
              <w:t>详见具体技术规格</w:t>
            </w:r>
          </w:p>
        </w:tc>
      </w:tr>
    </w:tbl>
    <w:p>
      <w:pPr>
        <w:adjustRightInd w:val="0"/>
        <w:snapToGrid w:val="0"/>
        <w:jc w:val="center"/>
        <w:rPr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b/>
          <w:color w:val="auto"/>
          <w:sz w:val="30"/>
          <w:szCs w:val="30"/>
          <w:highlight w:val="none"/>
        </w:rPr>
      </w:pPr>
    </w:p>
    <w:p>
      <w:pPr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注：投标人须对上述投标内容中完整的一包或几包进行投标，不完整的投标将视为非响应性投标予以拒绝。</w:t>
      </w:r>
    </w:p>
    <w:p>
      <w:pPr>
        <w:adjustRightInd w:val="0"/>
        <w:snapToGrid w:val="0"/>
        <w:rPr>
          <w:color w:val="auto"/>
          <w:szCs w:val="21"/>
          <w:highlight w:val="none"/>
        </w:rPr>
      </w:pPr>
    </w:p>
    <w:p>
      <w:pPr>
        <w:adjustRightInd w:val="0"/>
        <w:snapToGrid w:val="0"/>
        <w:rPr>
          <w:color w:val="auto"/>
          <w:szCs w:val="21"/>
          <w:highlight w:val="none"/>
        </w:rPr>
      </w:pPr>
    </w:p>
    <w:p>
      <w:pPr>
        <w:adjustRightInd w:val="0"/>
        <w:snapToGrid w:val="0"/>
        <w:rPr>
          <w:color w:val="auto"/>
          <w:szCs w:val="21"/>
          <w:highlight w:val="none"/>
        </w:rPr>
      </w:pPr>
    </w:p>
    <w:p>
      <w:pPr>
        <w:adjustRightInd w:val="0"/>
        <w:snapToGrid w:val="0"/>
        <w:rPr>
          <w:color w:val="auto"/>
          <w:szCs w:val="21"/>
          <w:highlight w:val="none"/>
        </w:rPr>
      </w:pPr>
    </w:p>
    <w:p>
      <w:pPr>
        <w:adjustRightInd w:val="0"/>
        <w:snapToGrid w:val="0"/>
        <w:rPr>
          <w:color w:val="auto"/>
          <w:szCs w:val="21"/>
          <w:highlight w:val="none"/>
        </w:rPr>
      </w:pPr>
    </w:p>
    <w:p>
      <w:pPr>
        <w:adjustRightInd w:val="0"/>
        <w:snapToGrid w:val="0"/>
        <w:rPr>
          <w:color w:val="auto"/>
          <w:szCs w:val="21"/>
          <w:highlight w:val="none"/>
        </w:rPr>
      </w:pPr>
    </w:p>
    <w:p>
      <w:pPr>
        <w:adjustRightInd w:val="0"/>
        <w:snapToGrid w:val="0"/>
        <w:rPr>
          <w:color w:val="auto"/>
          <w:szCs w:val="21"/>
          <w:highlight w:val="none"/>
        </w:rPr>
      </w:pPr>
    </w:p>
    <w:p>
      <w:pPr>
        <w:adjustRightInd w:val="0"/>
        <w:snapToGrid w:val="0"/>
        <w:rPr>
          <w:color w:val="auto"/>
          <w:szCs w:val="21"/>
          <w:highlight w:val="none"/>
        </w:rPr>
      </w:pPr>
    </w:p>
    <w:p>
      <w:pPr>
        <w:adjustRightInd w:val="0"/>
        <w:snapToGrid w:val="0"/>
        <w:rPr>
          <w:color w:val="auto"/>
          <w:szCs w:val="21"/>
          <w:highlight w:val="none"/>
        </w:rPr>
      </w:pPr>
    </w:p>
    <w:p>
      <w:pPr>
        <w:adjustRightInd w:val="0"/>
        <w:snapToGrid w:val="0"/>
        <w:rPr>
          <w:color w:val="auto"/>
          <w:szCs w:val="21"/>
          <w:highlight w:val="none"/>
        </w:rPr>
      </w:pPr>
    </w:p>
    <w:p>
      <w:pPr>
        <w:adjustRightInd w:val="0"/>
        <w:snapToGrid w:val="0"/>
        <w:rPr>
          <w:color w:val="auto"/>
          <w:szCs w:val="21"/>
          <w:highlight w:val="none"/>
        </w:rPr>
      </w:pPr>
    </w:p>
    <w:p>
      <w:pPr>
        <w:adjustRightInd w:val="0"/>
        <w:snapToGrid w:val="0"/>
        <w:rPr>
          <w:color w:val="auto"/>
          <w:szCs w:val="21"/>
          <w:highlight w:val="none"/>
        </w:rPr>
      </w:pPr>
    </w:p>
    <w:p>
      <w:pPr>
        <w:tabs>
          <w:tab w:val="left" w:pos="720"/>
        </w:tabs>
        <w:adjustRightInd w:val="0"/>
        <w:snapToGrid w:val="0"/>
        <w:jc w:val="center"/>
        <w:rPr>
          <w:b/>
          <w:color w:val="auto"/>
          <w:sz w:val="30"/>
          <w:szCs w:val="30"/>
          <w:highlight w:val="none"/>
        </w:rPr>
      </w:pPr>
      <w:r>
        <w:rPr>
          <w:b/>
          <w:color w:val="auto"/>
          <w:sz w:val="30"/>
          <w:szCs w:val="30"/>
          <w:highlight w:val="none"/>
        </w:rPr>
        <w:br w:type="page"/>
      </w:r>
      <w:r>
        <w:rPr>
          <w:b/>
          <w:color w:val="auto"/>
          <w:sz w:val="30"/>
          <w:szCs w:val="30"/>
          <w:highlight w:val="none"/>
        </w:rPr>
        <w:t>二、总则</w:t>
      </w:r>
    </w:p>
    <w:p>
      <w:pPr>
        <w:spacing w:before="156" w:beforeLines="50" w:after="156" w:afterLines="50" w:line="360" w:lineRule="auto"/>
        <w:ind w:left="601" w:hanging="601"/>
        <w:rPr>
          <w:b/>
          <w:color w:val="auto"/>
          <w:sz w:val="28"/>
          <w:highlight w:val="none"/>
        </w:rPr>
      </w:pPr>
      <w:r>
        <w:rPr>
          <w:b/>
          <w:color w:val="auto"/>
          <w:sz w:val="28"/>
          <w:highlight w:val="none"/>
        </w:rPr>
        <w:t>1、投标要求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1.1  投标人在准备投标书时，务必在所提供的商品的技术规格文件中，标明型号、商标名称、目录号。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1.3  投标人提供的产品样本，必须是“原件”而非复印件，图表、简图、电路图以及印刷电路板图等都应清晰易读。买方有权不付任何附加费用复制这些资料以供参考。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>
      <w:pPr>
        <w:spacing w:before="156" w:beforeLines="50" w:after="156" w:afterLines="50" w:line="360" w:lineRule="auto"/>
        <w:ind w:left="601" w:hanging="601"/>
        <w:rPr>
          <w:b/>
          <w:color w:val="auto"/>
          <w:sz w:val="28"/>
          <w:highlight w:val="none"/>
        </w:rPr>
      </w:pPr>
      <w:r>
        <w:rPr>
          <w:b/>
          <w:color w:val="auto"/>
          <w:sz w:val="28"/>
          <w:highlight w:val="none"/>
        </w:rPr>
        <w:t>2、评标标准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2.1  除招标文件中指定的附件和专用工具外，投标人应提供仪器设备的正常运行和常规保养所需的全套标准附件、专用工具和消耗品。投标人在投标书中需列出这些附件和工具的数量和单价的清单，这些附件和工具的报价的总值需计入投标价中。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2.2  对于标书技术规范中已列出的作为查询选件的附件、零配件、专用工具和消耗品，投标书中应列明其数量、单价、总价供买方参考。投标人也可推荐买方没有要求的附件或专用工具作为选件，并列明其数量、单价、总价供买方参考。选件价格不计入评标价中。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2.3  为便于用户进行接收仪器的准备工作，卖方应在合同生效后</w:t>
      </w:r>
      <w:r>
        <w:rPr>
          <w:b/>
          <w:color w:val="auto"/>
          <w:sz w:val="24"/>
          <w:highlight w:val="none"/>
        </w:rPr>
        <w:t>60</w:t>
      </w:r>
      <w:r>
        <w:rPr>
          <w:color w:val="auto"/>
          <w:sz w:val="24"/>
          <w:highlight w:val="none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2.4  关于设备的安装调试，如果有必要的安装准备条件，卖方应在合同生效后一个月内向买方提出详细的要求或计划。安装调试的费用应计入投标价中，并应单独列出，供评标使用。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2.5  制造厂家提供的培训指的是涉及货物的基本原理、操作使用和保养维修等有关内容的培训。培训教员的培训费、旅费、食宿费等费用和培训场地费及培训资料费均应由卖方支付。</w:t>
      </w:r>
    </w:p>
    <w:p>
      <w:pPr>
        <w:spacing w:before="156" w:beforeLines="50" w:after="156" w:afterLines="50" w:line="360" w:lineRule="auto"/>
        <w:ind w:left="601" w:hanging="601"/>
        <w:rPr>
          <w:b/>
          <w:color w:val="auto"/>
          <w:sz w:val="28"/>
          <w:highlight w:val="none"/>
        </w:rPr>
      </w:pPr>
      <w:r>
        <w:rPr>
          <w:b/>
          <w:color w:val="auto"/>
          <w:sz w:val="28"/>
          <w:highlight w:val="none"/>
        </w:rPr>
        <w:t>3、工作条件</w:t>
      </w:r>
    </w:p>
    <w:p>
      <w:pPr>
        <w:spacing w:after="312" w:afterLines="100" w:line="360" w:lineRule="auto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 xml:space="preserve">除非在技术规格中另有说明，所有仪器、设备和系统都应符合下列要求： 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3.1  适于在气温为摄氏</w:t>
      </w:r>
      <w:r>
        <w:rPr>
          <w:b/>
          <w:color w:val="auto"/>
          <w:sz w:val="24"/>
          <w:highlight w:val="none"/>
        </w:rPr>
        <w:t>-40℃～＋50℃</w:t>
      </w:r>
      <w:r>
        <w:rPr>
          <w:color w:val="auto"/>
          <w:sz w:val="24"/>
          <w:highlight w:val="none"/>
        </w:rPr>
        <w:t>和相对湿度为</w:t>
      </w:r>
      <w:r>
        <w:rPr>
          <w:b/>
          <w:color w:val="auto"/>
          <w:sz w:val="24"/>
          <w:highlight w:val="none"/>
        </w:rPr>
        <w:t>90％</w:t>
      </w:r>
      <w:r>
        <w:rPr>
          <w:color w:val="auto"/>
          <w:sz w:val="24"/>
          <w:highlight w:val="none"/>
        </w:rPr>
        <w:t>的环境条件下运输和贮存。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3.2  适于在电源</w:t>
      </w:r>
      <w:r>
        <w:rPr>
          <w:b/>
          <w:color w:val="auto"/>
          <w:sz w:val="24"/>
          <w:highlight w:val="none"/>
        </w:rPr>
        <w:t>220V（</w:t>
      </w:r>
      <w:r>
        <w:rPr>
          <w:b/>
          <w:color w:val="auto"/>
          <w:sz w:val="24"/>
          <w:highlight w:val="none"/>
        </w:rPr>
        <w:sym w:font="Symbol" w:char="F0B1"/>
      </w:r>
      <w:r>
        <w:rPr>
          <w:b/>
          <w:color w:val="auto"/>
          <w:sz w:val="24"/>
          <w:highlight w:val="none"/>
        </w:rPr>
        <w:t>10％）/50Hz</w:t>
      </w:r>
      <w:r>
        <w:rPr>
          <w:color w:val="auto"/>
          <w:sz w:val="24"/>
          <w:highlight w:val="none"/>
        </w:rPr>
        <w:t>、气温摄氏</w:t>
      </w:r>
      <w:r>
        <w:rPr>
          <w:b/>
          <w:color w:val="auto"/>
          <w:sz w:val="24"/>
          <w:highlight w:val="none"/>
        </w:rPr>
        <w:t>＋15℃～＋30℃</w:t>
      </w:r>
      <w:r>
        <w:rPr>
          <w:color w:val="auto"/>
          <w:sz w:val="24"/>
          <w:highlight w:val="none"/>
        </w:rPr>
        <w:t>和相对湿度小于</w:t>
      </w:r>
      <w:r>
        <w:rPr>
          <w:b/>
          <w:color w:val="auto"/>
          <w:sz w:val="24"/>
          <w:highlight w:val="none"/>
        </w:rPr>
        <w:t>80％</w:t>
      </w:r>
      <w:r>
        <w:rPr>
          <w:color w:val="auto"/>
          <w:sz w:val="24"/>
          <w:highlight w:val="none"/>
        </w:rPr>
        <w:t>的环境条件下运行。</w:t>
      </w:r>
      <w:r>
        <w:rPr>
          <w:b/>
          <w:color w:val="auto"/>
          <w:sz w:val="24"/>
          <w:highlight w:val="none"/>
        </w:rPr>
        <w:t>能够连续正常工作。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3.3  配置符合中国有关标准要求的插头，如果没有这样的插头，则需提供适当的转换插座。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>
      <w:pPr>
        <w:rPr>
          <w:rFonts w:eastAsia="黑体"/>
          <w:b/>
          <w:bCs/>
          <w:color w:val="auto"/>
          <w:kern w:val="44"/>
          <w:sz w:val="24"/>
          <w:highlight w:val="none"/>
        </w:rPr>
      </w:pPr>
    </w:p>
    <w:p>
      <w:pPr>
        <w:spacing w:before="156" w:beforeLines="50" w:after="156" w:afterLines="50" w:line="360" w:lineRule="auto"/>
        <w:ind w:left="601" w:hanging="601"/>
        <w:rPr>
          <w:b/>
          <w:color w:val="auto"/>
          <w:sz w:val="28"/>
          <w:highlight w:val="none"/>
        </w:rPr>
      </w:pPr>
      <w:r>
        <w:rPr>
          <w:b/>
          <w:color w:val="auto"/>
          <w:sz w:val="28"/>
          <w:highlight w:val="none"/>
        </w:rPr>
        <w:t>4、验收标准</w:t>
      </w:r>
    </w:p>
    <w:p>
      <w:pPr>
        <w:spacing w:after="312" w:afterLines="100" w:line="360" w:lineRule="auto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 xml:space="preserve">除非在技术规格中另有说明，所有仪器、设备和系统按下列要求进行验收： 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4.1  仪器设备运抵安装现场后，买方将与卖方共同开箱验收, 如卖方届时不派人来, 则验收结果应以买方的验收报告为最终验收结果。验收时发现短缺、破损, 买方有权要求卖方负责更换。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4.2  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4.3  验收由采购人、中标人及相关人员依国家有关标准、合同及有关附件要求进行，验收完毕由采购人及中标人在验收报告上签名。</w:t>
      </w:r>
    </w:p>
    <w:p>
      <w:pPr>
        <w:pStyle w:val="17"/>
        <w:spacing w:line="360" w:lineRule="auto"/>
        <w:ind w:left="410" w:hanging="410" w:hangingChars="170"/>
        <w:rPr>
          <w:rFonts w:ascii="Times New Roman" w:hAnsi="Times New Roman"/>
          <w:b/>
          <w:color w:val="auto"/>
          <w:sz w:val="24"/>
          <w:szCs w:val="24"/>
          <w:highlight w:val="none"/>
        </w:rPr>
      </w:pPr>
    </w:p>
    <w:p>
      <w:pPr>
        <w:pStyle w:val="17"/>
        <w:spacing w:line="360" w:lineRule="auto"/>
        <w:ind w:left="410" w:hanging="410" w:hangingChars="170"/>
        <w:rPr>
          <w:rFonts w:ascii="Times New Roman" w:hAnsi="Times New Roman"/>
          <w:b/>
          <w:color w:val="auto"/>
          <w:sz w:val="24"/>
          <w:szCs w:val="24"/>
          <w:highlight w:val="none"/>
        </w:rPr>
      </w:pPr>
      <w:r>
        <w:rPr>
          <w:rFonts w:ascii="Times New Roman" w:hAnsi="Times New Roman"/>
          <w:b/>
          <w:color w:val="auto"/>
          <w:sz w:val="24"/>
          <w:szCs w:val="24"/>
          <w:highlight w:val="none"/>
        </w:rPr>
        <w:t>5、本技术规格书中标注“*”号的为实质性要求，不满足其投标将被拒绝。</w:t>
      </w:r>
    </w:p>
    <w:p>
      <w:pPr>
        <w:pStyle w:val="17"/>
        <w:spacing w:line="360" w:lineRule="auto"/>
        <w:rPr>
          <w:rFonts w:ascii="Times New Roman" w:hAnsi="Times New Roman"/>
          <w:b/>
          <w:color w:val="auto"/>
          <w:sz w:val="24"/>
          <w:szCs w:val="24"/>
          <w:highlight w:val="none"/>
        </w:rPr>
      </w:pPr>
      <w:r>
        <w:rPr>
          <w:rFonts w:ascii="Times New Roman" w:hAnsi="Times New Roman"/>
          <w:b/>
          <w:color w:val="auto"/>
          <w:sz w:val="24"/>
          <w:szCs w:val="24"/>
          <w:highlight w:val="none"/>
        </w:rPr>
        <w:t>6、如在具体技术规格中有本总则不一致之处，以具体技术规格中的要求为准。</w:t>
      </w:r>
    </w:p>
    <w:p>
      <w:pPr>
        <w:spacing w:after="156" w:afterLines="50"/>
        <w:ind w:left="601" w:hanging="601"/>
        <w:rPr>
          <w:b/>
          <w:color w:val="auto"/>
          <w:sz w:val="28"/>
          <w:highlight w:val="none"/>
        </w:rPr>
      </w:pPr>
    </w:p>
    <w:p>
      <w:pPr>
        <w:spacing w:after="156" w:afterLines="50"/>
        <w:ind w:left="601" w:hanging="601"/>
        <w:rPr>
          <w:b/>
          <w:color w:val="auto"/>
          <w:sz w:val="28"/>
          <w:highlight w:val="none"/>
        </w:rPr>
      </w:pPr>
      <w:r>
        <w:rPr>
          <w:b/>
          <w:color w:val="auto"/>
          <w:sz w:val="28"/>
          <w:highlight w:val="none"/>
        </w:rPr>
        <w:t>三、具体技术规格</w:t>
      </w:r>
    </w:p>
    <w:p>
      <w:pPr>
        <w:rPr>
          <w:color w:val="auto"/>
          <w:sz w:val="24"/>
          <w:highlight w:val="none"/>
        </w:rPr>
      </w:pPr>
    </w:p>
    <w:p>
      <w:pPr>
        <w:jc w:val="center"/>
        <w:rPr>
          <w:b/>
          <w:color w:val="auto"/>
          <w:sz w:val="24"/>
          <w:highlight w:val="none"/>
        </w:rPr>
      </w:pPr>
      <w:r>
        <w:rPr>
          <w:b/>
          <w:color w:val="auto"/>
          <w:sz w:val="24"/>
          <w:highlight w:val="none"/>
        </w:rPr>
        <w:t xml:space="preserve">第1包 </w:t>
      </w:r>
      <w:r>
        <w:rPr>
          <w:b/>
          <w:bCs/>
          <w:color w:val="auto"/>
          <w:kern w:val="0"/>
          <w:sz w:val="24"/>
          <w:highlight w:val="none"/>
        </w:rPr>
        <w:t>电子顺磁共振波谱仪</w:t>
      </w:r>
    </w:p>
    <w:p>
      <w:pPr>
        <w:rPr>
          <w:b/>
          <w:color w:val="auto"/>
          <w:sz w:val="24"/>
          <w:highlight w:val="none"/>
        </w:rPr>
      </w:pPr>
    </w:p>
    <w:p>
      <w:pPr>
        <w:rPr>
          <w:b/>
          <w:color w:val="auto"/>
          <w:sz w:val="24"/>
          <w:highlight w:val="none"/>
        </w:rPr>
      </w:pPr>
    </w:p>
    <w:p>
      <w:pPr>
        <w:numPr>
          <w:ilvl w:val="0"/>
          <w:numId w:val="1"/>
        </w:numPr>
        <w:rPr>
          <w:b/>
          <w:color w:val="auto"/>
          <w:sz w:val="24"/>
          <w:highlight w:val="none"/>
        </w:rPr>
      </w:pPr>
      <w:r>
        <w:rPr>
          <w:b/>
          <w:color w:val="auto"/>
          <w:sz w:val="24"/>
          <w:highlight w:val="none"/>
        </w:rPr>
        <w:t>技术要求：</w:t>
      </w:r>
    </w:p>
    <w:p>
      <w:pPr>
        <w:rPr>
          <w:b/>
          <w:color w:val="auto"/>
          <w:sz w:val="24"/>
          <w:highlight w:val="none"/>
        </w:rPr>
      </w:pPr>
    </w:p>
    <w:p>
      <w:pPr>
        <w:numPr>
          <w:ilvl w:val="0"/>
          <w:numId w:val="2"/>
        </w:numPr>
        <w:spacing w:line="360" w:lineRule="auto"/>
        <w:rPr>
          <w:b/>
          <w:color w:val="auto"/>
          <w:sz w:val="24"/>
          <w:highlight w:val="none"/>
        </w:rPr>
      </w:pPr>
      <w:r>
        <w:rPr>
          <w:b/>
          <w:color w:val="auto"/>
          <w:sz w:val="24"/>
          <w:highlight w:val="none"/>
        </w:rPr>
        <w:t>工作条件：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1.1 工作电压：220V ±10%，单相；380V ±10%，三相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1.2 工作温度：4-35℃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1.3 相对湿度：小于80%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</w:p>
    <w:p>
      <w:pPr>
        <w:numPr>
          <w:ilvl w:val="0"/>
          <w:numId w:val="2"/>
        </w:numPr>
        <w:spacing w:line="360" w:lineRule="auto"/>
        <w:rPr>
          <w:b/>
          <w:color w:val="auto"/>
          <w:sz w:val="24"/>
          <w:highlight w:val="none"/>
        </w:rPr>
      </w:pPr>
      <w:r>
        <w:rPr>
          <w:b/>
          <w:color w:val="auto"/>
          <w:sz w:val="24"/>
          <w:highlight w:val="none"/>
        </w:rPr>
        <w:t>设备用途：</w:t>
      </w:r>
    </w:p>
    <w:p>
      <w:pPr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电子顺磁共振波谱仪可精确、快速地测定物质原子或分子中所含的未成对电子，并探索其周围环境的结构特性和动态信息，常用于自由基如羟基超氧等检测。该设备需具有高灵敏度、高分辨率，可提供谱图解析，电子数相对定量以及具备升级扩展能力，以满足不同类型样品的测试需求，为相关自由基机理研究提供有力的技术支持。</w:t>
      </w:r>
    </w:p>
    <w:p>
      <w:pPr>
        <w:spacing w:line="360" w:lineRule="auto"/>
        <w:rPr>
          <w:color w:val="auto"/>
          <w:sz w:val="24"/>
          <w:highlight w:val="none"/>
        </w:rPr>
      </w:pPr>
    </w:p>
    <w:p>
      <w:pPr>
        <w:numPr>
          <w:ilvl w:val="0"/>
          <w:numId w:val="2"/>
        </w:numPr>
        <w:spacing w:line="360" w:lineRule="auto"/>
        <w:rPr>
          <w:b/>
          <w:color w:val="auto"/>
          <w:sz w:val="24"/>
          <w:highlight w:val="none"/>
        </w:rPr>
      </w:pPr>
      <w:r>
        <w:rPr>
          <w:b/>
          <w:color w:val="auto"/>
          <w:sz w:val="24"/>
          <w:highlight w:val="none"/>
        </w:rPr>
        <w:t>技术规格：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 整机参数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*3.1.1 X波段连续波电子顺磁共振谱仪，信噪比：</w:t>
      </w:r>
      <w:r>
        <w:rPr>
          <w:rFonts w:hint="eastAsia"/>
          <w:bCs/>
          <w:color w:val="auto"/>
          <w:sz w:val="24"/>
          <w:highlight w:val="none"/>
        </w:rPr>
        <w:t>≥</w:t>
      </w:r>
      <w:r>
        <w:rPr>
          <w:bCs/>
          <w:color w:val="auto"/>
          <w:sz w:val="24"/>
          <w:highlight w:val="none"/>
        </w:rPr>
        <w:t>3100:1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*3.1.2 灵敏度最小自旋数：</w:t>
      </w:r>
      <w:r>
        <w:rPr>
          <w:rFonts w:hint="eastAsia"/>
          <w:bCs/>
          <w:color w:val="auto"/>
          <w:sz w:val="24"/>
          <w:highlight w:val="none"/>
        </w:rPr>
        <w:t>≤</w:t>
      </w:r>
      <w:r>
        <w:rPr>
          <w:bCs/>
          <w:color w:val="auto"/>
          <w:sz w:val="24"/>
          <w:highlight w:val="none"/>
        </w:rPr>
        <w:t>1.0×10</w:t>
      </w:r>
      <w:r>
        <w:rPr>
          <w:bCs/>
          <w:color w:val="auto"/>
          <w:sz w:val="24"/>
          <w:highlight w:val="none"/>
          <w:vertAlign w:val="superscript"/>
        </w:rPr>
        <w:t>9</w:t>
      </w:r>
      <w:r>
        <w:rPr>
          <w:bCs/>
          <w:color w:val="auto"/>
          <w:sz w:val="24"/>
          <w:highlight w:val="none"/>
        </w:rPr>
        <w:t xml:space="preserve"> spins/(G·√Hz)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3.2 微波源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3.2.1 波源类型：低噪声固态微波源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3.2.2 微波频率范围：9.2 ~ 9.9 GHz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3.2.3 微波频率、功率衰减值、相位和偏置功率等可调节参数全部数字化控制</w:t>
      </w:r>
    </w:p>
    <w:p>
      <w:pPr>
        <w:spacing w:line="360" w:lineRule="auto"/>
        <w:rPr>
          <w:rFonts w:hint="eastAsia"/>
          <w:bCs/>
          <w:color w:val="auto"/>
          <w:sz w:val="24"/>
          <w:highlight w:val="none"/>
        </w:rPr>
      </w:pPr>
      <w:r>
        <w:rPr>
          <w:rFonts w:hint="eastAsia"/>
          <w:bCs/>
          <w:color w:val="auto"/>
          <w:sz w:val="24"/>
          <w:highlight w:val="none"/>
        </w:rPr>
        <w:t>3</w:t>
      </w:r>
      <w:r>
        <w:rPr>
          <w:bCs/>
          <w:color w:val="auto"/>
          <w:sz w:val="24"/>
          <w:highlight w:val="none"/>
        </w:rPr>
        <w:t xml:space="preserve">.2.4 </w:t>
      </w:r>
      <w:r>
        <w:rPr>
          <w:rFonts w:hint="eastAsia"/>
          <w:bCs/>
          <w:color w:val="auto"/>
          <w:sz w:val="24"/>
          <w:highlight w:val="none"/>
        </w:rPr>
        <w:t>实时测量微波频率：频率精度≤1k</w:t>
      </w:r>
      <w:r>
        <w:rPr>
          <w:bCs/>
          <w:color w:val="auto"/>
          <w:sz w:val="24"/>
          <w:highlight w:val="none"/>
        </w:rPr>
        <w:t>H</w:t>
      </w:r>
      <w:r>
        <w:rPr>
          <w:rFonts w:hint="eastAsia"/>
          <w:bCs/>
          <w:color w:val="auto"/>
          <w:sz w:val="24"/>
          <w:highlight w:val="none"/>
        </w:rPr>
        <w:t>z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3.3 微波功率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*3.3.1 微波最大功率：</w:t>
      </w:r>
      <w:r>
        <w:rPr>
          <w:rFonts w:hint="eastAsia"/>
          <w:bCs/>
          <w:color w:val="auto"/>
          <w:sz w:val="24"/>
          <w:highlight w:val="none"/>
        </w:rPr>
        <w:t>≥</w:t>
      </w:r>
      <w:r>
        <w:rPr>
          <w:bCs/>
          <w:color w:val="auto"/>
          <w:sz w:val="24"/>
          <w:highlight w:val="none"/>
        </w:rPr>
        <w:t>200 mW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3.3.2 微波功率衰减范围：0 ~ 60 dB，步进1 dB</w:t>
      </w:r>
    </w:p>
    <w:p>
      <w:pPr>
        <w:spacing w:line="360" w:lineRule="auto"/>
        <w:rPr>
          <w:rFonts w:hint="eastAsia"/>
          <w:bCs/>
          <w:color w:val="auto"/>
          <w:sz w:val="24"/>
          <w:highlight w:val="none"/>
        </w:rPr>
      </w:pPr>
      <w:r>
        <w:rPr>
          <w:rFonts w:hint="eastAsia"/>
          <w:bCs/>
          <w:color w:val="auto"/>
          <w:sz w:val="24"/>
          <w:highlight w:val="none"/>
        </w:rPr>
        <w:t>3</w:t>
      </w:r>
      <w:r>
        <w:rPr>
          <w:bCs/>
          <w:color w:val="auto"/>
          <w:sz w:val="24"/>
          <w:highlight w:val="none"/>
        </w:rPr>
        <w:t xml:space="preserve">.3.3 </w:t>
      </w:r>
      <w:r>
        <w:rPr>
          <w:rFonts w:hint="eastAsia"/>
          <w:bCs/>
          <w:color w:val="auto"/>
          <w:sz w:val="24"/>
          <w:highlight w:val="none"/>
        </w:rPr>
        <w:t>内置功率计：实时显示功率，微波功率精度≤±0</w:t>
      </w:r>
      <w:r>
        <w:rPr>
          <w:bCs/>
          <w:color w:val="auto"/>
          <w:sz w:val="24"/>
          <w:highlight w:val="none"/>
        </w:rPr>
        <w:t>.2</w:t>
      </w:r>
      <w:r>
        <w:rPr>
          <w:rFonts w:hint="eastAsia"/>
          <w:bCs/>
          <w:color w:val="auto"/>
          <w:sz w:val="24"/>
          <w:highlight w:val="none"/>
        </w:rPr>
        <w:t>d</w:t>
      </w:r>
      <w:r>
        <w:rPr>
          <w:bCs/>
          <w:color w:val="auto"/>
          <w:sz w:val="24"/>
          <w:highlight w:val="none"/>
        </w:rPr>
        <w:t>B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3.4 自动频率控制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3.4.1 根据不同入腔功率自动调节 AFC参数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3.5 检测系统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3.5.1 超低噪声信号探测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3.5.2 具有偏置和相位可调的参考臂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3.6 调谐和匹配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3.6.1 支持自动化调谐和匹配，电机驱动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3.6.2 支持手动调谐和匹配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3.6.3 最大 100 MHz 扫描范围，可缩放以满足不同带宽的谐振腔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3.7 可显示Q值，并将Q值与其他参数同样存储在测试数据中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3.8 磁场控制器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3.8.1 测磁方式：Hall 测磁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*3.8.2 磁场短时间稳定性：≤5mG，长时间稳定性：≤10 mG/小时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*3.8.3 磁体分辨率≤50 mG，数字化分辨率≥24 bits（磁场），≥24 bits（信号通道）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3.8.4 具有过零扫描功能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3.9 数字锁相采集器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3.9.1 相位精度：0.1°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3.9.2 可检测 0°和 90°相位信号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3.10 调制场放大器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3.10.1 调制场频率范围：0.5 ~ 120 kHz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3.10.2 可输出线圈电流值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3.11 磁体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3.11.1 磁体类型：双极头亥姆霍兹电磁体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*3.11.2 最大磁场强度≥1.5 T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*3.11.3 磁场空间均匀性≤5 ppm（5×10</w:t>
      </w:r>
      <w:r>
        <w:rPr>
          <w:bCs/>
          <w:color w:val="auto"/>
          <w:sz w:val="24"/>
          <w:highlight w:val="none"/>
          <w:vertAlign w:val="superscript"/>
        </w:rPr>
        <w:t>-6</w:t>
      </w:r>
      <w:r>
        <w:rPr>
          <w:bCs/>
          <w:color w:val="auto"/>
          <w:sz w:val="24"/>
          <w:highlight w:val="none"/>
        </w:rPr>
        <w:t>）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3.11.4 冷却方式：水冷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3.12 磁体电源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3.12.1 供电：380 VAC ± 10%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3.12.2 输出电流：-5 ~ 80 A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3.12.3 冷却方式：水冷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3.12.4 立式安装，底部安装滚轮方便移动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 xml:space="preserve">3.13 </w:t>
      </w:r>
      <w:r>
        <w:rPr>
          <w:rFonts w:hint="eastAsia"/>
          <w:bCs/>
          <w:color w:val="auto"/>
          <w:sz w:val="24"/>
          <w:highlight w:val="none"/>
        </w:rPr>
        <w:t>高灵敏度谐振腔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*3.13.1 类型：高灵敏度谐振腔（高 Q 圆柱腔）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*3.13.2 调制频率可变，空腔谐振频率：9.5 - 9.9 GHz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3.13.3 最大样品管入口直径：≥10 mm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*3.13.4 最大调制磁场：≥20 Gauss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*3.13.5 无载 Q 值：≥18000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3.13.6 光照窗口：≥5mm直径，可以接光纤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3.14 标准样品，不低于下列配置：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3.14.1 BDPA，1 支，用于调制场单元校准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3.14.2 DPPH，1 支，用于快速测试连续波EPR校正g值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3.15 样品管组，不低于下列配置：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3.15.1 石英样品管（4 mm外径，3 mm内径）50支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3.15.2 毛细管（20μl），250 支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3.16 水冷机组为分体式，包含室内机和室外机，制冷功率不低于8 kW@25 ℃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 xml:space="preserve">3.17 </w:t>
      </w:r>
      <w:r>
        <w:rPr>
          <w:rFonts w:hint="eastAsia"/>
          <w:bCs/>
          <w:color w:val="auto"/>
          <w:sz w:val="24"/>
          <w:highlight w:val="none"/>
        </w:rPr>
        <w:t>原位变温系统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rFonts w:hint="eastAsia"/>
          <w:bCs/>
          <w:color w:val="auto"/>
          <w:sz w:val="24"/>
          <w:highlight w:val="none"/>
        </w:rPr>
        <w:t>*</w:t>
      </w:r>
      <w:r>
        <w:rPr>
          <w:bCs/>
          <w:color w:val="auto"/>
          <w:sz w:val="24"/>
          <w:highlight w:val="none"/>
        </w:rPr>
        <w:t>3.17.1 设备可进行温度可变调节</w:t>
      </w:r>
      <w:r>
        <w:rPr>
          <w:rFonts w:hint="eastAsia"/>
          <w:bCs/>
          <w:color w:val="auto"/>
          <w:sz w:val="24"/>
          <w:highlight w:val="none"/>
        </w:rPr>
        <w:t>，</w:t>
      </w:r>
      <w:r>
        <w:rPr>
          <w:bCs/>
          <w:color w:val="auto"/>
          <w:sz w:val="24"/>
          <w:highlight w:val="none"/>
        </w:rPr>
        <w:t>温度范围至少包括100 K ~ 600 K，温度稳定性</w:t>
      </w:r>
      <w:r>
        <w:rPr>
          <w:rFonts w:hint="eastAsia"/>
          <w:bCs/>
          <w:color w:val="auto"/>
          <w:sz w:val="24"/>
          <w:highlight w:val="none"/>
        </w:rPr>
        <w:t>≤±</w:t>
      </w:r>
      <w:r>
        <w:rPr>
          <w:bCs/>
          <w:color w:val="auto"/>
          <w:sz w:val="24"/>
          <w:highlight w:val="none"/>
        </w:rPr>
        <w:t xml:space="preserve"> 0.2 K</w:t>
      </w:r>
    </w:p>
    <w:p>
      <w:pPr>
        <w:spacing w:line="360" w:lineRule="auto"/>
        <w:rPr>
          <w:rFonts w:hint="eastAsia"/>
          <w:bCs/>
          <w:color w:val="auto"/>
          <w:sz w:val="24"/>
          <w:highlight w:val="none"/>
        </w:rPr>
      </w:pPr>
      <w:r>
        <w:rPr>
          <w:rFonts w:hint="eastAsia"/>
          <w:bCs/>
          <w:color w:val="auto"/>
          <w:sz w:val="24"/>
          <w:highlight w:val="none"/>
        </w:rPr>
        <w:t>3.17.2系统包括：T型石英杜瓦、加热及温控模块、温控仪、可变温插入式蒸发器、输液管、30 L液氮杜瓦罐、可调电源、保护气路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rFonts w:hint="eastAsia"/>
          <w:bCs/>
          <w:color w:val="auto"/>
          <w:sz w:val="24"/>
          <w:highlight w:val="none"/>
        </w:rPr>
        <w:t>3.17.3 制冷源：液氮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 xml:space="preserve">3.18 </w:t>
      </w:r>
      <w:r>
        <w:rPr>
          <w:rFonts w:hint="eastAsia"/>
          <w:bCs/>
          <w:color w:val="auto"/>
          <w:sz w:val="24"/>
          <w:highlight w:val="none"/>
        </w:rPr>
        <w:t>原位光照系统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rFonts w:hint="eastAsia"/>
          <w:bCs/>
          <w:color w:val="auto"/>
          <w:sz w:val="24"/>
          <w:highlight w:val="none"/>
        </w:rPr>
        <w:t>*</w:t>
      </w:r>
      <w:r>
        <w:rPr>
          <w:bCs/>
          <w:color w:val="auto"/>
          <w:sz w:val="24"/>
          <w:highlight w:val="none"/>
        </w:rPr>
        <w:t>3.18.1 利用原位光照系统（紫外强化氙灯）进行光源可变调节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3.18.2 光谱范围：包含320 - 780 nm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3.18.3 总辐射光功率：≥50 W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3.18.4 紫外区辐射功率（＜ 390 nm）：≥6 W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3.19 软件和谱仪控制器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3.19.1 工作站，不低于下列配置标准：16 GB 内存；硬盘 1 TB；24英寸显示屏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3.19.2 基于Windows操作系统的高性能软件包，可实现谱仪控制、数据采集、谱图处理和拟合功能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3.19.3 支持仪器进行状态切换、参数控制、实验流程控制、数据采集和分析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3.19.4 可以脱机离线使用，用于对EPR谱线进行多种数据处理操作，如去基线、积分、微分、滤波、傅里叶变换、数据拟合等操作</w:t>
      </w:r>
    </w:p>
    <w:p>
      <w:pPr>
        <w:spacing w:line="360" w:lineRule="auto"/>
        <w:rPr>
          <w:bCs/>
          <w:color w:val="auto"/>
          <w:sz w:val="24"/>
          <w:highlight w:val="none"/>
        </w:rPr>
      </w:pPr>
      <w:r>
        <w:rPr>
          <w:bCs/>
          <w:color w:val="auto"/>
          <w:sz w:val="24"/>
          <w:highlight w:val="none"/>
        </w:rPr>
        <w:t>3.19.5 定量EPR测试：可选内置标准Mn标，进行相对定量EPR计算；同时支持无需标样的绝对自旋数定量EPR计算</w:t>
      </w:r>
    </w:p>
    <w:p>
      <w:pPr>
        <w:spacing w:line="360" w:lineRule="auto"/>
        <w:ind w:firstLine="480"/>
        <w:rPr>
          <w:bCs/>
          <w:color w:val="auto"/>
          <w:sz w:val="24"/>
          <w:highlight w:val="none"/>
        </w:rPr>
      </w:pPr>
    </w:p>
    <w:p>
      <w:pPr>
        <w:spacing w:line="360" w:lineRule="auto"/>
        <w:rPr>
          <w:bCs/>
          <w:color w:val="auto"/>
          <w:sz w:val="24"/>
          <w:highlight w:val="none"/>
        </w:rPr>
      </w:pPr>
    </w:p>
    <w:p>
      <w:pPr>
        <w:numPr>
          <w:ilvl w:val="0"/>
          <w:numId w:val="2"/>
        </w:numPr>
        <w:spacing w:line="360" w:lineRule="auto"/>
        <w:rPr>
          <w:b/>
          <w:color w:val="auto"/>
          <w:sz w:val="24"/>
          <w:highlight w:val="none"/>
        </w:rPr>
      </w:pPr>
      <w:r>
        <w:rPr>
          <w:b/>
          <w:color w:val="auto"/>
          <w:sz w:val="24"/>
          <w:highlight w:val="none"/>
        </w:rPr>
        <w:t>产品配置要求</w:t>
      </w:r>
    </w:p>
    <w:p>
      <w:pPr>
        <w:spacing w:line="360" w:lineRule="auto"/>
        <w:rPr>
          <w:rFonts w:hint="eastAsia"/>
          <w:color w:val="auto"/>
          <w:kern w:val="0"/>
          <w:sz w:val="24"/>
          <w:highlight w:val="none"/>
        </w:rPr>
      </w:pPr>
      <w:r>
        <w:rPr>
          <w:color w:val="auto"/>
          <w:kern w:val="0"/>
          <w:sz w:val="24"/>
          <w:highlight w:val="none"/>
        </w:rPr>
        <w:t>4</w:t>
      </w:r>
      <w:r>
        <w:rPr>
          <w:rFonts w:hint="eastAsia"/>
          <w:color w:val="auto"/>
          <w:kern w:val="0"/>
          <w:sz w:val="24"/>
          <w:highlight w:val="none"/>
        </w:rPr>
        <w:t>.1 电子顺磁共振波谱仪主机1套（包含：X波段连续波微波桥1套，1.5 T磁体系统1套，水冷机组1套，谱仪控制系统1套，高灵敏度谐振腔1套）；</w:t>
      </w:r>
    </w:p>
    <w:p>
      <w:pPr>
        <w:spacing w:line="360" w:lineRule="auto"/>
        <w:rPr>
          <w:rFonts w:hint="eastAsia"/>
          <w:color w:val="auto"/>
          <w:kern w:val="0"/>
          <w:sz w:val="24"/>
          <w:highlight w:val="none"/>
        </w:rPr>
      </w:pPr>
      <w:r>
        <w:rPr>
          <w:color w:val="auto"/>
          <w:kern w:val="0"/>
          <w:sz w:val="24"/>
          <w:highlight w:val="none"/>
        </w:rPr>
        <w:t>4</w:t>
      </w:r>
      <w:r>
        <w:rPr>
          <w:rFonts w:hint="eastAsia"/>
          <w:color w:val="auto"/>
          <w:kern w:val="0"/>
          <w:sz w:val="24"/>
          <w:highlight w:val="none"/>
        </w:rPr>
        <w:t>.2 标准样品和样品管组：标准样品1套（BDPA、DPPH各1支），样品管组1套（4 mm外径，3 mm内径石英样品管50支、20 μ</w:t>
      </w:r>
      <w:r>
        <w:rPr>
          <w:color w:val="auto"/>
          <w:kern w:val="0"/>
          <w:sz w:val="24"/>
          <w:highlight w:val="none"/>
        </w:rPr>
        <w:t>L</w:t>
      </w:r>
      <w:r>
        <w:rPr>
          <w:rFonts w:hint="eastAsia"/>
          <w:color w:val="auto"/>
          <w:kern w:val="0"/>
          <w:sz w:val="24"/>
          <w:highlight w:val="none"/>
        </w:rPr>
        <w:t>毛细管，2000 支）；</w:t>
      </w:r>
    </w:p>
    <w:p>
      <w:pPr>
        <w:spacing w:line="360" w:lineRule="auto"/>
        <w:rPr>
          <w:rFonts w:hint="eastAsia"/>
          <w:color w:val="auto"/>
          <w:kern w:val="0"/>
          <w:sz w:val="24"/>
          <w:highlight w:val="none"/>
        </w:rPr>
      </w:pPr>
      <w:r>
        <w:rPr>
          <w:color w:val="auto"/>
          <w:kern w:val="0"/>
          <w:sz w:val="24"/>
          <w:highlight w:val="none"/>
        </w:rPr>
        <w:t>4</w:t>
      </w:r>
      <w:r>
        <w:rPr>
          <w:rFonts w:hint="eastAsia"/>
          <w:color w:val="auto"/>
          <w:kern w:val="0"/>
          <w:sz w:val="24"/>
          <w:highlight w:val="none"/>
        </w:rPr>
        <w:t>.3 软件系统1套（包含：实验操作软件、数据处理和分析软件各1套）；</w:t>
      </w:r>
    </w:p>
    <w:p>
      <w:pPr>
        <w:spacing w:line="360" w:lineRule="auto"/>
        <w:rPr>
          <w:rFonts w:hint="eastAsia"/>
          <w:color w:val="auto"/>
          <w:kern w:val="0"/>
          <w:sz w:val="24"/>
          <w:highlight w:val="none"/>
        </w:rPr>
      </w:pPr>
      <w:r>
        <w:rPr>
          <w:color w:val="auto"/>
          <w:kern w:val="0"/>
          <w:sz w:val="24"/>
          <w:highlight w:val="none"/>
        </w:rPr>
        <w:t>4</w:t>
      </w:r>
      <w:r>
        <w:rPr>
          <w:rFonts w:hint="eastAsia"/>
          <w:color w:val="auto"/>
          <w:kern w:val="0"/>
          <w:sz w:val="24"/>
          <w:highlight w:val="none"/>
        </w:rPr>
        <w:t>.4 样品定位器1套；</w:t>
      </w:r>
    </w:p>
    <w:p>
      <w:pPr>
        <w:spacing w:line="360" w:lineRule="auto"/>
        <w:rPr>
          <w:rFonts w:hint="eastAsia"/>
          <w:color w:val="auto"/>
          <w:kern w:val="0"/>
          <w:sz w:val="24"/>
          <w:highlight w:val="none"/>
        </w:rPr>
      </w:pPr>
      <w:r>
        <w:rPr>
          <w:color w:val="auto"/>
          <w:kern w:val="0"/>
          <w:sz w:val="24"/>
          <w:highlight w:val="none"/>
        </w:rPr>
        <w:t>4</w:t>
      </w:r>
      <w:r>
        <w:rPr>
          <w:rFonts w:hint="eastAsia"/>
          <w:color w:val="auto"/>
          <w:kern w:val="0"/>
          <w:sz w:val="24"/>
          <w:highlight w:val="none"/>
        </w:rPr>
        <w:t>.5 工作站1套；</w:t>
      </w:r>
    </w:p>
    <w:p>
      <w:pPr>
        <w:spacing w:line="360" w:lineRule="auto"/>
        <w:rPr>
          <w:color w:val="auto"/>
          <w:kern w:val="0"/>
          <w:sz w:val="24"/>
          <w:highlight w:val="none"/>
        </w:rPr>
      </w:pPr>
      <w:r>
        <w:rPr>
          <w:color w:val="auto"/>
          <w:kern w:val="0"/>
          <w:sz w:val="24"/>
          <w:highlight w:val="none"/>
        </w:rPr>
        <w:t>4</w:t>
      </w:r>
      <w:r>
        <w:rPr>
          <w:rFonts w:hint="eastAsia"/>
          <w:color w:val="auto"/>
          <w:kern w:val="0"/>
          <w:sz w:val="24"/>
          <w:highlight w:val="none"/>
        </w:rPr>
        <w:t>.6 电子顺磁共振波谱仪附件：与电子顺磁共振波谱仪主机配套的原位变温、原位光照系统各1套。</w:t>
      </w:r>
    </w:p>
    <w:p>
      <w:pPr>
        <w:spacing w:line="360" w:lineRule="auto"/>
        <w:rPr>
          <w:color w:val="auto"/>
          <w:kern w:val="0"/>
          <w:sz w:val="24"/>
          <w:highlight w:val="none"/>
        </w:rPr>
      </w:pPr>
    </w:p>
    <w:p>
      <w:pPr>
        <w:spacing w:line="360" w:lineRule="auto"/>
        <w:rPr>
          <w:b/>
          <w:color w:val="auto"/>
          <w:sz w:val="24"/>
          <w:highlight w:val="none"/>
        </w:rPr>
      </w:pPr>
      <w:r>
        <w:rPr>
          <w:b/>
          <w:color w:val="auto"/>
          <w:sz w:val="24"/>
          <w:highlight w:val="none"/>
        </w:rPr>
        <w:t>5. 选购附件、备件及消耗品（请参考总则第2.2条）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color w:val="auto"/>
          <w:kern w:val="0"/>
          <w:sz w:val="24"/>
          <w:highlight w:val="none"/>
        </w:rPr>
        <w:t>无</w:t>
      </w:r>
    </w:p>
    <w:p>
      <w:pPr>
        <w:tabs>
          <w:tab w:val="left" w:pos="540"/>
        </w:tabs>
        <w:spacing w:line="360" w:lineRule="auto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 xml:space="preserve">   </w:t>
      </w:r>
    </w:p>
    <w:p>
      <w:pPr>
        <w:tabs>
          <w:tab w:val="left" w:pos="540"/>
        </w:tabs>
        <w:spacing w:line="360" w:lineRule="auto"/>
        <w:rPr>
          <w:b/>
          <w:color w:val="auto"/>
          <w:sz w:val="24"/>
          <w:highlight w:val="none"/>
        </w:rPr>
      </w:pPr>
      <w:r>
        <w:rPr>
          <w:b/>
          <w:color w:val="auto"/>
          <w:sz w:val="24"/>
          <w:highlight w:val="none"/>
        </w:rPr>
        <w:t>6.  技术文件：</w:t>
      </w:r>
    </w:p>
    <w:p>
      <w:pPr>
        <w:widowControl/>
        <w:spacing w:line="360" w:lineRule="auto"/>
        <w:rPr>
          <w:color w:val="auto"/>
          <w:kern w:val="0"/>
          <w:sz w:val="24"/>
          <w:highlight w:val="none"/>
        </w:rPr>
      </w:pPr>
      <w:r>
        <w:rPr>
          <w:color w:val="auto"/>
          <w:kern w:val="0"/>
          <w:sz w:val="24"/>
          <w:highlight w:val="none"/>
        </w:rPr>
        <w:t>6.1 请参考总则第1.2条。</w:t>
      </w:r>
    </w:p>
    <w:p>
      <w:pPr>
        <w:widowControl/>
        <w:spacing w:line="360" w:lineRule="auto"/>
        <w:rPr>
          <w:color w:val="auto"/>
          <w:kern w:val="0"/>
          <w:sz w:val="24"/>
          <w:highlight w:val="none"/>
        </w:rPr>
      </w:pPr>
      <w:r>
        <w:rPr>
          <w:color w:val="auto"/>
          <w:kern w:val="0"/>
          <w:sz w:val="24"/>
          <w:highlight w:val="none"/>
        </w:rPr>
        <w:t>6.2 请参考总则第2.3条。</w:t>
      </w:r>
    </w:p>
    <w:p>
      <w:pPr>
        <w:spacing w:line="360" w:lineRule="auto"/>
        <w:rPr>
          <w:color w:val="auto"/>
          <w:sz w:val="24"/>
          <w:highlight w:val="none"/>
        </w:rPr>
      </w:pPr>
    </w:p>
    <w:p>
      <w:pPr>
        <w:spacing w:line="360" w:lineRule="auto"/>
        <w:rPr>
          <w:b/>
          <w:color w:val="auto"/>
          <w:sz w:val="24"/>
          <w:highlight w:val="none"/>
        </w:rPr>
      </w:pPr>
      <w:r>
        <w:rPr>
          <w:b/>
          <w:color w:val="auto"/>
          <w:sz w:val="24"/>
          <w:highlight w:val="none"/>
        </w:rPr>
        <w:t>（二）质保及售后服务：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1. 质保期3年，质保期自货物验收合格之日起算，质保期内对所供货物实行包修、包换、包退、包维护保养；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2. 工程师到仪器用户现场安装、调试仪器，按照购置要求进行验收；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 工程师在现场进行仪器操作、维修和电气人员免费技术培训。培训内容包括仪器的基本原理、安装、调试、操作使用和日常保养维修等。培训时间不少于2个工作日。验收合格后进行第2次提高培训，培训时间不少于1个工作日；免费提供3人</w:t>
      </w:r>
      <w:r>
        <w:rPr>
          <w:rFonts w:hint="eastAsia"/>
          <w:color w:val="auto"/>
          <w:sz w:val="24"/>
          <w:highlight w:val="none"/>
        </w:rPr>
        <w:t>/</w:t>
      </w:r>
      <w:r>
        <w:rPr>
          <w:color w:val="auto"/>
          <w:sz w:val="24"/>
          <w:highlight w:val="none"/>
        </w:rPr>
        <w:t>次厂家实验室培训名额，培训时间不少于2个工作日。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4. 软件终身免费更新、升级。仪器质保期满后，对仪器提供终身服务，并且提供广泛而优惠的技术支持和备件成本价格供应。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</w:p>
    <w:p>
      <w:pPr>
        <w:spacing w:line="360" w:lineRule="auto"/>
        <w:rPr>
          <w:b/>
          <w:color w:val="auto"/>
          <w:sz w:val="24"/>
          <w:highlight w:val="none"/>
        </w:rPr>
      </w:pPr>
      <w:r>
        <w:rPr>
          <w:b/>
          <w:color w:val="auto"/>
          <w:sz w:val="24"/>
          <w:highlight w:val="none"/>
        </w:rPr>
        <w:t>（三） 订货数量：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 xml:space="preserve"> 电子顺磁共振波谱仪 1套</w:t>
      </w:r>
    </w:p>
    <w:p>
      <w:pPr>
        <w:spacing w:line="360" w:lineRule="auto"/>
        <w:rPr>
          <w:color w:val="auto"/>
          <w:sz w:val="24"/>
          <w:highlight w:val="none"/>
        </w:rPr>
      </w:pPr>
    </w:p>
    <w:p>
      <w:pPr>
        <w:spacing w:line="360" w:lineRule="auto"/>
        <w:rPr>
          <w:b/>
          <w:color w:val="auto"/>
          <w:sz w:val="24"/>
          <w:highlight w:val="none"/>
        </w:rPr>
      </w:pPr>
      <w:r>
        <w:rPr>
          <w:b/>
          <w:color w:val="auto"/>
          <w:sz w:val="24"/>
          <w:highlight w:val="none"/>
        </w:rPr>
        <w:t>（四） 交货地：</w:t>
      </w:r>
    </w:p>
    <w:p>
      <w:pPr>
        <w:spacing w:line="360" w:lineRule="auto"/>
        <w:ind w:firstLine="24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 xml:space="preserve"> 用户指定地点</w:t>
      </w:r>
    </w:p>
    <w:p>
      <w:pPr>
        <w:spacing w:line="360" w:lineRule="auto"/>
        <w:rPr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b/>
          <w:color w:val="auto"/>
          <w:sz w:val="24"/>
          <w:highlight w:val="none"/>
        </w:rPr>
      </w:pPr>
      <w:r>
        <w:rPr>
          <w:b/>
          <w:color w:val="auto"/>
          <w:sz w:val="24"/>
          <w:highlight w:val="none"/>
        </w:rPr>
        <w:t>交货日期：</w:t>
      </w:r>
    </w:p>
    <w:p>
      <w:pPr>
        <w:widowControl/>
        <w:spacing w:line="360" w:lineRule="auto"/>
        <w:jc w:val="left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 xml:space="preserve">   合同签订后3个月内</w:t>
      </w:r>
    </w:p>
    <w:p>
      <w:pPr>
        <w:spacing w:line="360" w:lineRule="auto"/>
        <w:rPr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b/>
          <w:color w:val="auto"/>
          <w:sz w:val="24"/>
          <w:highlight w:val="none"/>
        </w:rPr>
      </w:pPr>
      <w:r>
        <w:rPr>
          <w:b/>
          <w:color w:val="auto"/>
          <w:sz w:val="24"/>
          <w:highlight w:val="none"/>
        </w:rPr>
        <w:t>执行的相关标准：</w:t>
      </w:r>
    </w:p>
    <w:p>
      <w:pPr>
        <w:spacing w:line="360" w:lineRule="auto"/>
        <w:rPr>
          <w:color w:val="auto"/>
          <w:kern w:val="0"/>
          <w:sz w:val="24"/>
          <w:highlight w:val="none"/>
        </w:rPr>
      </w:pPr>
      <w:r>
        <w:rPr>
          <w:color w:val="auto"/>
          <w:kern w:val="0"/>
          <w:sz w:val="24"/>
          <w:highlight w:val="none"/>
        </w:rPr>
        <w:t xml:space="preserve">   产品应满足相关国家标准及行业标准。</w:t>
      </w:r>
    </w:p>
    <w:p>
      <w:pPr>
        <w:widowControl/>
        <w:spacing w:line="360" w:lineRule="atLeast"/>
        <w:rPr>
          <w:b/>
          <w:color w:val="auto"/>
          <w:sz w:val="30"/>
          <w:szCs w:val="30"/>
          <w:highlight w:val="none"/>
        </w:rPr>
      </w:pPr>
    </w:p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altName w:val="Malgun Gothic Semilight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长城仿宋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1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27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1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2"/>
      <w:jc w:val="both"/>
    </w:pPr>
    <w:r>
      <w:rPr>
        <w:rFonts w:hint="eastAsia"/>
        <w:i/>
      </w:rPr>
      <w:t>东方国际招标有限责任公司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3E494D"/>
    <w:multiLevelType w:val="singleLevel"/>
    <w:tmpl w:val="AA3E494D"/>
    <w:lvl w:ilvl="0" w:tentative="0">
      <w:start w:val="5"/>
      <w:numFmt w:val="chineseCounting"/>
      <w:suff w:val="space"/>
      <w:lvlText w:val="（%1）"/>
      <w:lvlJc w:val="left"/>
      <w:rPr>
        <w:rFonts w:hint="eastAsia"/>
      </w:rPr>
    </w:lvl>
  </w:abstractNum>
  <w:abstractNum w:abstractNumId="1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I5NTFkMDYyZjhhYjE2OGVmNDJkNzA2YTE0NzcwODMifQ=="/>
  </w:docVars>
  <w:rsids>
    <w:rsidRoot w:val="00FA3835"/>
    <w:rsid w:val="000050A2"/>
    <w:rsid w:val="000206C1"/>
    <w:rsid w:val="00027C8D"/>
    <w:rsid w:val="00040005"/>
    <w:rsid w:val="000543E7"/>
    <w:rsid w:val="0006010D"/>
    <w:rsid w:val="000668DC"/>
    <w:rsid w:val="00073869"/>
    <w:rsid w:val="00081ADD"/>
    <w:rsid w:val="00085052"/>
    <w:rsid w:val="000922AF"/>
    <w:rsid w:val="000969BB"/>
    <w:rsid w:val="000973D2"/>
    <w:rsid w:val="000A1706"/>
    <w:rsid w:val="000B12EC"/>
    <w:rsid w:val="000B636A"/>
    <w:rsid w:val="000C1F98"/>
    <w:rsid w:val="000C325D"/>
    <w:rsid w:val="000C505C"/>
    <w:rsid w:val="000D1A3C"/>
    <w:rsid w:val="000E0B0C"/>
    <w:rsid w:val="000E17D4"/>
    <w:rsid w:val="000E4DA9"/>
    <w:rsid w:val="000F0512"/>
    <w:rsid w:val="000F4571"/>
    <w:rsid w:val="00103352"/>
    <w:rsid w:val="00105333"/>
    <w:rsid w:val="00105949"/>
    <w:rsid w:val="00107AF4"/>
    <w:rsid w:val="001140D0"/>
    <w:rsid w:val="001235CA"/>
    <w:rsid w:val="00137D93"/>
    <w:rsid w:val="001437EA"/>
    <w:rsid w:val="00144505"/>
    <w:rsid w:val="00144DDA"/>
    <w:rsid w:val="0014761F"/>
    <w:rsid w:val="00153F11"/>
    <w:rsid w:val="00154F47"/>
    <w:rsid w:val="00155A34"/>
    <w:rsid w:val="00164E27"/>
    <w:rsid w:val="00185ED9"/>
    <w:rsid w:val="00187304"/>
    <w:rsid w:val="001921CA"/>
    <w:rsid w:val="00194900"/>
    <w:rsid w:val="001A0E56"/>
    <w:rsid w:val="001A6E63"/>
    <w:rsid w:val="001B195C"/>
    <w:rsid w:val="001B5C65"/>
    <w:rsid w:val="001B62CC"/>
    <w:rsid w:val="001B66E1"/>
    <w:rsid w:val="001B6E57"/>
    <w:rsid w:val="001D67C6"/>
    <w:rsid w:val="001D7301"/>
    <w:rsid w:val="001E1467"/>
    <w:rsid w:val="001E152C"/>
    <w:rsid w:val="001E3480"/>
    <w:rsid w:val="001F15E0"/>
    <w:rsid w:val="001F18B7"/>
    <w:rsid w:val="001F1D2B"/>
    <w:rsid w:val="001F5FAD"/>
    <w:rsid w:val="001F79B6"/>
    <w:rsid w:val="002024C7"/>
    <w:rsid w:val="00206639"/>
    <w:rsid w:val="0021259E"/>
    <w:rsid w:val="00213C28"/>
    <w:rsid w:val="00217666"/>
    <w:rsid w:val="002208E1"/>
    <w:rsid w:val="00224FE7"/>
    <w:rsid w:val="002258EE"/>
    <w:rsid w:val="0023013E"/>
    <w:rsid w:val="00233C8A"/>
    <w:rsid w:val="0023407F"/>
    <w:rsid w:val="00240E7B"/>
    <w:rsid w:val="00247ED0"/>
    <w:rsid w:val="00251DB7"/>
    <w:rsid w:val="002705D9"/>
    <w:rsid w:val="00275598"/>
    <w:rsid w:val="002761A3"/>
    <w:rsid w:val="0028124D"/>
    <w:rsid w:val="00282A80"/>
    <w:rsid w:val="00282F14"/>
    <w:rsid w:val="00292E0B"/>
    <w:rsid w:val="00293D1D"/>
    <w:rsid w:val="002A05BB"/>
    <w:rsid w:val="002B44BD"/>
    <w:rsid w:val="002B6E7A"/>
    <w:rsid w:val="002B7380"/>
    <w:rsid w:val="002D5C47"/>
    <w:rsid w:val="002E03AA"/>
    <w:rsid w:val="002E6A76"/>
    <w:rsid w:val="002F1704"/>
    <w:rsid w:val="002F6FCA"/>
    <w:rsid w:val="002F7EF8"/>
    <w:rsid w:val="00301191"/>
    <w:rsid w:val="00316BEC"/>
    <w:rsid w:val="00322611"/>
    <w:rsid w:val="003248D5"/>
    <w:rsid w:val="00326D72"/>
    <w:rsid w:val="0033189B"/>
    <w:rsid w:val="003442AE"/>
    <w:rsid w:val="0034443A"/>
    <w:rsid w:val="003459BE"/>
    <w:rsid w:val="003474B8"/>
    <w:rsid w:val="00353E66"/>
    <w:rsid w:val="00357C16"/>
    <w:rsid w:val="003637C6"/>
    <w:rsid w:val="003654F9"/>
    <w:rsid w:val="003732CC"/>
    <w:rsid w:val="00373B63"/>
    <w:rsid w:val="00374F9A"/>
    <w:rsid w:val="003752C8"/>
    <w:rsid w:val="00382C0C"/>
    <w:rsid w:val="00384D29"/>
    <w:rsid w:val="00397F24"/>
    <w:rsid w:val="003A298A"/>
    <w:rsid w:val="003B4F45"/>
    <w:rsid w:val="003B6193"/>
    <w:rsid w:val="003C0E9E"/>
    <w:rsid w:val="003C172D"/>
    <w:rsid w:val="003C7092"/>
    <w:rsid w:val="003C785A"/>
    <w:rsid w:val="003D2B81"/>
    <w:rsid w:val="003F5F7A"/>
    <w:rsid w:val="003F76EE"/>
    <w:rsid w:val="004043A2"/>
    <w:rsid w:val="00404EA5"/>
    <w:rsid w:val="00415144"/>
    <w:rsid w:val="00420D92"/>
    <w:rsid w:val="0042297A"/>
    <w:rsid w:val="004362C7"/>
    <w:rsid w:val="0044106E"/>
    <w:rsid w:val="00446E68"/>
    <w:rsid w:val="00447503"/>
    <w:rsid w:val="0046038A"/>
    <w:rsid w:val="00471176"/>
    <w:rsid w:val="00484FF8"/>
    <w:rsid w:val="00491CC1"/>
    <w:rsid w:val="00494102"/>
    <w:rsid w:val="004A0EB1"/>
    <w:rsid w:val="004A3B49"/>
    <w:rsid w:val="004A5C14"/>
    <w:rsid w:val="004B3476"/>
    <w:rsid w:val="004B36B8"/>
    <w:rsid w:val="004B7C30"/>
    <w:rsid w:val="004C387C"/>
    <w:rsid w:val="004D0AB9"/>
    <w:rsid w:val="004D7BCB"/>
    <w:rsid w:val="004E042A"/>
    <w:rsid w:val="004E4504"/>
    <w:rsid w:val="004F0FDE"/>
    <w:rsid w:val="004F3E07"/>
    <w:rsid w:val="00503CA8"/>
    <w:rsid w:val="00504FD3"/>
    <w:rsid w:val="00512882"/>
    <w:rsid w:val="005134AD"/>
    <w:rsid w:val="005143FF"/>
    <w:rsid w:val="00516FEB"/>
    <w:rsid w:val="005244F5"/>
    <w:rsid w:val="00524665"/>
    <w:rsid w:val="005333F9"/>
    <w:rsid w:val="00543C0A"/>
    <w:rsid w:val="0054699B"/>
    <w:rsid w:val="005515EB"/>
    <w:rsid w:val="0055226E"/>
    <w:rsid w:val="00552E7C"/>
    <w:rsid w:val="005601D0"/>
    <w:rsid w:val="005613B2"/>
    <w:rsid w:val="0056304A"/>
    <w:rsid w:val="005656BB"/>
    <w:rsid w:val="0057066D"/>
    <w:rsid w:val="00572671"/>
    <w:rsid w:val="00590BEF"/>
    <w:rsid w:val="00591688"/>
    <w:rsid w:val="005916DF"/>
    <w:rsid w:val="00595627"/>
    <w:rsid w:val="00595D3F"/>
    <w:rsid w:val="00595EAC"/>
    <w:rsid w:val="005A2F5B"/>
    <w:rsid w:val="005A52D6"/>
    <w:rsid w:val="005C3EC2"/>
    <w:rsid w:val="005C574A"/>
    <w:rsid w:val="005D09A0"/>
    <w:rsid w:val="005D479D"/>
    <w:rsid w:val="005E416B"/>
    <w:rsid w:val="005E7A21"/>
    <w:rsid w:val="005F24B2"/>
    <w:rsid w:val="0060103A"/>
    <w:rsid w:val="00601EE6"/>
    <w:rsid w:val="00602911"/>
    <w:rsid w:val="00602A7A"/>
    <w:rsid w:val="00602CF0"/>
    <w:rsid w:val="0060509A"/>
    <w:rsid w:val="006125F5"/>
    <w:rsid w:val="00612A9B"/>
    <w:rsid w:val="00614D00"/>
    <w:rsid w:val="006225E2"/>
    <w:rsid w:val="0062676A"/>
    <w:rsid w:val="00640DB1"/>
    <w:rsid w:val="006416E9"/>
    <w:rsid w:val="0064545D"/>
    <w:rsid w:val="00646C82"/>
    <w:rsid w:val="00647CD5"/>
    <w:rsid w:val="006548A6"/>
    <w:rsid w:val="00655478"/>
    <w:rsid w:val="00655B80"/>
    <w:rsid w:val="00660515"/>
    <w:rsid w:val="00664D7F"/>
    <w:rsid w:val="006713CD"/>
    <w:rsid w:val="006810E3"/>
    <w:rsid w:val="00681C84"/>
    <w:rsid w:val="006A377B"/>
    <w:rsid w:val="006A6511"/>
    <w:rsid w:val="006B0930"/>
    <w:rsid w:val="006C1EC0"/>
    <w:rsid w:val="006C4384"/>
    <w:rsid w:val="006C5135"/>
    <w:rsid w:val="006C546E"/>
    <w:rsid w:val="006D29F2"/>
    <w:rsid w:val="006E2DE0"/>
    <w:rsid w:val="006E480C"/>
    <w:rsid w:val="006E5A8E"/>
    <w:rsid w:val="0070081C"/>
    <w:rsid w:val="0071653B"/>
    <w:rsid w:val="00720A9F"/>
    <w:rsid w:val="00720DA8"/>
    <w:rsid w:val="00721985"/>
    <w:rsid w:val="00724C84"/>
    <w:rsid w:val="007252A8"/>
    <w:rsid w:val="00725C0A"/>
    <w:rsid w:val="00726300"/>
    <w:rsid w:val="0073119D"/>
    <w:rsid w:val="0073199C"/>
    <w:rsid w:val="007376B0"/>
    <w:rsid w:val="00740508"/>
    <w:rsid w:val="00740A78"/>
    <w:rsid w:val="00741A82"/>
    <w:rsid w:val="00743776"/>
    <w:rsid w:val="00751428"/>
    <w:rsid w:val="00753063"/>
    <w:rsid w:val="00755527"/>
    <w:rsid w:val="0075674B"/>
    <w:rsid w:val="00761F2B"/>
    <w:rsid w:val="00762D39"/>
    <w:rsid w:val="00763B74"/>
    <w:rsid w:val="007731D0"/>
    <w:rsid w:val="00775B16"/>
    <w:rsid w:val="00785A0A"/>
    <w:rsid w:val="00786491"/>
    <w:rsid w:val="00787CED"/>
    <w:rsid w:val="007905E0"/>
    <w:rsid w:val="0079112E"/>
    <w:rsid w:val="00791C1F"/>
    <w:rsid w:val="007967F8"/>
    <w:rsid w:val="007A3772"/>
    <w:rsid w:val="007A3CCF"/>
    <w:rsid w:val="007A6CE5"/>
    <w:rsid w:val="007C2696"/>
    <w:rsid w:val="007C4C31"/>
    <w:rsid w:val="007C5EA5"/>
    <w:rsid w:val="007D381E"/>
    <w:rsid w:val="007D3EE2"/>
    <w:rsid w:val="007E03CA"/>
    <w:rsid w:val="007E6193"/>
    <w:rsid w:val="007E67CC"/>
    <w:rsid w:val="007F2F97"/>
    <w:rsid w:val="007F387D"/>
    <w:rsid w:val="007F7152"/>
    <w:rsid w:val="008203E6"/>
    <w:rsid w:val="00822633"/>
    <w:rsid w:val="00830107"/>
    <w:rsid w:val="00831B02"/>
    <w:rsid w:val="00833174"/>
    <w:rsid w:val="00846609"/>
    <w:rsid w:val="00852958"/>
    <w:rsid w:val="00864F77"/>
    <w:rsid w:val="008661F8"/>
    <w:rsid w:val="00870ED7"/>
    <w:rsid w:val="008712FA"/>
    <w:rsid w:val="00876AA9"/>
    <w:rsid w:val="00876EFF"/>
    <w:rsid w:val="00883AB2"/>
    <w:rsid w:val="008861B2"/>
    <w:rsid w:val="0089155D"/>
    <w:rsid w:val="00896377"/>
    <w:rsid w:val="008A09F5"/>
    <w:rsid w:val="008A4B18"/>
    <w:rsid w:val="008A738C"/>
    <w:rsid w:val="008B2645"/>
    <w:rsid w:val="008C36D3"/>
    <w:rsid w:val="008D0675"/>
    <w:rsid w:val="008D1425"/>
    <w:rsid w:val="008D3BC8"/>
    <w:rsid w:val="008D6F23"/>
    <w:rsid w:val="008E5EB5"/>
    <w:rsid w:val="008F04C7"/>
    <w:rsid w:val="008F21A5"/>
    <w:rsid w:val="008F2440"/>
    <w:rsid w:val="00914619"/>
    <w:rsid w:val="009202C8"/>
    <w:rsid w:val="009246BA"/>
    <w:rsid w:val="0093012E"/>
    <w:rsid w:val="00930CDE"/>
    <w:rsid w:val="009353BE"/>
    <w:rsid w:val="00935AA1"/>
    <w:rsid w:val="00944891"/>
    <w:rsid w:val="009451DC"/>
    <w:rsid w:val="009467F2"/>
    <w:rsid w:val="0095655E"/>
    <w:rsid w:val="009718ED"/>
    <w:rsid w:val="0097297B"/>
    <w:rsid w:val="0098154C"/>
    <w:rsid w:val="0098549E"/>
    <w:rsid w:val="009857EF"/>
    <w:rsid w:val="00986BB0"/>
    <w:rsid w:val="009941D8"/>
    <w:rsid w:val="00995597"/>
    <w:rsid w:val="009A2C18"/>
    <w:rsid w:val="009C0A0B"/>
    <w:rsid w:val="009C14BD"/>
    <w:rsid w:val="009C621D"/>
    <w:rsid w:val="009D1AF8"/>
    <w:rsid w:val="009E1C84"/>
    <w:rsid w:val="009E32D4"/>
    <w:rsid w:val="009E4080"/>
    <w:rsid w:val="009E4DCB"/>
    <w:rsid w:val="009E580F"/>
    <w:rsid w:val="009E5FCF"/>
    <w:rsid w:val="009F5A6A"/>
    <w:rsid w:val="00A0205F"/>
    <w:rsid w:val="00A04E9D"/>
    <w:rsid w:val="00A06893"/>
    <w:rsid w:val="00A21886"/>
    <w:rsid w:val="00A25682"/>
    <w:rsid w:val="00A2638C"/>
    <w:rsid w:val="00A27417"/>
    <w:rsid w:val="00A27AFD"/>
    <w:rsid w:val="00A354A8"/>
    <w:rsid w:val="00A4031E"/>
    <w:rsid w:val="00A44A2B"/>
    <w:rsid w:val="00A46F60"/>
    <w:rsid w:val="00A51826"/>
    <w:rsid w:val="00A53234"/>
    <w:rsid w:val="00A55E4D"/>
    <w:rsid w:val="00A57F47"/>
    <w:rsid w:val="00A870BB"/>
    <w:rsid w:val="00A944DF"/>
    <w:rsid w:val="00A95001"/>
    <w:rsid w:val="00AA7341"/>
    <w:rsid w:val="00AA7A0D"/>
    <w:rsid w:val="00AB113B"/>
    <w:rsid w:val="00AD2FD2"/>
    <w:rsid w:val="00AD41E6"/>
    <w:rsid w:val="00AD4ECF"/>
    <w:rsid w:val="00AD70C8"/>
    <w:rsid w:val="00AF6067"/>
    <w:rsid w:val="00B0445C"/>
    <w:rsid w:val="00B07AAD"/>
    <w:rsid w:val="00B13E9B"/>
    <w:rsid w:val="00B15273"/>
    <w:rsid w:val="00B16887"/>
    <w:rsid w:val="00B1746F"/>
    <w:rsid w:val="00B27A2B"/>
    <w:rsid w:val="00B31F00"/>
    <w:rsid w:val="00B351A2"/>
    <w:rsid w:val="00B41959"/>
    <w:rsid w:val="00B42C18"/>
    <w:rsid w:val="00B43CF7"/>
    <w:rsid w:val="00B44327"/>
    <w:rsid w:val="00B53944"/>
    <w:rsid w:val="00B61FDD"/>
    <w:rsid w:val="00B671D4"/>
    <w:rsid w:val="00B75B80"/>
    <w:rsid w:val="00B81149"/>
    <w:rsid w:val="00B8672D"/>
    <w:rsid w:val="00B94FB1"/>
    <w:rsid w:val="00BC4B24"/>
    <w:rsid w:val="00BC7FBC"/>
    <w:rsid w:val="00BD11D6"/>
    <w:rsid w:val="00BD2A3B"/>
    <w:rsid w:val="00BD646D"/>
    <w:rsid w:val="00BD6A33"/>
    <w:rsid w:val="00BD7ED0"/>
    <w:rsid w:val="00BE5E06"/>
    <w:rsid w:val="00BE643E"/>
    <w:rsid w:val="00BE7CED"/>
    <w:rsid w:val="00BF59BF"/>
    <w:rsid w:val="00C019B6"/>
    <w:rsid w:val="00C056B5"/>
    <w:rsid w:val="00C1058F"/>
    <w:rsid w:val="00C10630"/>
    <w:rsid w:val="00C12939"/>
    <w:rsid w:val="00C132FC"/>
    <w:rsid w:val="00C14E3B"/>
    <w:rsid w:val="00C23BA4"/>
    <w:rsid w:val="00C241B2"/>
    <w:rsid w:val="00C34485"/>
    <w:rsid w:val="00C34EAF"/>
    <w:rsid w:val="00C40AB3"/>
    <w:rsid w:val="00C43805"/>
    <w:rsid w:val="00C43E24"/>
    <w:rsid w:val="00C45235"/>
    <w:rsid w:val="00C52514"/>
    <w:rsid w:val="00C60EF2"/>
    <w:rsid w:val="00C615B2"/>
    <w:rsid w:val="00C702F0"/>
    <w:rsid w:val="00C72836"/>
    <w:rsid w:val="00C74553"/>
    <w:rsid w:val="00C74D17"/>
    <w:rsid w:val="00C8112C"/>
    <w:rsid w:val="00C87EF4"/>
    <w:rsid w:val="00CA623E"/>
    <w:rsid w:val="00CA630F"/>
    <w:rsid w:val="00CB4EB2"/>
    <w:rsid w:val="00CB7A41"/>
    <w:rsid w:val="00CC2250"/>
    <w:rsid w:val="00CC7A0B"/>
    <w:rsid w:val="00CD64CD"/>
    <w:rsid w:val="00CE2041"/>
    <w:rsid w:val="00CE3059"/>
    <w:rsid w:val="00CE4600"/>
    <w:rsid w:val="00CE4960"/>
    <w:rsid w:val="00CE56FA"/>
    <w:rsid w:val="00CF0912"/>
    <w:rsid w:val="00D0060C"/>
    <w:rsid w:val="00D027B8"/>
    <w:rsid w:val="00D04134"/>
    <w:rsid w:val="00D0571C"/>
    <w:rsid w:val="00D0679B"/>
    <w:rsid w:val="00D11879"/>
    <w:rsid w:val="00D12547"/>
    <w:rsid w:val="00D22D44"/>
    <w:rsid w:val="00D378BA"/>
    <w:rsid w:val="00D40668"/>
    <w:rsid w:val="00D6263A"/>
    <w:rsid w:val="00D75F69"/>
    <w:rsid w:val="00D778D7"/>
    <w:rsid w:val="00D83934"/>
    <w:rsid w:val="00D861C3"/>
    <w:rsid w:val="00D91A0C"/>
    <w:rsid w:val="00D9239C"/>
    <w:rsid w:val="00D95955"/>
    <w:rsid w:val="00D979AB"/>
    <w:rsid w:val="00DA5817"/>
    <w:rsid w:val="00DA590C"/>
    <w:rsid w:val="00DA703D"/>
    <w:rsid w:val="00DB54CF"/>
    <w:rsid w:val="00DC1546"/>
    <w:rsid w:val="00DD2172"/>
    <w:rsid w:val="00DD2E76"/>
    <w:rsid w:val="00DD4A09"/>
    <w:rsid w:val="00DD4C25"/>
    <w:rsid w:val="00DD6A1F"/>
    <w:rsid w:val="00DE4C00"/>
    <w:rsid w:val="00DE5C67"/>
    <w:rsid w:val="00DF2449"/>
    <w:rsid w:val="00DF7ACF"/>
    <w:rsid w:val="00E004CA"/>
    <w:rsid w:val="00E03391"/>
    <w:rsid w:val="00E0373B"/>
    <w:rsid w:val="00E07308"/>
    <w:rsid w:val="00E179B5"/>
    <w:rsid w:val="00E26286"/>
    <w:rsid w:val="00E30AC2"/>
    <w:rsid w:val="00E33D84"/>
    <w:rsid w:val="00E34813"/>
    <w:rsid w:val="00E356D2"/>
    <w:rsid w:val="00E401B3"/>
    <w:rsid w:val="00E458DA"/>
    <w:rsid w:val="00E4741B"/>
    <w:rsid w:val="00E5687E"/>
    <w:rsid w:val="00E639CC"/>
    <w:rsid w:val="00E63D5B"/>
    <w:rsid w:val="00E671AD"/>
    <w:rsid w:val="00E7142B"/>
    <w:rsid w:val="00E83E40"/>
    <w:rsid w:val="00E857B8"/>
    <w:rsid w:val="00E907E5"/>
    <w:rsid w:val="00E943B8"/>
    <w:rsid w:val="00EA11F7"/>
    <w:rsid w:val="00EA20B9"/>
    <w:rsid w:val="00EA4549"/>
    <w:rsid w:val="00EB3234"/>
    <w:rsid w:val="00ED0B37"/>
    <w:rsid w:val="00ED22DF"/>
    <w:rsid w:val="00ED4C66"/>
    <w:rsid w:val="00ED6781"/>
    <w:rsid w:val="00EE4BD8"/>
    <w:rsid w:val="00EF383F"/>
    <w:rsid w:val="00EF4658"/>
    <w:rsid w:val="00EF5BA0"/>
    <w:rsid w:val="00EF64B8"/>
    <w:rsid w:val="00EF658F"/>
    <w:rsid w:val="00F1300D"/>
    <w:rsid w:val="00F13600"/>
    <w:rsid w:val="00F15FC0"/>
    <w:rsid w:val="00F17042"/>
    <w:rsid w:val="00F175D1"/>
    <w:rsid w:val="00F21DA9"/>
    <w:rsid w:val="00F22A75"/>
    <w:rsid w:val="00F30C1E"/>
    <w:rsid w:val="00F3185D"/>
    <w:rsid w:val="00F35217"/>
    <w:rsid w:val="00F35C50"/>
    <w:rsid w:val="00F36C43"/>
    <w:rsid w:val="00F42D68"/>
    <w:rsid w:val="00F436FE"/>
    <w:rsid w:val="00F500D2"/>
    <w:rsid w:val="00F51A9D"/>
    <w:rsid w:val="00F57792"/>
    <w:rsid w:val="00F60048"/>
    <w:rsid w:val="00F6185A"/>
    <w:rsid w:val="00F70057"/>
    <w:rsid w:val="00F73FE2"/>
    <w:rsid w:val="00F74944"/>
    <w:rsid w:val="00F8497C"/>
    <w:rsid w:val="00F91E41"/>
    <w:rsid w:val="00FA238D"/>
    <w:rsid w:val="00FA3835"/>
    <w:rsid w:val="00FA6816"/>
    <w:rsid w:val="00FB5D79"/>
    <w:rsid w:val="00FC1FDD"/>
    <w:rsid w:val="00FE3D91"/>
    <w:rsid w:val="00FE55D2"/>
    <w:rsid w:val="00FF3E9D"/>
    <w:rsid w:val="00FF728E"/>
    <w:rsid w:val="011B6D03"/>
    <w:rsid w:val="012A4E2C"/>
    <w:rsid w:val="0146689C"/>
    <w:rsid w:val="01B6221C"/>
    <w:rsid w:val="03822CFE"/>
    <w:rsid w:val="03B210F3"/>
    <w:rsid w:val="04B648BA"/>
    <w:rsid w:val="05121E5F"/>
    <w:rsid w:val="06BA2C89"/>
    <w:rsid w:val="07002453"/>
    <w:rsid w:val="07234E8C"/>
    <w:rsid w:val="07C06BF3"/>
    <w:rsid w:val="08B258EB"/>
    <w:rsid w:val="09A45050"/>
    <w:rsid w:val="09D96A1A"/>
    <w:rsid w:val="0A5B05D9"/>
    <w:rsid w:val="0AE0030A"/>
    <w:rsid w:val="0B7A056A"/>
    <w:rsid w:val="0B927CBA"/>
    <w:rsid w:val="0C681B81"/>
    <w:rsid w:val="0CC46135"/>
    <w:rsid w:val="0CE122D3"/>
    <w:rsid w:val="0D322E51"/>
    <w:rsid w:val="0D7C256C"/>
    <w:rsid w:val="0DD358E2"/>
    <w:rsid w:val="0E06452B"/>
    <w:rsid w:val="0E2B1ADA"/>
    <w:rsid w:val="0E5232CD"/>
    <w:rsid w:val="0E7E0566"/>
    <w:rsid w:val="0F16079E"/>
    <w:rsid w:val="10630D41"/>
    <w:rsid w:val="10812156"/>
    <w:rsid w:val="10AD38CA"/>
    <w:rsid w:val="10E279BE"/>
    <w:rsid w:val="10FD3672"/>
    <w:rsid w:val="1161646E"/>
    <w:rsid w:val="116F23E8"/>
    <w:rsid w:val="13B3093C"/>
    <w:rsid w:val="14BF5570"/>
    <w:rsid w:val="15431BC1"/>
    <w:rsid w:val="157E709D"/>
    <w:rsid w:val="15F35578"/>
    <w:rsid w:val="16255094"/>
    <w:rsid w:val="182757CA"/>
    <w:rsid w:val="18513720"/>
    <w:rsid w:val="18B02F9E"/>
    <w:rsid w:val="18BA5E1D"/>
    <w:rsid w:val="18CB49D2"/>
    <w:rsid w:val="191608B9"/>
    <w:rsid w:val="19CA335A"/>
    <w:rsid w:val="1A895A2E"/>
    <w:rsid w:val="1AA41E68"/>
    <w:rsid w:val="1AD722FD"/>
    <w:rsid w:val="1B0421DB"/>
    <w:rsid w:val="1B601DCB"/>
    <w:rsid w:val="1B7F7E70"/>
    <w:rsid w:val="1B9E3D36"/>
    <w:rsid w:val="1BA710FC"/>
    <w:rsid w:val="1C8F2A04"/>
    <w:rsid w:val="1CCE50AB"/>
    <w:rsid w:val="1CD468D8"/>
    <w:rsid w:val="1D091C84"/>
    <w:rsid w:val="1D3E4C23"/>
    <w:rsid w:val="1D760135"/>
    <w:rsid w:val="1DAD1AEC"/>
    <w:rsid w:val="1E0265AE"/>
    <w:rsid w:val="1E166652"/>
    <w:rsid w:val="1E436B2A"/>
    <w:rsid w:val="1E682F46"/>
    <w:rsid w:val="1E85E130"/>
    <w:rsid w:val="1EB8717C"/>
    <w:rsid w:val="1F100D66"/>
    <w:rsid w:val="1F105F79"/>
    <w:rsid w:val="1F6F4139"/>
    <w:rsid w:val="218B2C39"/>
    <w:rsid w:val="21D70261"/>
    <w:rsid w:val="21F4511F"/>
    <w:rsid w:val="22291A3F"/>
    <w:rsid w:val="22AF58E3"/>
    <w:rsid w:val="232C78EC"/>
    <w:rsid w:val="2377224A"/>
    <w:rsid w:val="23A7419A"/>
    <w:rsid w:val="23D43367"/>
    <w:rsid w:val="243F7370"/>
    <w:rsid w:val="262B4CB4"/>
    <w:rsid w:val="2630502B"/>
    <w:rsid w:val="26B807B0"/>
    <w:rsid w:val="26C83883"/>
    <w:rsid w:val="26D25C1B"/>
    <w:rsid w:val="277B1CD6"/>
    <w:rsid w:val="294067C0"/>
    <w:rsid w:val="2A233FCE"/>
    <w:rsid w:val="2A8E004C"/>
    <w:rsid w:val="2AEF6D85"/>
    <w:rsid w:val="2B365FF8"/>
    <w:rsid w:val="2B9E76FA"/>
    <w:rsid w:val="2BC1063F"/>
    <w:rsid w:val="2C5168F6"/>
    <w:rsid w:val="2D230ADF"/>
    <w:rsid w:val="2D4A4E8D"/>
    <w:rsid w:val="2D5179CF"/>
    <w:rsid w:val="2D930C61"/>
    <w:rsid w:val="2DFF6B75"/>
    <w:rsid w:val="2E0E0B66"/>
    <w:rsid w:val="2EB36247"/>
    <w:rsid w:val="30292B21"/>
    <w:rsid w:val="31A74462"/>
    <w:rsid w:val="31CC4FC0"/>
    <w:rsid w:val="32162DB6"/>
    <w:rsid w:val="322A7D1F"/>
    <w:rsid w:val="327F0D3B"/>
    <w:rsid w:val="328E6C13"/>
    <w:rsid w:val="32CE7AF8"/>
    <w:rsid w:val="34AD3848"/>
    <w:rsid w:val="34D62889"/>
    <w:rsid w:val="35076310"/>
    <w:rsid w:val="35224842"/>
    <w:rsid w:val="35C0542C"/>
    <w:rsid w:val="36847D69"/>
    <w:rsid w:val="368C042F"/>
    <w:rsid w:val="368C11B1"/>
    <w:rsid w:val="36965A7B"/>
    <w:rsid w:val="38740160"/>
    <w:rsid w:val="39C30C0C"/>
    <w:rsid w:val="3AB412B2"/>
    <w:rsid w:val="3AE923DB"/>
    <w:rsid w:val="3AF66579"/>
    <w:rsid w:val="3AFA0DF0"/>
    <w:rsid w:val="3AFF33E8"/>
    <w:rsid w:val="3B81506E"/>
    <w:rsid w:val="3C325184"/>
    <w:rsid w:val="3CF76C6B"/>
    <w:rsid w:val="3D476359"/>
    <w:rsid w:val="3D9A658C"/>
    <w:rsid w:val="3DE10046"/>
    <w:rsid w:val="3DEE1D80"/>
    <w:rsid w:val="3F4177F3"/>
    <w:rsid w:val="3FFC477B"/>
    <w:rsid w:val="40AF61D9"/>
    <w:rsid w:val="414A4154"/>
    <w:rsid w:val="435B43F6"/>
    <w:rsid w:val="436A3581"/>
    <w:rsid w:val="43F065F7"/>
    <w:rsid w:val="442F62DC"/>
    <w:rsid w:val="44BD3991"/>
    <w:rsid w:val="45BFB8AB"/>
    <w:rsid w:val="46B2212C"/>
    <w:rsid w:val="46DB7A17"/>
    <w:rsid w:val="470B1A6B"/>
    <w:rsid w:val="470D6E20"/>
    <w:rsid w:val="47263210"/>
    <w:rsid w:val="475D7EB0"/>
    <w:rsid w:val="477749AA"/>
    <w:rsid w:val="47C16823"/>
    <w:rsid w:val="48333FF5"/>
    <w:rsid w:val="485F1589"/>
    <w:rsid w:val="49DC2C1A"/>
    <w:rsid w:val="49FA5FEB"/>
    <w:rsid w:val="4ADE435A"/>
    <w:rsid w:val="4B3E4CEE"/>
    <w:rsid w:val="4BA01C53"/>
    <w:rsid w:val="4C75205D"/>
    <w:rsid w:val="4C8E043C"/>
    <w:rsid w:val="4F8462B8"/>
    <w:rsid w:val="50913C64"/>
    <w:rsid w:val="50F33EC0"/>
    <w:rsid w:val="51283287"/>
    <w:rsid w:val="5157551B"/>
    <w:rsid w:val="51CD3614"/>
    <w:rsid w:val="52800E89"/>
    <w:rsid w:val="52FE0681"/>
    <w:rsid w:val="53FC6986"/>
    <w:rsid w:val="54D6605C"/>
    <w:rsid w:val="55BA1450"/>
    <w:rsid w:val="56220AC4"/>
    <w:rsid w:val="56821842"/>
    <w:rsid w:val="57087F99"/>
    <w:rsid w:val="579B7ED0"/>
    <w:rsid w:val="57C9767E"/>
    <w:rsid w:val="585F0652"/>
    <w:rsid w:val="5912054F"/>
    <w:rsid w:val="5A3612C1"/>
    <w:rsid w:val="5C1D270E"/>
    <w:rsid w:val="5C8A31FF"/>
    <w:rsid w:val="5D920F8A"/>
    <w:rsid w:val="5DE05449"/>
    <w:rsid w:val="5ED12060"/>
    <w:rsid w:val="5F221E14"/>
    <w:rsid w:val="60277E1F"/>
    <w:rsid w:val="6036685D"/>
    <w:rsid w:val="60712451"/>
    <w:rsid w:val="60F313B0"/>
    <w:rsid w:val="6199628F"/>
    <w:rsid w:val="62D25F79"/>
    <w:rsid w:val="62E01DCA"/>
    <w:rsid w:val="6382320C"/>
    <w:rsid w:val="651331EE"/>
    <w:rsid w:val="653E1685"/>
    <w:rsid w:val="654A5C21"/>
    <w:rsid w:val="65A62CD8"/>
    <w:rsid w:val="66524D8D"/>
    <w:rsid w:val="66730271"/>
    <w:rsid w:val="6710120C"/>
    <w:rsid w:val="67D85B6C"/>
    <w:rsid w:val="690305C1"/>
    <w:rsid w:val="6A601F79"/>
    <w:rsid w:val="6A8D2337"/>
    <w:rsid w:val="6B3D744C"/>
    <w:rsid w:val="6B923E7E"/>
    <w:rsid w:val="6BC21862"/>
    <w:rsid w:val="6C5544DF"/>
    <w:rsid w:val="6C67192F"/>
    <w:rsid w:val="6CBD4F2A"/>
    <w:rsid w:val="6DDA7AC0"/>
    <w:rsid w:val="6E427DDD"/>
    <w:rsid w:val="6E5D3F90"/>
    <w:rsid w:val="6EC9290D"/>
    <w:rsid w:val="6F135C55"/>
    <w:rsid w:val="70F73101"/>
    <w:rsid w:val="71F55298"/>
    <w:rsid w:val="720D24B0"/>
    <w:rsid w:val="72621496"/>
    <w:rsid w:val="727A5D81"/>
    <w:rsid w:val="72AA5E5C"/>
    <w:rsid w:val="734D446A"/>
    <w:rsid w:val="73E26E41"/>
    <w:rsid w:val="748D1686"/>
    <w:rsid w:val="75616D9B"/>
    <w:rsid w:val="76285B0A"/>
    <w:rsid w:val="762F1382"/>
    <w:rsid w:val="764B5FBB"/>
    <w:rsid w:val="76F123A0"/>
    <w:rsid w:val="77636978"/>
    <w:rsid w:val="78144598"/>
    <w:rsid w:val="78C830A0"/>
    <w:rsid w:val="79B25E17"/>
    <w:rsid w:val="7B356B4E"/>
    <w:rsid w:val="7B8A017D"/>
    <w:rsid w:val="7BC566B5"/>
    <w:rsid w:val="7BFE3341"/>
    <w:rsid w:val="7C0E12FE"/>
    <w:rsid w:val="7D9D4043"/>
    <w:rsid w:val="7DE20782"/>
    <w:rsid w:val="7E2D1F10"/>
    <w:rsid w:val="7E6672C6"/>
    <w:rsid w:val="7E7A6107"/>
    <w:rsid w:val="7E821CDD"/>
    <w:rsid w:val="7EA04E86"/>
    <w:rsid w:val="7EE30C9C"/>
    <w:rsid w:val="7EFC6D94"/>
    <w:rsid w:val="7F3E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9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3">
    <w:name w:val="heading 2"/>
    <w:basedOn w:val="1"/>
    <w:next w:val="4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qFormat/>
    <w:uiPriority w:val="0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4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4"/>
    <w:qFormat/>
    <w:uiPriority w:val="0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4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4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30">
    <w:name w:val="Default Paragraph Font"/>
    <w:semiHidden/>
    <w:unhideWhenUsed/>
    <w:qFormat/>
    <w:uiPriority w:val="1"/>
  </w:style>
  <w:style w:type="table" w:default="1" w:styleId="2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Document Map"/>
    <w:basedOn w:val="1"/>
    <w:semiHidden/>
    <w:qFormat/>
    <w:uiPriority w:val="0"/>
    <w:pPr>
      <w:shd w:val="clear" w:color="auto" w:fill="000080"/>
    </w:pPr>
  </w:style>
  <w:style w:type="paragraph" w:styleId="13">
    <w:name w:val="annotation text"/>
    <w:basedOn w:val="1"/>
    <w:link w:val="36"/>
    <w:qFormat/>
    <w:uiPriority w:val="0"/>
    <w:pPr>
      <w:jc w:val="left"/>
    </w:pPr>
  </w:style>
  <w:style w:type="paragraph" w:styleId="14">
    <w:name w:val="Body Text 3"/>
    <w:basedOn w:val="1"/>
    <w:qFormat/>
    <w:uiPriority w:val="0"/>
    <w:pPr>
      <w:widowControl/>
      <w:ind w:right="720"/>
      <w:jc w:val="left"/>
    </w:pPr>
    <w:rPr>
      <w:kern w:val="0"/>
      <w:sz w:val="20"/>
      <w:szCs w:val="20"/>
      <w:lang w:eastAsia="en-US"/>
    </w:rPr>
  </w:style>
  <w:style w:type="paragraph" w:styleId="15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16">
    <w:name w:val="Body Text Indent"/>
    <w:basedOn w:val="1"/>
    <w:qFormat/>
    <w:uiPriority w:val="0"/>
    <w:pPr>
      <w:spacing w:after="120"/>
      <w:ind w:left="420" w:leftChars="200"/>
    </w:pPr>
  </w:style>
  <w:style w:type="paragraph" w:styleId="17">
    <w:name w:val="Plain Text"/>
    <w:basedOn w:val="1"/>
    <w:link w:val="37"/>
    <w:qFormat/>
    <w:uiPriority w:val="0"/>
    <w:rPr>
      <w:rFonts w:ascii="宋体" w:hAnsi="Courier New"/>
      <w:szCs w:val="20"/>
    </w:rPr>
  </w:style>
  <w:style w:type="paragraph" w:styleId="18">
    <w:name w:val="Date"/>
    <w:basedOn w:val="1"/>
    <w:next w:val="1"/>
    <w:link w:val="38"/>
    <w:qFormat/>
    <w:uiPriority w:val="0"/>
    <w:rPr>
      <w:szCs w:val="20"/>
    </w:rPr>
  </w:style>
  <w:style w:type="paragraph" w:styleId="19">
    <w:name w:val="Body Text Indent 2"/>
    <w:basedOn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20">
    <w:name w:val="Balloon Text"/>
    <w:basedOn w:val="1"/>
    <w:semiHidden/>
    <w:qFormat/>
    <w:uiPriority w:val="0"/>
    <w:rPr>
      <w:sz w:val="18"/>
      <w:szCs w:val="18"/>
    </w:rPr>
  </w:style>
  <w:style w:type="paragraph" w:styleId="21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2">
    <w:name w:val="header"/>
    <w:basedOn w:val="1"/>
    <w:next w:val="2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3">
    <w:name w:val="toc 4"/>
    <w:basedOn w:val="1"/>
    <w:next w:val="1"/>
    <w:qFormat/>
    <w:uiPriority w:val="99"/>
    <w:pPr>
      <w:ind w:left="1260" w:leftChars="600"/>
    </w:pPr>
  </w:style>
  <w:style w:type="paragraph" w:styleId="24">
    <w:name w:val="Body Text 2"/>
    <w:basedOn w:val="1"/>
    <w:qFormat/>
    <w:uiPriority w:val="0"/>
    <w:pPr>
      <w:widowControl/>
    </w:pPr>
    <w:rPr>
      <w:kern w:val="0"/>
      <w:sz w:val="20"/>
      <w:szCs w:val="20"/>
      <w:lang w:eastAsia="en-US"/>
    </w:rPr>
  </w:style>
  <w:style w:type="paragraph" w:styleId="2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paragraph" w:styleId="26">
    <w:name w:val="Title"/>
    <w:basedOn w:val="1"/>
    <w:qFormat/>
    <w:uiPriority w:val="0"/>
    <w:pPr>
      <w:jc w:val="center"/>
    </w:pPr>
    <w:rPr>
      <w:sz w:val="30"/>
    </w:rPr>
  </w:style>
  <w:style w:type="paragraph" w:styleId="27">
    <w:name w:val="annotation subject"/>
    <w:basedOn w:val="13"/>
    <w:next w:val="13"/>
    <w:link w:val="39"/>
    <w:qFormat/>
    <w:uiPriority w:val="0"/>
    <w:rPr>
      <w:b/>
      <w:bCs/>
    </w:rPr>
  </w:style>
  <w:style w:type="table" w:styleId="29">
    <w:name w:val="Table Grid"/>
    <w:basedOn w:val="2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1">
    <w:name w:val="Strong"/>
    <w:qFormat/>
    <w:uiPriority w:val="22"/>
    <w:rPr>
      <w:b/>
      <w:bCs/>
    </w:rPr>
  </w:style>
  <w:style w:type="character" w:styleId="32">
    <w:name w:val="page number"/>
    <w:qFormat/>
    <w:uiPriority w:val="0"/>
  </w:style>
  <w:style w:type="character" w:styleId="33">
    <w:name w:val="Emphasis"/>
    <w:qFormat/>
    <w:uiPriority w:val="20"/>
    <w:rPr>
      <w:i/>
      <w:iCs/>
    </w:rPr>
  </w:style>
  <w:style w:type="character" w:styleId="34">
    <w:name w:val="Hyperlink"/>
    <w:qFormat/>
    <w:uiPriority w:val="0"/>
    <w:rPr>
      <w:color w:val="0000FF"/>
      <w:u w:val="single"/>
    </w:rPr>
  </w:style>
  <w:style w:type="character" w:styleId="35">
    <w:name w:val="annotation reference"/>
    <w:qFormat/>
    <w:uiPriority w:val="0"/>
    <w:rPr>
      <w:sz w:val="21"/>
      <w:szCs w:val="21"/>
    </w:rPr>
  </w:style>
  <w:style w:type="character" w:customStyle="1" w:styleId="36">
    <w:name w:val="批注文字 字符"/>
    <w:link w:val="13"/>
    <w:qFormat/>
    <w:uiPriority w:val="0"/>
    <w:rPr>
      <w:kern w:val="2"/>
      <w:sz w:val="21"/>
      <w:szCs w:val="24"/>
    </w:rPr>
  </w:style>
  <w:style w:type="character" w:customStyle="1" w:styleId="37">
    <w:name w:val="纯文本 字符"/>
    <w:link w:val="17"/>
    <w:qFormat/>
    <w:uiPriority w:val="0"/>
    <w:rPr>
      <w:rFonts w:ascii="宋体" w:hAnsi="Courier New"/>
      <w:kern w:val="2"/>
      <w:sz w:val="21"/>
    </w:rPr>
  </w:style>
  <w:style w:type="character" w:customStyle="1" w:styleId="38">
    <w:name w:val="日期 字符"/>
    <w:link w:val="18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39">
    <w:name w:val="批注主题 字符"/>
    <w:link w:val="27"/>
    <w:qFormat/>
    <w:uiPriority w:val="0"/>
    <w:rPr>
      <w:b/>
      <w:bCs/>
      <w:kern w:val="2"/>
      <w:sz w:val="21"/>
      <w:szCs w:val="24"/>
    </w:rPr>
  </w:style>
  <w:style w:type="character" w:customStyle="1" w:styleId="40">
    <w:name w:val="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41">
    <w:name w:val="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42">
    <w:name w:val="彩色列表 - 强调文字颜色 1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43">
    <w:name w:val="正文文本 21"/>
    <w:basedOn w:val="1"/>
    <w:qFormat/>
    <w:uiPriority w:val="0"/>
    <w:pPr>
      <w:adjustRightInd w:val="0"/>
      <w:spacing w:before="120" w:line="360" w:lineRule="auto"/>
      <w:ind w:firstLine="480"/>
      <w:textAlignment w:val="baseline"/>
    </w:pPr>
    <w:rPr>
      <w:sz w:val="24"/>
      <w:szCs w:val="20"/>
    </w:rPr>
  </w:style>
  <w:style w:type="paragraph" w:customStyle="1" w:styleId="44">
    <w:name w:val="文档正文"/>
    <w:basedOn w:val="1"/>
    <w:qFormat/>
    <w:uiPriority w:val="0"/>
    <w:pPr>
      <w:adjustRightInd w:val="0"/>
      <w:spacing w:line="480" w:lineRule="atLeast"/>
      <w:ind w:firstLine="567"/>
      <w:textAlignment w:val="baseline"/>
    </w:pPr>
    <w:rPr>
      <w:rFonts w:ascii="长城仿宋"/>
      <w:kern w:val="0"/>
      <w:sz w:val="24"/>
      <w:szCs w:val="20"/>
    </w:rPr>
  </w:style>
  <w:style w:type="paragraph" w:customStyle="1" w:styleId="45">
    <w:name w:val="正文文本缩进 21"/>
    <w:basedOn w:val="1"/>
    <w:qFormat/>
    <w:uiPriority w:val="0"/>
    <w:pPr>
      <w:adjustRightInd w:val="0"/>
      <w:spacing w:before="120"/>
      <w:ind w:firstLine="420"/>
      <w:textAlignment w:val="baseline"/>
    </w:pPr>
    <w:rPr>
      <w:sz w:val="24"/>
      <w:szCs w:val="20"/>
    </w:rPr>
  </w:style>
  <w:style w:type="character" w:customStyle="1" w:styleId="46">
    <w:name w:val="ng-binding"/>
    <w:qFormat/>
    <w:uiPriority w:val="0"/>
  </w:style>
  <w:style w:type="character" w:customStyle="1" w:styleId="47">
    <w:name w:val="tgt1"/>
    <w:qFormat/>
    <w:uiPriority w:val="0"/>
  </w:style>
  <w:style w:type="paragraph" w:styleId="48">
    <w:name w:val="List Paragraph"/>
    <w:basedOn w:val="1"/>
    <w:qFormat/>
    <w:uiPriority w:val="34"/>
    <w:pPr>
      <w:ind w:firstLine="420" w:firstLineChars="200"/>
    </w:pPr>
  </w:style>
  <w:style w:type="paragraph" w:customStyle="1" w:styleId="49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Times New Roman"/>
      <w:color w:val="000000"/>
      <w:sz w:val="24"/>
      <w:lang w:val="en-US" w:eastAsia="zh-CN" w:bidi="ar-SA"/>
    </w:rPr>
  </w:style>
  <w:style w:type="character" w:customStyle="1" w:styleId="50">
    <w:name w:val="font61"/>
    <w:basedOn w:val="30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51">
    <w:name w:val="16"/>
    <w:basedOn w:val="30"/>
    <w:qFormat/>
    <w:uiPriority w:val="0"/>
    <w:rPr>
      <w:rFonts w:hint="eastAsia" w:ascii="宋体" w:hAnsi="宋体" w:eastAsia="宋体"/>
      <w:color w:val="000000"/>
      <w:sz w:val="22"/>
      <w:szCs w:val="22"/>
    </w:rPr>
  </w:style>
  <w:style w:type="character" w:customStyle="1" w:styleId="52">
    <w:name w:val="15"/>
    <w:basedOn w:val="30"/>
    <w:qFormat/>
    <w:uiPriority w:val="0"/>
    <w:rPr>
      <w:rFonts w:hint="default" w:ascii="Arial" w:hAnsi="Arial" w:cs="Arial"/>
      <w:color w:val="000000"/>
      <w:sz w:val="22"/>
      <w:szCs w:val="22"/>
    </w:rPr>
  </w:style>
  <w:style w:type="paragraph" w:customStyle="1" w:styleId="53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10</Pages>
  <Words>3551</Words>
  <Characters>4178</Characters>
  <Lines>101</Lines>
  <Paragraphs>28</Paragraphs>
  <TotalTime>22</TotalTime>
  <ScaleCrop>false</ScaleCrop>
  <LinksUpToDate>false</LinksUpToDate>
  <CharactersWithSpaces>4444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2024-05-16T09:52:00Z</dcterms:created>
  <dc:creator>caowuning</dc:creator>
  <cp:lastModifiedBy>清</cp:lastModifiedBy>
  <cp:lastPrinted>2009-04-21T17:03:00Z</cp:lastPrinted>
  <dcterms:modified xsi:type="dcterms:W3CDTF">2024-06-27T02:54:23Z</dcterms:modified>
  <dc:title>北 京 市 政 府 采 购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19EDD4CC3CA6444684AFD2256F6EAD95_13</vt:lpwstr>
  </property>
</Properties>
</file>