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color w:val="auto"/>
          <w:sz w:val="24"/>
          <w:highlight w:val="none"/>
        </w:rPr>
      </w:pPr>
      <w:bookmarkStart w:id="1" w:name="_GoBack"/>
      <w:bookmarkEnd w:id="1"/>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spacing w:before="936" w:beforeLines="300"/>
        <w:jc w:val="center"/>
        <w:rPr>
          <w:rFonts w:hint="eastAsia"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p>
      <w:p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一、货物需求一览表</w:t>
      </w:r>
    </w:p>
    <w:p>
      <w:pPr>
        <w:adjustRightInd w:val="0"/>
        <w:snapToGrid w:val="0"/>
        <w:jc w:val="center"/>
        <w:rPr>
          <w:rFonts w:hint="eastAsia" w:ascii="宋体" w:hAnsi="宋体"/>
          <w:b/>
          <w:color w:val="auto"/>
          <w:sz w:val="30"/>
          <w:szCs w:val="30"/>
          <w:highlight w:val="none"/>
        </w:rPr>
      </w:pPr>
    </w:p>
    <w:tbl>
      <w:tblPr>
        <w:tblStyle w:val="3"/>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包号</w:t>
            </w:r>
          </w:p>
        </w:tc>
        <w:tc>
          <w:tcPr>
            <w:tcW w:w="1878"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指定到货港</w:t>
            </w:r>
          </w:p>
        </w:tc>
        <w:tc>
          <w:tcPr>
            <w:tcW w:w="2459" w:type="dxa"/>
            <w:noWrap w:val="0"/>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noWrap w:val="0"/>
            <w:vAlign w:val="center"/>
          </w:tcPr>
          <w:p>
            <w:pPr>
              <w:jc w:val="center"/>
              <w:rPr>
                <w:rFonts w:ascii="宋体"/>
                <w:color w:val="auto"/>
                <w:sz w:val="24"/>
                <w:highlight w:val="none"/>
              </w:rPr>
            </w:pPr>
            <w:r>
              <w:rPr>
                <w:rFonts w:hint="eastAsia" w:ascii="宋体"/>
                <w:color w:val="auto"/>
                <w:sz w:val="24"/>
                <w:highlight w:val="none"/>
              </w:rPr>
              <w:t>1</w:t>
            </w:r>
          </w:p>
        </w:tc>
        <w:tc>
          <w:tcPr>
            <w:tcW w:w="1878" w:type="dxa"/>
            <w:noWrap w:val="0"/>
            <w:vAlign w:val="center"/>
          </w:tcPr>
          <w:p>
            <w:pPr>
              <w:jc w:val="center"/>
              <w:rPr>
                <w:rFonts w:hint="eastAsia" w:ascii="Bookman Old Style" w:hAnsi="Bookman Old Style" w:eastAsia="宋体"/>
                <w:color w:val="auto"/>
                <w:sz w:val="24"/>
                <w:highlight w:val="none"/>
                <w:lang w:eastAsia="zh-CN"/>
              </w:rPr>
            </w:pPr>
            <w:r>
              <w:rPr>
                <w:rFonts w:hint="eastAsia" w:ascii="Bookman Old Style" w:hAnsi="Bookman Old Style"/>
                <w:color w:val="auto"/>
                <w:sz w:val="24"/>
                <w:highlight w:val="none"/>
                <w:lang w:eastAsia="zh-CN"/>
              </w:rPr>
              <w:t>稳定同位素比质谱仪</w:t>
            </w:r>
          </w:p>
        </w:tc>
        <w:tc>
          <w:tcPr>
            <w:tcW w:w="1122" w:type="dxa"/>
            <w:noWrap w:val="0"/>
            <w:vAlign w:val="center"/>
          </w:tcPr>
          <w:p>
            <w:pPr>
              <w:jc w:val="center"/>
              <w:rPr>
                <w:rFonts w:hint="eastAsia" w:ascii="宋体" w:hAnsi="Bookman Old Style"/>
                <w:color w:val="auto"/>
                <w:sz w:val="24"/>
                <w:highlight w:val="none"/>
              </w:rPr>
            </w:pPr>
            <w:r>
              <w:rPr>
                <w:rFonts w:ascii="宋体" w:hAnsi="宋体"/>
                <w:color w:val="auto"/>
                <w:sz w:val="24"/>
                <w:highlight w:val="none"/>
              </w:rPr>
              <w:t>1</w:t>
            </w:r>
            <w:r>
              <w:rPr>
                <w:rFonts w:hint="eastAsia" w:ascii="宋体" w:hAnsi="宋体"/>
                <w:color w:val="auto"/>
                <w:sz w:val="24"/>
                <w:highlight w:val="none"/>
              </w:rPr>
              <w:t>套</w:t>
            </w:r>
          </w:p>
        </w:tc>
        <w:tc>
          <w:tcPr>
            <w:tcW w:w="5037" w:type="dxa"/>
            <w:gridSpan w:val="3"/>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tabs>
          <w:tab w:val="left" w:pos="720"/>
        </w:tabs>
        <w:adjustRightInd w:val="0"/>
        <w:snapToGrid w:val="0"/>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hint="eastAsia" w:eastAsia="黑体"/>
          <w:b/>
          <w:bCs/>
          <w:color w:val="auto"/>
          <w:kern w:val="44"/>
          <w:sz w:val="24"/>
          <w:highlight w:val="none"/>
        </w:rPr>
      </w:pP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color w:val="auto"/>
          <w:sz w:val="24"/>
          <w:szCs w:val="24"/>
          <w:highlight w:val="none"/>
        </w:rPr>
      </w:pPr>
    </w:p>
    <w:p>
      <w:pPr>
        <w:pStyle w:val="2"/>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2"/>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pPr>
        <w:spacing w:after="156" w:afterLines="50"/>
        <w:ind w:left="601" w:hanging="601"/>
        <w:rPr>
          <w:rFonts w:hint="eastAsia" w:ascii="宋体" w:hAnsi="宋体"/>
          <w:b/>
          <w:color w:val="auto"/>
          <w:sz w:val="28"/>
          <w:highlight w:val="none"/>
        </w:rPr>
      </w:pPr>
      <w:r>
        <w:rPr>
          <w:rFonts w:hint="eastAsia" w:ascii="宋体" w:hAnsi="宋体"/>
          <w:b/>
          <w:color w:val="auto"/>
          <w:sz w:val="28"/>
          <w:highlight w:val="none"/>
        </w:rPr>
        <w:t>三、具体技术规格</w:t>
      </w:r>
    </w:p>
    <w:p>
      <w:pPr>
        <w:jc w:val="center"/>
        <w:rPr>
          <w:rFonts w:hint="eastAsia" w:eastAsia="宋体"/>
          <w:b/>
          <w:sz w:val="24"/>
          <w:highlight w:val="none"/>
          <w:lang w:eastAsia="zh-CN"/>
        </w:rPr>
      </w:pPr>
      <w:r>
        <w:rPr>
          <w:rFonts w:hint="eastAsia"/>
          <w:b/>
          <w:sz w:val="24"/>
          <w:highlight w:val="none"/>
        </w:rPr>
        <w:t xml:space="preserve">第1包 </w:t>
      </w:r>
      <w:r>
        <w:rPr>
          <w:rFonts w:hint="eastAsia"/>
          <w:b/>
          <w:sz w:val="24"/>
          <w:highlight w:val="none"/>
          <w:lang w:eastAsia="zh-CN"/>
        </w:rPr>
        <w:t>稳定同位素比质谱仪</w:t>
      </w:r>
    </w:p>
    <w:p>
      <w:pPr>
        <w:rPr>
          <w:b/>
          <w:sz w:val="24"/>
        </w:rPr>
      </w:pPr>
    </w:p>
    <w:p>
      <w:pPr>
        <w:numPr>
          <w:ilvl w:val="0"/>
          <w:numId w:val="1"/>
        </w:numPr>
        <w:rPr>
          <w:rFonts w:ascii="宋体" w:hAnsi="宋体" w:cs="宋体"/>
          <w:b/>
          <w:sz w:val="24"/>
        </w:rPr>
      </w:pPr>
      <w:r>
        <w:rPr>
          <w:rFonts w:hint="eastAsia" w:ascii="宋体" w:hAnsi="宋体" w:cs="宋体"/>
          <w:b/>
          <w:sz w:val="24"/>
        </w:rPr>
        <w:t>技术要求：</w:t>
      </w:r>
    </w:p>
    <w:p>
      <w:pPr>
        <w:numPr>
          <w:ilvl w:val="0"/>
          <w:numId w:val="2"/>
        </w:numPr>
        <w:spacing w:line="360" w:lineRule="auto"/>
        <w:rPr>
          <w:b/>
          <w:sz w:val="24"/>
        </w:rPr>
      </w:pPr>
      <w:r>
        <w:rPr>
          <w:b/>
          <w:sz w:val="24"/>
        </w:rPr>
        <w:t>工作条件：</w:t>
      </w:r>
    </w:p>
    <w:p>
      <w:pPr>
        <w:spacing w:line="360" w:lineRule="auto"/>
        <w:ind w:left="554" w:hanging="554" w:hangingChars="231"/>
        <w:rPr>
          <w:sz w:val="24"/>
        </w:rPr>
      </w:pPr>
      <w:r>
        <w:rPr>
          <w:sz w:val="24"/>
        </w:rPr>
        <w:t>1.1电源：220V（±10%），16A，50Hz</w:t>
      </w:r>
    </w:p>
    <w:p>
      <w:pPr>
        <w:spacing w:line="360" w:lineRule="auto"/>
        <w:ind w:left="554" w:hanging="554" w:hangingChars="231"/>
        <w:rPr>
          <w:sz w:val="24"/>
        </w:rPr>
      </w:pPr>
      <w:r>
        <w:rPr>
          <w:sz w:val="24"/>
        </w:rPr>
        <w:t>1.2 环境温度：18-24℃</w:t>
      </w:r>
    </w:p>
    <w:p>
      <w:pPr>
        <w:spacing w:line="360" w:lineRule="auto"/>
        <w:ind w:left="554" w:hanging="554" w:hangingChars="231"/>
        <w:rPr>
          <w:sz w:val="24"/>
        </w:rPr>
      </w:pPr>
      <w:r>
        <w:rPr>
          <w:sz w:val="24"/>
        </w:rPr>
        <w:t>1.3 相对湿度：40-60%</w:t>
      </w:r>
    </w:p>
    <w:p>
      <w:pPr>
        <w:spacing w:line="360" w:lineRule="auto"/>
        <w:ind w:left="554" w:hanging="554" w:hangingChars="231"/>
        <w:rPr>
          <w:sz w:val="24"/>
        </w:rPr>
      </w:pPr>
    </w:p>
    <w:p>
      <w:pPr>
        <w:numPr>
          <w:ilvl w:val="0"/>
          <w:numId w:val="2"/>
        </w:numPr>
        <w:spacing w:line="360" w:lineRule="auto"/>
        <w:rPr>
          <w:b/>
          <w:sz w:val="24"/>
        </w:rPr>
      </w:pPr>
      <w:r>
        <w:rPr>
          <w:b/>
          <w:sz w:val="24"/>
        </w:rPr>
        <w:t>设备用途：</w:t>
      </w:r>
    </w:p>
    <w:p>
      <w:pPr>
        <w:spacing w:line="360" w:lineRule="auto"/>
        <w:ind w:firstLine="360" w:firstLineChars="150"/>
        <w:rPr>
          <w:sz w:val="24"/>
        </w:rPr>
      </w:pPr>
      <w:r>
        <w:rPr>
          <w:sz w:val="24"/>
        </w:rPr>
        <w:t>稳定同位素比质谱仪可用于C、N、H、O、S元素的高精度同位素比值分析，污</w:t>
      </w:r>
    </w:p>
    <w:p>
      <w:pPr>
        <w:spacing w:line="360" w:lineRule="auto"/>
        <w:ind w:left="554" w:hanging="554" w:hangingChars="231"/>
        <w:rPr>
          <w:sz w:val="24"/>
        </w:rPr>
      </w:pPr>
      <w:r>
        <w:rPr>
          <w:sz w:val="24"/>
        </w:rPr>
        <w:t>染物溯源分析，进行大气、生态和水文等多个领域的相关生态环境研究。</w:t>
      </w:r>
    </w:p>
    <w:p>
      <w:pPr>
        <w:spacing w:line="360" w:lineRule="auto"/>
        <w:ind w:left="554" w:hanging="554" w:hangingChars="231"/>
        <w:rPr>
          <w:sz w:val="24"/>
        </w:rPr>
      </w:pPr>
    </w:p>
    <w:p>
      <w:pPr>
        <w:numPr>
          <w:ilvl w:val="0"/>
          <w:numId w:val="2"/>
        </w:numPr>
        <w:spacing w:line="360" w:lineRule="auto"/>
        <w:rPr>
          <w:b/>
          <w:sz w:val="24"/>
        </w:rPr>
      </w:pPr>
      <w:r>
        <w:rPr>
          <w:b/>
          <w:sz w:val="24"/>
        </w:rPr>
        <w:t>技术规格：</w:t>
      </w:r>
    </w:p>
    <w:p>
      <w:pPr>
        <w:spacing w:line="360" w:lineRule="auto"/>
        <w:ind w:firstLine="360" w:firstLineChars="150"/>
        <w:rPr>
          <w:b/>
          <w:sz w:val="24"/>
        </w:rPr>
      </w:pPr>
      <w:r>
        <w:rPr>
          <w:rFonts w:hint="eastAsia"/>
          <w:sz w:val="24"/>
        </w:rPr>
        <w:t>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w:t>
      </w:r>
      <w:r>
        <w:rPr>
          <w:sz w:val="24"/>
        </w:rPr>
        <w:t>/并拒绝其投标</w:t>
      </w:r>
      <w:r>
        <w:rPr>
          <w:rFonts w:hint="eastAsia"/>
          <w:sz w:val="24"/>
        </w:rPr>
        <w:t>。</w:t>
      </w:r>
    </w:p>
    <w:p>
      <w:pPr>
        <w:spacing w:line="360" w:lineRule="auto"/>
        <w:rPr>
          <w:sz w:val="24"/>
        </w:rPr>
      </w:pPr>
      <w:r>
        <w:rPr>
          <w:sz w:val="24"/>
        </w:rPr>
        <w:t>3.1 质谱主机</w:t>
      </w:r>
    </w:p>
    <w:p>
      <w:pPr>
        <w:spacing w:line="360" w:lineRule="auto"/>
        <w:rPr>
          <w:sz w:val="24"/>
        </w:rPr>
      </w:pPr>
      <w:r>
        <w:rPr>
          <w:sz w:val="24"/>
        </w:rPr>
        <w:t>3.1.1 离子源：电子轰击</w:t>
      </w:r>
      <w:r>
        <w:rPr>
          <w:rFonts w:hint="eastAsia"/>
          <w:sz w:val="24"/>
        </w:rPr>
        <w:t>离子</w:t>
      </w:r>
      <w:r>
        <w:rPr>
          <w:sz w:val="24"/>
        </w:rPr>
        <w:t>源。</w:t>
      </w:r>
    </w:p>
    <w:p>
      <w:pPr>
        <w:spacing w:line="360" w:lineRule="auto"/>
        <w:rPr>
          <w:sz w:val="24"/>
        </w:rPr>
      </w:pPr>
      <w:r>
        <w:rPr>
          <w:sz w:val="24"/>
        </w:rPr>
        <w:t>#3.1.2 离子源有内置烘烤装置</w:t>
      </w:r>
      <w:r>
        <w:rPr>
          <w:rFonts w:hint="eastAsia"/>
          <w:sz w:val="24"/>
        </w:rPr>
        <w:t>，</w:t>
      </w:r>
      <w:r>
        <w:rPr>
          <w:sz w:val="24"/>
        </w:rPr>
        <w:t>m/z18 H</w:t>
      </w:r>
      <w:r>
        <w:rPr>
          <w:sz w:val="24"/>
          <w:vertAlign w:val="subscript"/>
        </w:rPr>
        <w:t>2</w:t>
      </w:r>
      <w:r>
        <w:rPr>
          <w:sz w:val="24"/>
        </w:rPr>
        <w:t>O背景电流值可在6小时内</w:t>
      </w:r>
      <w:r>
        <w:rPr>
          <w:rFonts w:hint="eastAsia"/>
          <w:sz w:val="24"/>
        </w:rPr>
        <w:t>≤</w:t>
      </w:r>
      <w:r>
        <w:rPr>
          <w:sz w:val="24"/>
        </w:rPr>
        <w:t>4×10</w:t>
      </w:r>
      <w:r>
        <w:rPr>
          <w:sz w:val="24"/>
          <w:vertAlign w:val="superscript"/>
        </w:rPr>
        <w:t>-11</w:t>
      </w:r>
      <w:r>
        <w:rPr>
          <w:rFonts w:hint="eastAsia"/>
          <w:sz w:val="24"/>
        </w:rPr>
        <w:t>安培（使用3</w:t>
      </w:r>
      <w:r>
        <w:rPr>
          <w:sz w:val="24"/>
        </w:rPr>
        <w:t>×</w:t>
      </w:r>
      <w:r>
        <w:rPr>
          <w:rFonts w:hint="eastAsia"/>
          <w:sz w:val="24"/>
        </w:rPr>
        <w:t>10</w:t>
      </w:r>
      <w:r>
        <w:rPr>
          <w:sz w:val="24"/>
          <w:vertAlign w:val="superscript"/>
        </w:rPr>
        <w:t>10</w:t>
      </w:r>
      <w:r>
        <w:rPr>
          <w:rFonts w:hint="eastAsia"/>
          <w:sz w:val="24"/>
        </w:rPr>
        <w:t>Ω高阻放大器条件下）</w:t>
      </w:r>
    </w:p>
    <w:p>
      <w:pPr>
        <w:spacing w:line="360" w:lineRule="auto"/>
        <w:rPr>
          <w:sz w:val="24"/>
        </w:rPr>
      </w:pPr>
      <w:r>
        <w:rPr>
          <w:sz w:val="24"/>
        </w:rPr>
        <w:t>*3.1.3 质量分析器：</w:t>
      </w:r>
      <w:r>
        <w:rPr>
          <w:rFonts w:hint="eastAsia"/>
          <w:sz w:val="24"/>
        </w:rPr>
        <w:t>扇形</w:t>
      </w:r>
      <w:r>
        <w:rPr>
          <w:sz w:val="24"/>
        </w:rPr>
        <w:t>磁场质量分析器</w:t>
      </w:r>
      <w:r>
        <w:rPr>
          <w:rFonts w:hint="eastAsia"/>
          <w:sz w:val="24"/>
        </w:rPr>
        <w:t>。</w:t>
      </w:r>
    </w:p>
    <w:p>
      <w:pPr>
        <w:spacing w:line="360" w:lineRule="auto"/>
        <w:rPr>
          <w:sz w:val="24"/>
        </w:rPr>
      </w:pPr>
      <w:r>
        <w:rPr>
          <w:sz w:val="24"/>
        </w:rPr>
        <w:t xml:space="preserve">3.1.4 </w:t>
      </w:r>
      <w:r>
        <w:rPr>
          <w:rFonts w:hint="eastAsia"/>
          <w:sz w:val="24"/>
        </w:rPr>
        <w:t>真空系统：带有涡轮分子泵和前级真空泵的自动真空系统，真空系统开机工作24小时后，质谱真空度可达到1×10</w:t>
      </w:r>
      <w:r>
        <w:rPr>
          <w:rFonts w:hint="eastAsia"/>
          <w:sz w:val="24"/>
          <w:vertAlign w:val="superscript"/>
        </w:rPr>
        <w:t>-7</w:t>
      </w:r>
      <w:r>
        <w:rPr>
          <w:rFonts w:hint="eastAsia"/>
          <w:sz w:val="24"/>
        </w:rPr>
        <w:t>mbar以下</w:t>
      </w:r>
      <w:r>
        <w:rPr>
          <w:sz w:val="24"/>
        </w:rPr>
        <w:t>。</w:t>
      </w:r>
    </w:p>
    <w:p>
      <w:pPr>
        <w:spacing w:line="360" w:lineRule="auto"/>
        <w:rPr>
          <w:sz w:val="24"/>
        </w:rPr>
      </w:pPr>
      <w:r>
        <w:rPr>
          <w:sz w:val="24"/>
        </w:rPr>
        <w:t>#3.1.5 接收器系统：配置7个</w:t>
      </w:r>
      <w:r>
        <w:rPr>
          <w:rFonts w:hint="eastAsia"/>
          <w:sz w:val="24"/>
        </w:rPr>
        <w:t>及</w:t>
      </w:r>
      <w:r>
        <w:rPr>
          <w:sz w:val="24"/>
        </w:rPr>
        <w:t>以上法拉第杯接收器。独立的H</w:t>
      </w:r>
      <w:r>
        <w:rPr>
          <w:sz w:val="24"/>
          <w:vertAlign w:val="subscript"/>
        </w:rPr>
        <w:t>2</w:t>
      </w:r>
      <w:r>
        <w:rPr>
          <w:sz w:val="24"/>
        </w:rPr>
        <w:t>接收器和HD接收器，用于测定氢同位素比</w:t>
      </w:r>
      <w:r>
        <w:rPr>
          <w:rFonts w:hint="eastAsia"/>
          <w:sz w:val="24"/>
        </w:rPr>
        <w:t>值。</w:t>
      </w:r>
    </w:p>
    <w:p>
      <w:pPr>
        <w:spacing w:line="360" w:lineRule="auto"/>
        <w:rPr>
          <w:sz w:val="24"/>
        </w:rPr>
      </w:pPr>
      <w:r>
        <w:rPr>
          <w:sz w:val="24"/>
        </w:rPr>
        <w:t>#3.1.6 稳定同位素比质谱主机与外围连续流设备，如元素分析仪</w:t>
      </w:r>
      <w:r>
        <w:rPr>
          <w:rFonts w:hint="eastAsia"/>
          <w:sz w:val="24"/>
        </w:rPr>
        <w:t>、</w:t>
      </w:r>
      <w:r>
        <w:rPr>
          <w:sz w:val="24"/>
        </w:rPr>
        <w:t>气相色谱仪</w:t>
      </w:r>
      <w:r>
        <w:rPr>
          <w:rFonts w:hint="eastAsia"/>
          <w:sz w:val="24"/>
        </w:rPr>
        <w:t>、</w:t>
      </w:r>
      <w:r>
        <w:rPr>
          <w:sz w:val="24"/>
        </w:rPr>
        <w:t>高温转化装置</w:t>
      </w:r>
      <w:r>
        <w:rPr>
          <w:rFonts w:hint="eastAsia"/>
          <w:sz w:val="24"/>
        </w:rPr>
        <w:t>、</w:t>
      </w:r>
      <w:r>
        <w:rPr>
          <w:sz w:val="24"/>
        </w:rPr>
        <w:t>多用途气体样品制备和导入装置等为同一品牌，软件自动识别和自动控制外围设备。</w:t>
      </w:r>
    </w:p>
    <w:p>
      <w:pPr>
        <w:spacing w:line="360" w:lineRule="auto"/>
        <w:rPr>
          <w:sz w:val="24"/>
        </w:rPr>
      </w:pPr>
      <w:r>
        <w:rPr>
          <w:sz w:val="24"/>
        </w:rPr>
        <w:t>3.2 连续流样品制备装置接口</w:t>
      </w:r>
    </w:p>
    <w:p>
      <w:pPr>
        <w:spacing w:line="360" w:lineRule="auto"/>
        <w:rPr>
          <w:sz w:val="24"/>
        </w:rPr>
      </w:pPr>
      <w:r>
        <w:rPr>
          <w:sz w:val="24"/>
        </w:rPr>
        <w:t>3.2.1可以同时连接5路</w:t>
      </w:r>
      <w:r>
        <w:rPr>
          <w:rFonts w:hint="eastAsia"/>
          <w:sz w:val="24"/>
        </w:rPr>
        <w:t>及</w:t>
      </w:r>
      <w:r>
        <w:rPr>
          <w:sz w:val="24"/>
        </w:rPr>
        <w:t>以上</w:t>
      </w:r>
      <w:r>
        <w:rPr>
          <w:rFonts w:hint="eastAsia"/>
          <w:sz w:val="24"/>
        </w:rPr>
        <w:t>的</w:t>
      </w:r>
      <w:r>
        <w:rPr>
          <w:sz w:val="24"/>
        </w:rPr>
        <w:t>参考气</w:t>
      </w:r>
      <w:r>
        <w:rPr>
          <w:rFonts w:hint="eastAsia"/>
          <w:sz w:val="24"/>
        </w:rPr>
        <w:t>。</w:t>
      </w:r>
    </w:p>
    <w:p>
      <w:pPr>
        <w:spacing w:line="360" w:lineRule="auto"/>
        <w:rPr>
          <w:sz w:val="24"/>
        </w:rPr>
      </w:pPr>
      <w:r>
        <w:rPr>
          <w:sz w:val="24"/>
        </w:rPr>
        <w:t xml:space="preserve">3.2.2 </w:t>
      </w:r>
      <w:r>
        <w:rPr>
          <w:rFonts w:hint="eastAsia"/>
          <w:sz w:val="24"/>
        </w:rPr>
        <w:t>具备</w:t>
      </w:r>
      <w:r>
        <w:rPr>
          <w:sz w:val="24"/>
        </w:rPr>
        <w:t>自动稀释</w:t>
      </w:r>
      <w:r>
        <w:rPr>
          <w:rFonts w:hint="eastAsia"/>
          <w:sz w:val="24"/>
        </w:rPr>
        <w:t>功能。</w:t>
      </w:r>
    </w:p>
    <w:p>
      <w:pPr>
        <w:spacing w:line="360" w:lineRule="auto"/>
        <w:rPr>
          <w:sz w:val="24"/>
        </w:rPr>
      </w:pPr>
      <w:r>
        <w:rPr>
          <w:sz w:val="24"/>
        </w:rPr>
        <w:t>3.2.3 具有自动测定H</w:t>
      </w:r>
      <w:r>
        <w:rPr>
          <w:sz w:val="24"/>
          <w:vertAlign w:val="subscript"/>
        </w:rPr>
        <w:t>3</w:t>
      </w:r>
      <w:r>
        <w:rPr>
          <w:sz w:val="24"/>
          <w:vertAlign w:val="superscript"/>
        </w:rPr>
        <w:t>+</w:t>
      </w:r>
      <w:r>
        <w:rPr>
          <w:sz w:val="24"/>
        </w:rPr>
        <w:t>因子与自动校正功能</w:t>
      </w:r>
      <w:r>
        <w:rPr>
          <w:rFonts w:hint="eastAsia"/>
          <w:sz w:val="24"/>
        </w:rPr>
        <w:t>。</w:t>
      </w:r>
    </w:p>
    <w:p>
      <w:pPr>
        <w:spacing w:line="360" w:lineRule="auto"/>
        <w:rPr>
          <w:sz w:val="24"/>
        </w:rPr>
      </w:pPr>
      <w:r>
        <w:rPr>
          <w:sz w:val="24"/>
        </w:rPr>
        <w:t>3.3 元素分析仪单元</w:t>
      </w:r>
    </w:p>
    <w:p>
      <w:pPr>
        <w:spacing w:line="360" w:lineRule="auto"/>
        <w:rPr>
          <w:sz w:val="24"/>
        </w:rPr>
      </w:pPr>
      <w:r>
        <w:rPr>
          <w:sz w:val="24"/>
        </w:rPr>
        <w:t>#3.3.1采用两套自动控温并联的反应模块，同时安装双反应器在一台元素分析仪上，一个快速燃烧反应器用于测定固体样本中的C</w:t>
      </w:r>
      <w:r>
        <w:rPr>
          <w:rFonts w:hint="eastAsia"/>
          <w:sz w:val="24"/>
        </w:rPr>
        <w:t>、</w:t>
      </w:r>
      <w:r>
        <w:rPr>
          <w:sz w:val="24"/>
        </w:rPr>
        <w:t>N</w:t>
      </w:r>
      <w:r>
        <w:rPr>
          <w:rFonts w:hint="eastAsia"/>
          <w:sz w:val="24"/>
        </w:rPr>
        <w:t>，温度可达1100℃及以上；</w:t>
      </w:r>
      <w:r>
        <w:rPr>
          <w:sz w:val="24"/>
        </w:rPr>
        <w:t>另一个高温转化反应器用于测定固体或液体样本中的H</w:t>
      </w:r>
      <w:r>
        <w:rPr>
          <w:rFonts w:hint="eastAsia"/>
          <w:sz w:val="24"/>
        </w:rPr>
        <w:t>、</w:t>
      </w:r>
      <w:r>
        <w:rPr>
          <w:sz w:val="24"/>
        </w:rPr>
        <w:t>O，温度</w:t>
      </w:r>
      <w:r>
        <w:rPr>
          <w:rFonts w:hint="eastAsia"/>
          <w:sz w:val="24"/>
        </w:rPr>
        <w:t>可达</w:t>
      </w:r>
      <w:r>
        <w:rPr>
          <w:sz w:val="24"/>
        </w:rPr>
        <w:t>1450℃</w:t>
      </w:r>
      <w:r>
        <w:rPr>
          <w:rFonts w:hint="eastAsia"/>
          <w:sz w:val="24"/>
        </w:rPr>
        <w:t>及以上。</w:t>
      </w:r>
    </w:p>
    <w:p>
      <w:pPr>
        <w:spacing w:line="360" w:lineRule="auto"/>
        <w:rPr>
          <w:sz w:val="24"/>
        </w:rPr>
      </w:pPr>
      <w:r>
        <w:rPr>
          <w:sz w:val="24"/>
        </w:rPr>
        <w:t>#3.3.2可同时配置和安装一个固体自动进样器和一个液体自动进样器。</w:t>
      </w:r>
      <w:r>
        <w:rPr>
          <w:rFonts w:hint="eastAsia"/>
          <w:sz w:val="24"/>
        </w:rPr>
        <w:t>液体自动进样器样品位数≥15</w:t>
      </w:r>
      <w:r>
        <w:rPr>
          <w:sz w:val="24"/>
        </w:rPr>
        <w:t>0</w:t>
      </w:r>
      <w:r>
        <w:rPr>
          <w:rFonts w:hint="eastAsia"/>
          <w:sz w:val="24"/>
        </w:rPr>
        <w:t>位（2mL样品瓶）；固体自动进样器样品位数≥</w:t>
      </w:r>
      <w:r>
        <w:rPr>
          <w:sz w:val="24"/>
        </w:rPr>
        <w:t>64</w:t>
      </w:r>
      <w:r>
        <w:rPr>
          <w:rFonts w:hint="eastAsia"/>
          <w:sz w:val="24"/>
        </w:rPr>
        <w:t>位。</w:t>
      </w:r>
    </w:p>
    <w:p>
      <w:pPr>
        <w:spacing w:line="360" w:lineRule="auto"/>
        <w:rPr>
          <w:sz w:val="24"/>
        </w:rPr>
      </w:pPr>
      <w:r>
        <w:rPr>
          <w:sz w:val="24"/>
        </w:rPr>
        <w:t>3.4 多用途气体样品制备和导入装置</w:t>
      </w:r>
    </w:p>
    <w:p>
      <w:pPr>
        <w:spacing w:line="360" w:lineRule="auto"/>
        <w:rPr>
          <w:sz w:val="24"/>
        </w:rPr>
      </w:pPr>
      <w:r>
        <w:rPr>
          <w:sz w:val="24"/>
        </w:rPr>
        <w:t>3.4.1 用于</w:t>
      </w:r>
      <w:r>
        <w:rPr>
          <w:rFonts w:hint="eastAsia"/>
          <w:sz w:val="24"/>
        </w:rPr>
        <w:t>将气体</w:t>
      </w:r>
      <w:r>
        <w:rPr>
          <w:sz w:val="24"/>
        </w:rPr>
        <w:t>样品引入</w:t>
      </w:r>
      <w:r>
        <w:rPr>
          <w:rFonts w:hint="eastAsia"/>
          <w:sz w:val="24"/>
        </w:rPr>
        <w:t>至</w:t>
      </w:r>
      <w:r>
        <w:rPr>
          <w:sz w:val="24"/>
        </w:rPr>
        <w:t>同位素比质谱仪中</w:t>
      </w:r>
      <w:r>
        <w:rPr>
          <w:rFonts w:hint="eastAsia"/>
          <w:sz w:val="24"/>
        </w:rPr>
        <w:t>，采用</w:t>
      </w:r>
      <w:r>
        <w:rPr>
          <w:sz w:val="24"/>
        </w:rPr>
        <w:t>双针机械臂设计</w:t>
      </w:r>
      <w:r>
        <w:rPr>
          <w:rFonts w:hint="eastAsia"/>
          <w:sz w:val="24"/>
        </w:rPr>
        <w:t>。</w:t>
      </w:r>
    </w:p>
    <w:p>
      <w:pPr>
        <w:spacing w:line="360" w:lineRule="auto"/>
        <w:rPr>
          <w:sz w:val="24"/>
        </w:rPr>
      </w:pPr>
      <w:r>
        <w:rPr>
          <w:sz w:val="24"/>
        </w:rPr>
        <w:t>3.4.2自动进样器：样品位数≥96位、可温控</w:t>
      </w:r>
      <w:r>
        <w:rPr>
          <w:rFonts w:hint="eastAsia"/>
          <w:sz w:val="24"/>
        </w:rPr>
        <w:t>，</w:t>
      </w:r>
      <w:r>
        <w:rPr>
          <w:sz w:val="24"/>
        </w:rPr>
        <w:t>可自定义不同容积的样品瓶及样品托盘</w:t>
      </w:r>
      <w:r>
        <w:rPr>
          <w:rFonts w:hint="eastAsia"/>
          <w:sz w:val="24"/>
        </w:rPr>
        <w:t>。</w:t>
      </w:r>
    </w:p>
    <w:p>
      <w:pPr>
        <w:spacing w:line="360" w:lineRule="auto"/>
        <w:rPr>
          <w:sz w:val="24"/>
        </w:rPr>
      </w:pPr>
      <w:r>
        <w:rPr>
          <w:sz w:val="24"/>
        </w:rPr>
        <w:t>3.5 气相色谱高温转化装置</w:t>
      </w:r>
    </w:p>
    <w:p>
      <w:pPr>
        <w:spacing w:line="360" w:lineRule="auto"/>
        <w:rPr>
          <w:sz w:val="24"/>
        </w:rPr>
      </w:pPr>
      <w:r>
        <w:rPr>
          <w:sz w:val="24"/>
        </w:rPr>
        <w:t>#3.5.1氧化燃烧管和高温裂解管并联安装在高温转化</w:t>
      </w:r>
      <w:r>
        <w:rPr>
          <w:rFonts w:hint="eastAsia"/>
          <w:sz w:val="24"/>
        </w:rPr>
        <w:t>装置</w:t>
      </w:r>
      <w:r>
        <w:rPr>
          <w:sz w:val="24"/>
        </w:rPr>
        <w:t>内，软件控制自动切换选择需要的反应模式</w:t>
      </w:r>
      <w:r>
        <w:rPr>
          <w:rFonts w:hint="eastAsia"/>
          <w:sz w:val="24"/>
        </w:rPr>
        <w:t>，</w:t>
      </w:r>
      <w:r>
        <w:rPr>
          <w:sz w:val="24"/>
        </w:rPr>
        <w:t>C</w:t>
      </w:r>
      <w:r>
        <w:rPr>
          <w:rFonts w:hint="eastAsia"/>
          <w:sz w:val="24"/>
        </w:rPr>
        <w:t>、</w:t>
      </w:r>
      <w:r>
        <w:rPr>
          <w:sz w:val="24"/>
        </w:rPr>
        <w:t>N模式和H</w:t>
      </w:r>
      <w:r>
        <w:rPr>
          <w:rFonts w:hint="eastAsia"/>
          <w:sz w:val="24"/>
        </w:rPr>
        <w:t>、</w:t>
      </w:r>
      <w:r>
        <w:rPr>
          <w:sz w:val="24"/>
        </w:rPr>
        <w:t>O模式自动切换。</w:t>
      </w:r>
    </w:p>
    <w:p>
      <w:pPr>
        <w:spacing w:line="360" w:lineRule="auto"/>
        <w:rPr>
          <w:sz w:val="24"/>
        </w:rPr>
      </w:pPr>
      <w:r>
        <w:rPr>
          <w:sz w:val="24"/>
        </w:rPr>
        <w:t xml:space="preserve">3.5.2液体自动进样器：样品位数 </w:t>
      </w:r>
      <w:r>
        <w:rPr>
          <w:rFonts w:hint="eastAsia"/>
          <w:sz w:val="24"/>
        </w:rPr>
        <w:t>≥</w:t>
      </w:r>
      <w:r>
        <w:rPr>
          <w:sz w:val="24"/>
        </w:rPr>
        <w:t>150位（2mL样品瓶）</w:t>
      </w:r>
      <w:r>
        <w:rPr>
          <w:rFonts w:hint="eastAsia"/>
          <w:sz w:val="24"/>
        </w:rPr>
        <w:t>。</w:t>
      </w:r>
    </w:p>
    <w:p>
      <w:pPr>
        <w:spacing w:line="360" w:lineRule="auto"/>
        <w:rPr>
          <w:sz w:val="24"/>
        </w:rPr>
      </w:pPr>
      <w:r>
        <w:rPr>
          <w:sz w:val="24"/>
        </w:rPr>
        <w:t>3.6 数据分析软件</w:t>
      </w:r>
      <w:r>
        <w:rPr>
          <w:rFonts w:hint="eastAsia"/>
          <w:sz w:val="24"/>
        </w:rPr>
        <w:t>：</w:t>
      </w:r>
      <w:r>
        <w:rPr>
          <w:sz w:val="24"/>
        </w:rPr>
        <w:t>软件</w:t>
      </w:r>
      <w:r>
        <w:rPr>
          <w:rFonts w:hint="eastAsia"/>
          <w:sz w:val="24"/>
        </w:rPr>
        <w:t>可</w:t>
      </w:r>
      <w:r>
        <w:rPr>
          <w:sz w:val="24"/>
        </w:rPr>
        <w:t>进行质谱仪和外围设备的仪器控制、数据采集和数据处理。</w:t>
      </w:r>
    </w:p>
    <w:p>
      <w:pPr>
        <w:spacing w:line="360" w:lineRule="auto"/>
        <w:rPr>
          <w:sz w:val="24"/>
        </w:rPr>
      </w:pPr>
      <w:r>
        <w:rPr>
          <w:sz w:val="24"/>
        </w:rPr>
        <w:t>#3.7 质量数范围：1-150amu</w:t>
      </w:r>
    </w:p>
    <w:p>
      <w:pPr>
        <w:spacing w:line="360" w:lineRule="auto"/>
        <w:rPr>
          <w:color w:val="000000"/>
          <w:sz w:val="24"/>
        </w:rPr>
      </w:pPr>
      <w:r>
        <w:rPr>
          <w:color w:val="000000"/>
          <w:sz w:val="24"/>
        </w:rPr>
        <w:t>#3.</w:t>
      </w:r>
      <w:r>
        <w:rPr>
          <w:rFonts w:hint="eastAsia"/>
          <w:color w:val="000000"/>
          <w:sz w:val="24"/>
        </w:rPr>
        <w:t>8</w:t>
      </w:r>
      <w:r>
        <w:rPr>
          <w:color w:val="000000"/>
          <w:sz w:val="24"/>
        </w:rPr>
        <w:t>加速电压：</w:t>
      </w:r>
      <w:r>
        <w:rPr>
          <w:rFonts w:hint="eastAsia"/>
          <w:sz w:val="24"/>
        </w:rPr>
        <w:t>≥</w:t>
      </w:r>
      <w:r>
        <w:rPr>
          <w:color w:val="000000"/>
          <w:sz w:val="24"/>
        </w:rPr>
        <w:t>10kV</w:t>
      </w:r>
    </w:p>
    <w:p>
      <w:pPr>
        <w:spacing w:line="360" w:lineRule="auto"/>
        <w:rPr>
          <w:sz w:val="24"/>
        </w:rPr>
      </w:pPr>
      <w:r>
        <w:rPr>
          <w:sz w:val="24"/>
        </w:rPr>
        <w:t>#3.</w:t>
      </w:r>
      <w:r>
        <w:rPr>
          <w:rFonts w:hint="eastAsia"/>
          <w:sz w:val="24"/>
        </w:rPr>
        <w:t>9</w:t>
      </w:r>
      <w:r>
        <w:rPr>
          <w:sz w:val="24"/>
        </w:rPr>
        <w:t>质量分辨率：</w:t>
      </w:r>
      <w:r>
        <w:rPr>
          <w:rFonts w:hint="eastAsia"/>
          <w:sz w:val="24"/>
        </w:rPr>
        <w:t>≥</w:t>
      </w:r>
      <w:r>
        <w:rPr>
          <w:sz w:val="24"/>
        </w:rPr>
        <w:t>200（10 % 峰谷定义）</w:t>
      </w:r>
    </w:p>
    <w:p>
      <w:pPr>
        <w:spacing w:line="360" w:lineRule="auto"/>
        <w:rPr>
          <w:color w:val="000000"/>
          <w:sz w:val="24"/>
        </w:rPr>
      </w:pPr>
      <w:r>
        <w:rPr>
          <w:color w:val="000000"/>
          <w:sz w:val="24"/>
        </w:rPr>
        <w:t>#</w:t>
      </w:r>
      <w:r>
        <w:rPr>
          <w:rFonts w:hint="eastAsia"/>
          <w:color w:val="000000"/>
          <w:sz w:val="24"/>
        </w:rPr>
        <w:t>3</w:t>
      </w:r>
      <w:r>
        <w:rPr>
          <w:color w:val="000000"/>
          <w:sz w:val="24"/>
        </w:rPr>
        <w:t>.</w:t>
      </w:r>
      <w:r>
        <w:rPr>
          <w:rFonts w:hint="eastAsia"/>
          <w:color w:val="000000"/>
          <w:sz w:val="24"/>
        </w:rPr>
        <w:t>10</w:t>
      </w:r>
      <w:r>
        <w:rPr>
          <w:color w:val="000000"/>
          <w:sz w:val="24"/>
        </w:rPr>
        <w:t>检测器范围：电流</w:t>
      </w:r>
      <w:r>
        <w:rPr>
          <w:rFonts w:hint="eastAsia"/>
          <w:color w:val="000000"/>
          <w:sz w:val="24"/>
        </w:rPr>
        <w:t>范围10-</w:t>
      </w:r>
      <w:r>
        <w:rPr>
          <w:color w:val="000000"/>
          <w:sz w:val="24"/>
        </w:rPr>
        <w:t>160nA</w:t>
      </w:r>
    </w:p>
    <w:p>
      <w:pPr>
        <w:spacing w:line="360" w:lineRule="auto"/>
        <w:rPr>
          <w:color w:val="000000"/>
          <w:sz w:val="24"/>
        </w:rPr>
      </w:pPr>
      <w:r>
        <w:rPr>
          <w:color w:val="000000"/>
          <w:sz w:val="24"/>
        </w:rPr>
        <w:t>#</w:t>
      </w:r>
      <w:r>
        <w:rPr>
          <w:rFonts w:hint="eastAsia"/>
          <w:color w:val="000000"/>
          <w:sz w:val="24"/>
        </w:rPr>
        <w:t>3</w:t>
      </w:r>
      <w:r>
        <w:rPr>
          <w:color w:val="000000"/>
          <w:sz w:val="24"/>
        </w:rPr>
        <w:t>.1</w:t>
      </w:r>
      <w:r>
        <w:rPr>
          <w:rFonts w:hint="eastAsia"/>
          <w:color w:val="000000"/>
          <w:sz w:val="24"/>
        </w:rPr>
        <w:t>1</w:t>
      </w:r>
      <w:r>
        <w:rPr>
          <w:color w:val="000000"/>
          <w:sz w:val="24"/>
        </w:rPr>
        <w:t>离子源线性：δ</w:t>
      </w:r>
      <w:r>
        <w:rPr>
          <w:color w:val="000000"/>
          <w:sz w:val="24"/>
          <w:vertAlign w:val="superscript"/>
        </w:rPr>
        <w:t>13</w:t>
      </w:r>
      <w:r>
        <w:rPr>
          <w:color w:val="000000"/>
          <w:sz w:val="24"/>
        </w:rPr>
        <w:t>C和δ</w:t>
      </w:r>
      <w:r>
        <w:rPr>
          <w:color w:val="000000"/>
          <w:sz w:val="24"/>
          <w:vertAlign w:val="superscript"/>
        </w:rPr>
        <w:t>18</w:t>
      </w:r>
      <w:r>
        <w:rPr>
          <w:color w:val="000000"/>
          <w:sz w:val="24"/>
        </w:rPr>
        <w:t xml:space="preserve">O </w:t>
      </w:r>
      <w:r>
        <w:rPr>
          <w:rFonts w:hint="eastAsia"/>
          <w:color w:val="000000"/>
          <w:sz w:val="24"/>
        </w:rPr>
        <w:t>≤</w:t>
      </w:r>
      <w:r>
        <w:rPr>
          <w:color w:val="000000"/>
          <w:sz w:val="24"/>
        </w:rPr>
        <w:t xml:space="preserve"> 0.02‰/nA</w:t>
      </w:r>
    </w:p>
    <w:p>
      <w:pPr>
        <w:spacing w:line="360" w:lineRule="auto"/>
        <w:rPr>
          <w:color w:val="000000"/>
          <w:sz w:val="24"/>
        </w:rPr>
      </w:pPr>
      <w:r>
        <w:rPr>
          <w:color w:val="000000"/>
          <w:sz w:val="24"/>
        </w:rPr>
        <w:t>#3.1</w:t>
      </w:r>
      <w:r>
        <w:rPr>
          <w:rFonts w:hint="eastAsia"/>
          <w:color w:val="000000"/>
          <w:sz w:val="24"/>
        </w:rPr>
        <w:t>2</w:t>
      </w:r>
      <w:r>
        <w:rPr>
          <w:color w:val="000000"/>
          <w:sz w:val="24"/>
        </w:rPr>
        <w:t>元素分析仪与同位素质谱联用外精度</w:t>
      </w:r>
      <w:r>
        <w:rPr>
          <w:rFonts w:hint="eastAsia"/>
          <w:color w:val="000000"/>
          <w:sz w:val="24"/>
        </w:rPr>
        <w:t>（重复测定次数n</w:t>
      </w:r>
      <w:r>
        <w:rPr>
          <w:color w:val="000000"/>
          <w:sz w:val="24"/>
        </w:rPr>
        <w:t>=</w:t>
      </w:r>
      <w:r>
        <w:rPr>
          <w:rFonts w:hint="eastAsia"/>
          <w:color w:val="000000"/>
          <w:sz w:val="24"/>
        </w:rPr>
        <w:t>10）</w:t>
      </w:r>
      <w:r>
        <w:rPr>
          <w:color w:val="000000"/>
          <w:sz w:val="24"/>
        </w:rPr>
        <w:t>：</w:t>
      </w:r>
    </w:p>
    <w:p>
      <w:pPr>
        <w:spacing w:line="360" w:lineRule="auto"/>
        <w:rPr>
          <w:color w:val="000000"/>
          <w:sz w:val="24"/>
        </w:rPr>
      </w:pPr>
      <w:r>
        <w:rPr>
          <w:color w:val="000000"/>
          <w:sz w:val="24"/>
        </w:rPr>
        <w:t>δ</w:t>
      </w:r>
      <w:r>
        <w:rPr>
          <w:color w:val="000000"/>
          <w:sz w:val="24"/>
          <w:vertAlign w:val="superscript"/>
        </w:rPr>
        <w:t>13</w:t>
      </w:r>
      <w:r>
        <w:rPr>
          <w:color w:val="000000"/>
          <w:sz w:val="24"/>
        </w:rPr>
        <w:t xml:space="preserve">C </w:t>
      </w:r>
      <w:r>
        <w:rPr>
          <w:rFonts w:hint="eastAsia"/>
          <w:color w:val="000000"/>
          <w:sz w:val="24"/>
        </w:rPr>
        <w:t>≤</w:t>
      </w:r>
      <w:r>
        <w:rPr>
          <w:color w:val="000000"/>
          <w:sz w:val="24"/>
        </w:rPr>
        <w:t>0.1‰（50μg C）；δ</w:t>
      </w:r>
      <w:r>
        <w:rPr>
          <w:color w:val="000000"/>
          <w:sz w:val="24"/>
          <w:vertAlign w:val="superscript"/>
        </w:rPr>
        <w:t>15</w:t>
      </w:r>
      <w:r>
        <w:rPr>
          <w:color w:val="000000"/>
          <w:sz w:val="24"/>
        </w:rPr>
        <w:t xml:space="preserve">N </w:t>
      </w:r>
      <w:r>
        <w:rPr>
          <w:rFonts w:hint="eastAsia"/>
          <w:color w:val="000000"/>
          <w:sz w:val="24"/>
        </w:rPr>
        <w:t>≤</w:t>
      </w:r>
      <w:r>
        <w:rPr>
          <w:color w:val="000000"/>
          <w:sz w:val="24"/>
        </w:rPr>
        <w:t xml:space="preserve"> 0.15‰（50μg N）；δ</w:t>
      </w:r>
      <w:r>
        <w:rPr>
          <w:color w:val="000000"/>
          <w:sz w:val="24"/>
          <w:vertAlign w:val="superscript"/>
        </w:rPr>
        <w:t>18</w:t>
      </w:r>
      <w:r>
        <w:rPr>
          <w:color w:val="000000"/>
          <w:sz w:val="24"/>
        </w:rPr>
        <w:t xml:space="preserve">O </w:t>
      </w:r>
      <w:r>
        <w:rPr>
          <w:rFonts w:hint="eastAsia"/>
          <w:color w:val="000000"/>
          <w:sz w:val="24"/>
        </w:rPr>
        <w:t>≤</w:t>
      </w:r>
      <w:r>
        <w:rPr>
          <w:color w:val="000000"/>
          <w:sz w:val="24"/>
        </w:rPr>
        <w:t>0.2‰（0.1μL H</w:t>
      </w:r>
      <w:r>
        <w:rPr>
          <w:color w:val="000000"/>
          <w:sz w:val="24"/>
          <w:vertAlign w:val="subscript"/>
        </w:rPr>
        <w:t>2</w:t>
      </w:r>
      <w:r>
        <w:rPr>
          <w:color w:val="000000"/>
          <w:sz w:val="24"/>
        </w:rPr>
        <w:t>O）；δ</w:t>
      </w:r>
      <w:r>
        <w:rPr>
          <w:color w:val="000000"/>
          <w:sz w:val="24"/>
          <w:vertAlign w:val="superscript"/>
        </w:rPr>
        <w:t>2</w:t>
      </w:r>
      <w:r>
        <w:rPr>
          <w:color w:val="000000"/>
          <w:sz w:val="24"/>
        </w:rPr>
        <w:t xml:space="preserve">H </w:t>
      </w:r>
      <w:r>
        <w:rPr>
          <w:rFonts w:hint="eastAsia"/>
          <w:color w:val="000000"/>
          <w:sz w:val="24"/>
        </w:rPr>
        <w:t>≤</w:t>
      </w:r>
      <w:r>
        <w:rPr>
          <w:color w:val="000000"/>
          <w:sz w:val="24"/>
        </w:rPr>
        <w:t xml:space="preserve"> 2‰（0.1μL H</w:t>
      </w:r>
      <w:r>
        <w:rPr>
          <w:color w:val="000000"/>
          <w:sz w:val="24"/>
          <w:vertAlign w:val="subscript"/>
        </w:rPr>
        <w:t>2</w:t>
      </w:r>
      <w:r>
        <w:rPr>
          <w:color w:val="000000"/>
          <w:sz w:val="24"/>
        </w:rPr>
        <w:t>O）；δ</w:t>
      </w:r>
      <w:r>
        <w:rPr>
          <w:color w:val="000000"/>
          <w:sz w:val="24"/>
          <w:vertAlign w:val="superscript"/>
        </w:rPr>
        <w:t>34</w:t>
      </w:r>
      <w:r>
        <w:rPr>
          <w:color w:val="000000"/>
          <w:sz w:val="24"/>
        </w:rPr>
        <w:t xml:space="preserve">S </w:t>
      </w:r>
      <w:r>
        <w:rPr>
          <w:rFonts w:hint="eastAsia"/>
          <w:color w:val="000000"/>
          <w:sz w:val="24"/>
        </w:rPr>
        <w:t>≤</w:t>
      </w:r>
      <w:r>
        <w:rPr>
          <w:color w:val="000000"/>
          <w:sz w:val="24"/>
        </w:rPr>
        <w:t xml:space="preserve"> 0.2‰（50μg S）</w:t>
      </w:r>
    </w:p>
    <w:p>
      <w:pPr>
        <w:spacing w:line="360" w:lineRule="auto"/>
        <w:rPr>
          <w:color w:val="000000"/>
          <w:sz w:val="24"/>
        </w:rPr>
      </w:pPr>
      <w:r>
        <w:rPr>
          <w:color w:val="000000"/>
          <w:sz w:val="24"/>
        </w:rPr>
        <w:t>3.1</w:t>
      </w:r>
      <w:r>
        <w:rPr>
          <w:rFonts w:hint="eastAsia"/>
          <w:color w:val="000000"/>
          <w:sz w:val="24"/>
        </w:rPr>
        <w:t>3</w:t>
      </w:r>
      <w:r>
        <w:rPr>
          <w:color w:val="000000"/>
          <w:sz w:val="24"/>
        </w:rPr>
        <w:t>多用途气体样品制备和导入装置与同位素质谱联用外精度</w:t>
      </w:r>
      <w:r>
        <w:rPr>
          <w:rFonts w:hint="eastAsia"/>
          <w:color w:val="000000"/>
          <w:sz w:val="24"/>
        </w:rPr>
        <w:t>（重复测定次数n</w:t>
      </w:r>
      <w:r>
        <w:rPr>
          <w:color w:val="000000"/>
          <w:sz w:val="24"/>
        </w:rPr>
        <w:t>=</w:t>
      </w:r>
      <w:r>
        <w:rPr>
          <w:rFonts w:hint="eastAsia"/>
          <w:color w:val="000000"/>
          <w:sz w:val="24"/>
        </w:rPr>
        <w:t>10）</w:t>
      </w:r>
      <w:r>
        <w:rPr>
          <w:color w:val="000000"/>
          <w:sz w:val="24"/>
        </w:rPr>
        <w:t>：</w:t>
      </w:r>
    </w:p>
    <w:p>
      <w:pPr>
        <w:spacing w:line="360" w:lineRule="auto"/>
        <w:rPr>
          <w:color w:val="000000"/>
          <w:sz w:val="24"/>
        </w:rPr>
      </w:pPr>
      <w:r>
        <w:rPr>
          <w:color w:val="000000"/>
          <w:sz w:val="24"/>
        </w:rPr>
        <w:t>#3.1</w:t>
      </w:r>
      <w:r>
        <w:rPr>
          <w:rFonts w:hint="eastAsia"/>
          <w:color w:val="000000"/>
          <w:sz w:val="24"/>
        </w:rPr>
        <w:t>3</w:t>
      </w:r>
      <w:r>
        <w:rPr>
          <w:color w:val="000000"/>
          <w:sz w:val="24"/>
        </w:rPr>
        <w:t>.1 水平衡：δ</w:t>
      </w:r>
      <w:r>
        <w:rPr>
          <w:color w:val="000000"/>
          <w:sz w:val="24"/>
          <w:vertAlign w:val="superscript"/>
        </w:rPr>
        <w:t>18</w:t>
      </w:r>
      <w:r>
        <w:rPr>
          <w:color w:val="000000"/>
          <w:sz w:val="24"/>
        </w:rPr>
        <w:t>O</w:t>
      </w:r>
      <w:r>
        <w:rPr>
          <w:rFonts w:hint="eastAsia"/>
          <w:color w:val="000000"/>
          <w:sz w:val="24"/>
        </w:rPr>
        <w:t>:</w:t>
      </w:r>
      <w:r>
        <w:rPr>
          <w:color w:val="000000"/>
          <w:sz w:val="24"/>
        </w:rPr>
        <w:t>1σ</w:t>
      </w:r>
      <w:r>
        <w:rPr>
          <w:rFonts w:hint="eastAsia"/>
          <w:color w:val="000000"/>
          <w:sz w:val="24"/>
        </w:rPr>
        <w:t>≤</w:t>
      </w:r>
      <w:r>
        <w:rPr>
          <w:color w:val="000000"/>
          <w:sz w:val="24"/>
        </w:rPr>
        <w:t>0.08‰ (0.5ml H</w:t>
      </w:r>
      <w:r>
        <w:rPr>
          <w:color w:val="000000"/>
          <w:sz w:val="24"/>
          <w:vertAlign w:val="subscript"/>
        </w:rPr>
        <w:t>2</w:t>
      </w:r>
      <w:r>
        <w:rPr>
          <w:color w:val="000000"/>
          <w:sz w:val="24"/>
        </w:rPr>
        <w:t>O)；δ</w:t>
      </w:r>
      <w:r>
        <w:rPr>
          <w:color w:val="000000"/>
          <w:sz w:val="24"/>
          <w:vertAlign w:val="superscript"/>
        </w:rPr>
        <w:t>2</w:t>
      </w:r>
      <w:r>
        <w:rPr>
          <w:color w:val="000000"/>
          <w:sz w:val="24"/>
        </w:rPr>
        <w:t>H</w:t>
      </w:r>
      <w:r>
        <w:rPr>
          <w:rFonts w:hint="eastAsia"/>
          <w:color w:val="000000"/>
          <w:sz w:val="24"/>
        </w:rPr>
        <w:t>:</w:t>
      </w:r>
      <w:r>
        <w:rPr>
          <w:color w:val="000000"/>
          <w:sz w:val="24"/>
        </w:rPr>
        <w:t>1σ</w:t>
      </w:r>
      <w:r>
        <w:rPr>
          <w:rFonts w:hint="eastAsia"/>
          <w:color w:val="000000"/>
          <w:sz w:val="24"/>
        </w:rPr>
        <w:t>≤</w:t>
      </w:r>
      <w:r>
        <w:rPr>
          <w:color w:val="000000"/>
          <w:sz w:val="24"/>
        </w:rPr>
        <w:t xml:space="preserve"> 2‰ (0.2ml H</w:t>
      </w:r>
      <w:r>
        <w:rPr>
          <w:color w:val="000000"/>
          <w:sz w:val="24"/>
          <w:vertAlign w:val="subscript"/>
        </w:rPr>
        <w:t>2</w:t>
      </w:r>
      <w:r>
        <w:rPr>
          <w:color w:val="000000"/>
          <w:sz w:val="24"/>
        </w:rPr>
        <w:t>O)</w:t>
      </w:r>
    </w:p>
    <w:p>
      <w:pPr>
        <w:spacing w:line="360" w:lineRule="auto"/>
        <w:rPr>
          <w:color w:val="000000"/>
          <w:sz w:val="24"/>
        </w:rPr>
      </w:pPr>
      <w:r>
        <w:rPr>
          <w:color w:val="000000"/>
          <w:sz w:val="24"/>
        </w:rPr>
        <w:t>#3.1</w:t>
      </w:r>
      <w:r>
        <w:rPr>
          <w:rFonts w:hint="eastAsia"/>
          <w:color w:val="000000"/>
          <w:sz w:val="24"/>
        </w:rPr>
        <w:t>3</w:t>
      </w:r>
      <w:r>
        <w:rPr>
          <w:color w:val="000000"/>
          <w:sz w:val="24"/>
        </w:rPr>
        <w:t xml:space="preserve">.2 </w:t>
      </w:r>
      <w:r>
        <w:rPr>
          <w:rFonts w:hint="eastAsia"/>
          <w:color w:val="000000"/>
          <w:sz w:val="24"/>
        </w:rPr>
        <w:t>碳酸钙</w:t>
      </w:r>
      <w:r>
        <w:rPr>
          <w:color w:val="000000"/>
          <w:sz w:val="24"/>
        </w:rPr>
        <w:t xml:space="preserve"> (100μg)：δ</w:t>
      </w:r>
      <w:r>
        <w:rPr>
          <w:color w:val="000000"/>
          <w:sz w:val="24"/>
          <w:vertAlign w:val="superscript"/>
        </w:rPr>
        <w:t>13</w:t>
      </w:r>
      <w:r>
        <w:rPr>
          <w:color w:val="000000"/>
          <w:sz w:val="24"/>
        </w:rPr>
        <w:t>C</w:t>
      </w:r>
      <w:r>
        <w:rPr>
          <w:rFonts w:hint="eastAsia"/>
          <w:color w:val="000000"/>
          <w:sz w:val="24"/>
        </w:rPr>
        <w:t>:</w:t>
      </w:r>
      <w:r>
        <w:rPr>
          <w:color w:val="000000"/>
          <w:sz w:val="24"/>
        </w:rPr>
        <w:t>1σ</w:t>
      </w:r>
      <w:r>
        <w:rPr>
          <w:rFonts w:hint="eastAsia"/>
          <w:color w:val="000000"/>
          <w:sz w:val="24"/>
        </w:rPr>
        <w:t>≤</w:t>
      </w:r>
      <w:r>
        <w:rPr>
          <w:color w:val="000000"/>
          <w:sz w:val="24"/>
        </w:rPr>
        <w:t xml:space="preserve"> 0.1‰；δ</w:t>
      </w:r>
      <w:r>
        <w:rPr>
          <w:color w:val="000000"/>
          <w:sz w:val="24"/>
          <w:vertAlign w:val="superscript"/>
        </w:rPr>
        <w:t>18</w:t>
      </w:r>
      <w:r>
        <w:rPr>
          <w:color w:val="000000"/>
          <w:sz w:val="24"/>
        </w:rPr>
        <w:t>O</w:t>
      </w:r>
      <w:r>
        <w:rPr>
          <w:rFonts w:hint="eastAsia"/>
          <w:color w:val="000000"/>
          <w:sz w:val="24"/>
        </w:rPr>
        <w:t>:</w:t>
      </w:r>
      <w:r>
        <w:rPr>
          <w:color w:val="000000"/>
          <w:sz w:val="24"/>
        </w:rPr>
        <w:t>1σ</w:t>
      </w:r>
      <w:r>
        <w:rPr>
          <w:rFonts w:hint="eastAsia"/>
          <w:color w:val="000000"/>
          <w:sz w:val="24"/>
        </w:rPr>
        <w:t>≤</w:t>
      </w:r>
      <w:r>
        <w:rPr>
          <w:color w:val="000000"/>
          <w:sz w:val="24"/>
        </w:rPr>
        <w:t xml:space="preserve"> 0.1‰</w:t>
      </w:r>
    </w:p>
    <w:p>
      <w:pPr>
        <w:spacing w:line="360" w:lineRule="auto"/>
        <w:rPr>
          <w:color w:val="000000"/>
          <w:sz w:val="24"/>
        </w:rPr>
      </w:pPr>
      <w:r>
        <w:rPr>
          <w:color w:val="000000"/>
          <w:sz w:val="24"/>
        </w:rPr>
        <w:t>#3.1</w:t>
      </w:r>
      <w:r>
        <w:rPr>
          <w:rFonts w:hint="eastAsia"/>
          <w:color w:val="000000"/>
          <w:sz w:val="24"/>
        </w:rPr>
        <w:t>3</w:t>
      </w:r>
      <w:r>
        <w:rPr>
          <w:color w:val="000000"/>
          <w:sz w:val="24"/>
        </w:rPr>
        <w:t>.3 海水中溶解无机碳(0.6ml 海水)：δ</w:t>
      </w:r>
      <w:r>
        <w:rPr>
          <w:color w:val="000000"/>
          <w:sz w:val="24"/>
          <w:vertAlign w:val="superscript"/>
        </w:rPr>
        <w:t>13</w:t>
      </w:r>
      <w:r>
        <w:rPr>
          <w:color w:val="000000"/>
          <w:sz w:val="24"/>
        </w:rPr>
        <w:t>C</w:t>
      </w:r>
      <w:r>
        <w:rPr>
          <w:rFonts w:hint="eastAsia"/>
          <w:color w:val="000000"/>
          <w:sz w:val="24"/>
        </w:rPr>
        <w:t>:</w:t>
      </w:r>
      <w:r>
        <w:rPr>
          <w:color w:val="000000"/>
          <w:sz w:val="24"/>
        </w:rPr>
        <w:t>1σ</w:t>
      </w:r>
      <w:r>
        <w:rPr>
          <w:rFonts w:hint="eastAsia"/>
          <w:color w:val="000000"/>
          <w:sz w:val="24"/>
        </w:rPr>
        <w:t>≤</w:t>
      </w:r>
      <w:r>
        <w:rPr>
          <w:color w:val="000000"/>
          <w:sz w:val="24"/>
        </w:rPr>
        <w:t xml:space="preserve"> 0.08‰ </w:t>
      </w:r>
    </w:p>
    <w:p>
      <w:pPr>
        <w:spacing w:line="360" w:lineRule="auto"/>
        <w:rPr>
          <w:color w:val="000000"/>
          <w:sz w:val="24"/>
        </w:rPr>
      </w:pPr>
      <w:r>
        <w:rPr>
          <w:color w:val="000000"/>
          <w:sz w:val="24"/>
        </w:rPr>
        <w:t>#3.1</w:t>
      </w:r>
      <w:r>
        <w:rPr>
          <w:rFonts w:hint="eastAsia"/>
          <w:color w:val="000000"/>
          <w:sz w:val="24"/>
        </w:rPr>
        <w:t>3</w:t>
      </w:r>
      <w:r>
        <w:rPr>
          <w:color w:val="000000"/>
          <w:sz w:val="24"/>
        </w:rPr>
        <w:t>.4 空气中CO</w:t>
      </w:r>
      <w:r>
        <w:rPr>
          <w:color w:val="000000"/>
          <w:sz w:val="24"/>
          <w:vertAlign w:val="subscript"/>
        </w:rPr>
        <w:t>2</w:t>
      </w:r>
      <w:r>
        <w:rPr>
          <w:color w:val="000000"/>
          <w:sz w:val="24"/>
        </w:rPr>
        <w:t>(12ml 空气)：δ</w:t>
      </w:r>
      <w:r>
        <w:rPr>
          <w:color w:val="000000"/>
          <w:sz w:val="24"/>
          <w:vertAlign w:val="superscript"/>
        </w:rPr>
        <w:t>13</w:t>
      </w:r>
      <w:r>
        <w:rPr>
          <w:color w:val="000000"/>
          <w:sz w:val="24"/>
        </w:rPr>
        <w:t>C</w:t>
      </w:r>
      <w:r>
        <w:rPr>
          <w:rFonts w:hint="eastAsia"/>
          <w:color w:val="000000"/>
          <w:sz w:val="24"/>
        </w:rPr>
        <w:t>:</w:t>
      </w:r>
      <w:r>
        <w:rPr>
          <w:color w:val="000000"/>
          <w:sz w:val="24"/>
        </w:rPr>
        <w:t>1σ</w:t>
      </w:r>
      <w:r>
        <w:rPr>
          <w:rFonts w:hint="eastAsia"/>
          <w:color w:val="000000"/>
          <w:sz w:val="24"/>
        </w:rPr>
        <w:t>≤</w:t>
      </w:r>
      <w:r>
        <w:rPr>
          <w:color w:val="000000"/>
          <w:sz w:val="24"/>
        </w:rPr>
        <w:t xml:space="preserve"> 0.2‰ </w:t>
      </w:r>
    </w:p>
    <w:p>
      <w:pPr>
        <w:spacing w:line="360" w:lineRule="auto"/>
        <w:rPr>
          <w:color w:val="000000"/>
          <w:sz w:val="24"/>
        </w:rPr>
      </w:pPr>
      <w:r>
        <w:rPr>
          <w:color w:val="000000"/>
          <w:sz w:val="24"/>
        </w:rPr>
        <w:t>#3.1</w:t>
      </w:r>
      <w:r>
        <w:rPr>
          <w:rFonts w:hint="eastAsia"/>
          <w:color w:val="000000"/>
          <w:sz w:val="24"/>
        </w:rPr>
        <w:t>4</w:t>
      </w:r>
      <w:r>
        <w:rPr>
          <w:color w:val="000000"/>
          <w:sz w:val="24"/>
        </w:rPr>
        <w:t>气相色谱高温转化装置与同位素质谱联用外精度</w:t>
      </w:r>
      <w:r>
        <w:rPr>
          <w:rFonts w:hint="eastAsia"/>
          <w:color w:val="000000"/>
          <w:sz w:val="24"/>
        </w:rPr>
        <w:t>（重复测定次数n</w:t>
      </w:r>
      <w:r>
        <w:rPr>
          <w:color w:val="000000"/>
          <w:sz w:val="24"/>
        </w:rPr>
        <w:t>=</w:t>
      </w:r>
      <w:r>
        <w:rPr>
          <w:rFonts w:hint="eastAsia"/>
          <w:color w:val="000000"/>
          <w:sz w:val="24"/>
        </w:rPr>
        <w:t>10）</w:t>
      </w:r>
      <w:r>
        <w:rPr>
          <w:color w:val="000000"/>
          <w:sz w:val="24"/>
        </w:rPr>
        <w:t>：</w:t>
      </w:r>
    </w:p>
    <w:p>
      <w:pPr>
        <w:spacing w:line="360" w:lineRule="auto"/>
        <w:rPr>
          <w:color w:val="000000"/>
          <w:sz w:val="24"/>
        </w:rPr>
      </w:pPr>
      <w:r>
        <w:rPr>
          <w:color w:val="000000"/>
          <w:sz w:val="24"/>
        </w:rPr>
        <w:t>δ</w:t>
      </w:r>
      <w:r>
        <w:rPr>
          <w:color w:val="000000"/>
          <w:sz w:val="24"/>
          <w:vertAlign w:val="superscript"/>
        </w:rPr>
        <w:t>13</w:t>
      </w:r>
      <w:r>
        <w:rPr>
          <w:color w:val="000000"/>
          <w:sz w:val="24"/>
        </w:rPr>
        <w:t>C</w:t>
      </w:r>
      <w:r>
        <w:rPr>
          <w:rFonts w:hint="eastAsia"/>
          <w:color w:val="000000"/>
          <w:sz w:val="24"/>
        </w:rPr>
        <w:t>:</w:t>
      </w:r>
      <w:r>
        <w:rPr>
          <w:color w:val="000000"/>
          <w:sz w:val="24"/>
        </w:rPr>
        <w:t>1σ</w:t>
      </w:r>
      <w:r>
        <w:rPr>
          <w:rFonts w:hint="eastAsia"/>
          <w:color w:val="000000"/>
          <w:sz w:val="24"/>
        </w:rPr>
        <w:t>≤</w:t>
      </w:r>
      <w:r>
        <w:rPr>
          <w:color w:val="000000"/>
          <w:sz w:val="24"/>
        </w:rPr>
        <w:t xml:space="preserve"> 0.18‰（10ng C）；δ</w:t>
      </w:r>
      <w:r>
        <w:rPr>
          <w:color w:val="000000"/>
          <w:sz w:val="24"/>
          <w:vertAlign w:val="superscript"/>
        </w:rPr>
        <w:t>15</w:t>
      </w:r>
      <w:r>
        <w:rPr>
          <w:color w:val="000000"/>
          <w:sz w:val="24"/>
        </w:rPr>
        <w:t>N</w:t>
      </w:r>
      <w:r>
        <w:rPr>
          <w:rFonts w:hint="eastAsia"/>
          <w:color w:val="000000"/>
          <w:sz w:val="24"/>
        </w:rPr>
        <w:t>:</w:t>
      </w:r>
      <w:r>
        <w:rPr>
          <w:color w:val="000000"/>
          <w:sz w:val="24"/>
        </w:rPr>
        <w:t>1σ</w:t>
      </w:r>
      <w:r>
        <w:rPr>
          <w:rFonts w:hint="eastAsia"/>
          <w:color w:val="000000"/>
          <w:sz w:val="24"/>
        </w:rPr>
        <w:t>≤</w:t>
      </w:r>
      <w:r>
        <w:rPr>
          <w:color w:val="000000"/>
          <w:sz w:val="24"/>
        </w:rPr>
        <w:t>0.5‰（50ng N）；δ</w:t>
      </w:r>
      <w:r>
        <w:rPr>
          <w:color w:val="000000"/>
          <w:sz w:val="24"/>
          <w:vertAlign w:val="superscript"/>
        </w:rPr>
        <w:t>18</w:t>
      </w:r>
      <w:r>
        <w:rPr>
          <w:color w:val="000000"/>
          <w:sz w:val="24"/>
        </w:rPr>
        <w:t>O</w:t>
      </w:r>
      <w:r>
        <w:rPr>
          <w:rFonts w:hint="eastAsia"/>
          <w:color w:val="000000"/>
          <w:sz w:val="24"/>
        </w:rPr>
        <w:t>:</w:t>
      </w:r>
      <w:r>
        <w:rPr>
          <w:color w:val="000000"/>
          <w:sz w:val="24"/>
        </w:rPr>
        <w:t>1σ</w:t>
      </w:r>
      <w:r>
        <w:rPr>
          <w:rFonts w:hint="eastAsia"/>
          <w:color w:val="000000"/>
          <w:sz w:val="24"/>
        </w:rPr>
        <w:t>≤</w:t>
      </w:r>
      <w:r>
        <w:rPr>
          <w:color w:val="000000"/>
          <w:sz w:val="24"/>
        </w:rPr>
        <w:t xml:space="preserve"> 0.8‰（80ng O）；δ</w:t>
      </w:r>
      <w:r>
        <w:rPr>
          <w:color w:val="000000"/>
          <w:sz w:val="24"/>
          <w:vertAlign w:val="superscript"/>
        </w:rPr>
        <w:t>2</w:t>
      </w:r>
      <w:r>
        <w:rPr>
          <w:color w:val="000000"/>
          <w:sz w:val="24"/>
        </w:rPr>
        <w:t>H</w:t>
      </w:r>
      <w:r>
        <w:rPr>
          <w:rFonts w:hint="eastAsia"/>
          <w:color w:val="000000"/>
          <w:sz w:val="24"/>
        </w:rPr>
        <w:t>:</w:t>
      </w:r>
      <w:r>
        <w:rPr>
          <w:color w:val="000000"/>
          <w:sz w:val="24"/>
        </w:rPr>
        <w:t>1σ</w:t>
      </w:r>
      <w:r>
        <w:rPr>
          <w:rFonts w:hint="eastAsia"/>
          <w:color w:val="000000"/>
          <w:sz w:val="24"/>
        </w:rPr>
        <w:t>≤</w:t>
      </w:r>
      <w:r>
        <w:rPr>
          <w:color w:val="000000"/>
          <w:sz w:val="24"/>
        </w:rPr>
        <w:t xml:space="preserve"> 2.5‰（30ng H）</w:t>
      </w:r>
    </w:p>
    <w:p>
      <w:pPr>
        <w:spacing w:line="360" w:lineRule="auto"/>
        <w:rPr>
          <w:color w:val="000000"/>
          <w:sz w:val="24"/>
        </w:rPr>
      </w:pPr>
    </w:p>
    <w:p>
      <w:pPr>
        <w:numPr>
          <w:ilvl w:val="0"/>
          <w:numId w:val="2"/>
        </w:numPr>
        <w:spacing w:line="360" w:lineRule="auto"/>
        <w:rPr>
          <w:rFonts w:ascii="宋体" w:hAnsi="宋体" w:cs="宋体"/>
          <w:b/>
          <w:sz w:val="24"/>
        </w:rPr>
      </w:pPr>
      <w:r>
        <w:rPr>
          <w:rFonts w:hint="eastAsia" w:ascii="宋体" w:hAnsi="宋体" w:cs="宋体"/>
          <w:b/>
          <w:sz w:val="24"/>
        </w:rPr>
        <w:t>产品配置要求</w:t>
      </w:r>
    </w:p>
    <w:p>
      <w:pPr>
        <w:spacing w:line="360" w:lineRule="auto"/>
        <w:rPr>
          <w:sz w:val="24"/>
        </w:rPr>
      </w:pPr>
      <w:r>
        <w:rPr>
          <w:sz w:val="24"/>
        </w:rPr>
        <w:t xml:space="preserve">4.1 </w:t>
      </w:r>
      <w:r>
        <w:rPr>
          <w:rFonts w:hint="eastAsia"/>
          <w:sz w:val="24"/>
        </w:rPr>
        <w:t>稳定</w:t>
      </w:r>
      <w:r>
        <w:rPr>
          <w:sz w:val="24"/>
        </w:rPr>
        <w:t>同位素</w:t>
      </w:r>
      <w:r>
        <w:rPr>
          <w:rFonts w:hint="eastAsia"/>
          <w:sz w:val="24"/>
        </w:rPr>
        <w:t>比</w:t>
      </w:r>
      <w:r>
        <w:rPr>
          <w:sz w:val="24"/>
        </w:rPr>
        <w:t>质谱</w:t>
      </w:r>
      <w:r>
        <w:rPr>
          <w:rFonts w:hint="eastAsia"/>
          <w:sz w:val="24"/>
        </w:rPr>
        <w:t>仪</w:t>
      </w:r>
      <w:r>
        <w:rPr>
          <w:sz w:val="24"/>
        </w:rPr>
        <w:t>主机1台</w:t>
      </w:r>
    </w:p>
    <w:p>
      <w:pPr>
        <w:spacing w:line="360" w:lineRule="auto"/>
        <w:rPr>
          <w:sz w:val="24"/>
        </w:rPr>
      </w:pPr>
      <w:r>
        <w:rPr>
          <w:sz w:val="24"/>
        </w:rPr>
        <w:t>4.2 连续流样品制备装置接口 1台</w:t>
      </w:r>
    </w:p>
    <w:p>
      <w:pPr>
        <w:spacing w:line="360" w:lineRule="auto"/>
        <w:rPr>
          <w:sz w:val="24"/>
        </w:rPr>
      </w:pPr>
      <w:r>
        <w:rPr>
          <w:sz w:val="24"/>
        </w:rPr>
        <w:t>4.3 元素分析仪</w:t>
      </w:r>
      <w:r>
        <w:rPr>
          <w:rFonts w:hint="eastAsia"/>
          <w:sz w:val="24"/>
        </w:rPr>
        <w:t>单元</w:t>
      </w:r>
      <w:r>
        <w:rPr>
          <w:sz w:val="24"/>
        </w:rPr>
        <w:t>1台</w:t>
      </w:r>
    </w:p>
    <w:p>
      <w:pPr>
        <w:spacing w:line="360" w:lineRule="auto"/>
        <w:rPr>
          <w:sz w:val="24"/>
        </w:rPr>
      </w:pPr>
      <w:r>
        <w:rPr>
          <w:sz w:val="24"/>
        </w:rPr>
        <w:t>4.</w:t>
      </w:r>
      <w:r>
        <w:rPr>
          <w:rFonts w:hint="eastAsia"/>
          <w:sz w:val="24"/>
        </w:rPr>
        <w:t>4</w:t>
      </w:r>
      <w:r>
        <w:rPr>
          <w:sz w:val="24"/>
        </w:rPr>
        <w:t>多用途气体</w:t>
      </w:r>
      <w:r>
        <w:rPr>
          <w:rFonts w:hint="eastAsia"/>
          <w:sz w:val="24"/>
        </w:rPr>
        <w:t>样品</w:t>
      </w:r>
      <w:r>
        <w:rPr>
          <w:sz w:val="24"/>
        </w:rPr>
        <w:t>制备和导入</w:t>
      </w:r>
      <w:r>
        <w:rPr>
          <w:rFonts w:hint="eastAsia"/>
          <w:sz w:val="24"/>
        </w:rPr>
        <w:t>装置</w:t>
      </w:r>
      <w:r>
        <w:rPr>
          <w:sz w:val="24"/>
        </w:rPr>
        <w:t>1</w:t>
      </w:r>
      <w:r>
        <w:rPr>
          <w:rFonts w:hint="eastAsia"/>
          <w:sz w:val="24"/>
        </w:rPr>
        <w:t>台</w:t>
      </w:r>
    </w:p>
    <w:p>
      <w:pPr>
        <w:spacing w:line="360" w:lineRule="auto"/>
        <w:rPr>
          <w:sz w:val="24"/>
        </w:rPr>
      </w:pPr>
      <w:r>
        <w:rPr>
          <w:sz w:val="24"/>
        </w:rPr>
        <w:t>4.5气相色谱高温转化</w:t>
      </w:r>
      <w:r>
        <w:rPr>
          <w:rFonts w:hint="eastAsia"/>
          <w:sz w:val="24"/>
        </w:rPr>
        <w:t>装置</w:t>
      </w:r>
      <w:r>
        <w:rPr>
          <w:sz w:val="24"/>
        </w:rPr>
        <w:t>1</w:t>
      </w:r>
      <w:r>
        <w:rPr>
          <w:rFonts w:hint="eastAsia"/>
          <w:sz w:val="24"/>
        </w:rPr>
        <w:t>台</w:t>
      </w:r>
    </w:p>
    <w:p>
      <w:pPr>
        <w:spacing w:line="360" w:lineRule="auto"/>
        <w:rPr>
          <w:sz w:val="24"/>
        </w:rPr>
      </w:pPr>
      <w:r>
        <w:rPr>
          <w:sz w:val="24"/>
        </w:rPr>
        <w:t>4.6常用消耗品：同位素质谱仪零备件</w:t>
      </w:r>
      <w:r>
        <w:rPr>
          <w:rFonts w:hint="eastAsia"/>
          <w:sz w:val="24"/>
        </w:rPr>
        <w:t>及消耗品</w:t>
      </w:r>
      <w:r>
        <w:rPr>
          <w:sz w:val="24"/>
        </w:rPr>
        <w:t>包1个、元素分析仪C、N、S零备件</w:t>
      </w:r>
      <w:r>
        <w:rPr>
          <w:rFonts w:hint="eastAsia"/>
          <w:sz w:val="24"/>
        </w:rPr>
        <w:t>及</w:t>
      </w:r>
      <w:r>
        <w:rPr>
          <w:sz w:val="24"/>
        </w:rPr>
        <w:t>消耗品包1个、元素分析仪H、O零备件</w:t>
      </w:r>
      <w:r>
        <w:rPr>
          <w:rFonts w:hint="eastAsia"/>
          <w:sz w:val="24"/>
        </w:rPr>
        <w:t>及</w:t>
      </w:r>
      <w:r>
        <w:rPr>
          <w:sz w:val="24"/>
        </w:rPr>
        <w:t>消耗品包1个</w:t>
      </w:r>
      <w:r>
        <w:rPr>
          <w:rFonts w:hint="eastAsia"/>
          <w:sz w:val="24"/>
        </w:rPr>
        <w:t>、</w:t>
      </w:r>
      <w:r>
        <w:rPr>
          <w:sz w:val="24"/>
        </w:rPr>
        <w:t>多用途气体</w:t>
      </w:r>
      <w:r>
        <w:rPr>
          <w:rFonts w:hint="eastAsia"/>
          <w:sz w:val="24"/>
        </w:rPr>
        <w:t>样品</w:t>
      </w:r>
      <w:r>
        <w:rPr>
          <w:sz w:val="24"/>
        </w:rPr>
        <w:t>制备和导入</w:t>
      </w:r>
      <w:r>
        <w:rPr>
          <w:rFonts w:hint="eastAsia"/>
          <w:sz w:val="24"/>
        </w:rPr>
        <w:t>装置</w:t>
      </w:r>
      <w:r>
        <w:rPr>
          <w:sz w:val="24"/>
        </w:rPr>
        <w:t>零备件</w:t>
      </w:r>
      <w:r>
        <w:rPr>
          <w:rFonts w:hint="eastAsia"/>
          <w:sz w:val="24"/>
        </w:rPr>
        <w:t>及</w:t>
      </w:r>
      <w:r>
        <w:rPr>
          <w:sz w:val="24"/>
        </w:rPr>
        <w:t>消耗品包1个</w:t>
      </w:r>
      <w:r>
        <w:rPr>
          <w:rFonts w:hint="eastAsia"/>
          <w:sz w:val="24"/>
        </w:rPr>
        <w:t>，</w:t>
      </w:r>
      <w:r>
        <w:rPr>
          <w:sz w:val="24"/>
        </w:rPr>
        <w:t>气相色谱高温转化</w:t>
      </w:r>
      <w:r>
        <w:rPr>
          <w:rFonts w:hint="eastAsia"/>
          <w:sz w:val="24"/>
        </w:rPr>
        <w:t>装置</w:t>
      </w:r>
      <w:r>
        <w:rPr>
          <w:sz w:val="24"/>
        </w:rPr>
        <w:t>零备件</w:t>
      </w:r>
      <w:r>
        <w:rPr>
          <w:rFonts w:hint="eastAsia"/>
          <w:sz w:val="24"/>
        </w:rPr>
        <w:t>及</w:t>
      </w:r>
      <w:r>
        <w:rPr>
          <w:sz w:val="24"/>
        </w:rPr>
        <w:t>消耗品包1个</w:t>
      </w:r>
      <w:r>
        <w:rPr>
          <w:rFonts w:hint="eastAsia"/>
          <w:sz w:val="24"/>
        </w:rPr>
        <w:t>，碳酸盐组件1套、反硝化组件1套，气相色谱柱</w:t>
      </w:r>
      <w:r>
        <w:rPr>
          <w:sz w:val="24"/>
        </w:rPr>
        <w:t>1</w:t>
      </w:r>
      <w:r>
        <w:rPr>
          <w:rFonts w:hint="eastAsia"/>
          <w:sz w:val="24"/>
        </w:rPr>
        <w:t>根。</w:t>
      </w:r>
    </w:p>
    <w:p>
      <w:pPr>
        <w:spacing w:line="360" w:lineRule="auto"/>
        <w:rPr>
          <w:sz w:val="24"/>
        </w:rPr>
      </w:pPr>
      <w:r>
        <w:rPr>
          <w:sz w:val="24"/>
        </w:rPr>
        <w:t>4.7</w:t>
      </w:r>
      <w:r>
        <w:rPr>
          <w:rFonts w:hint="eastAsia"/>
          <w:sz w:val="24"/>
        </w:rPr>
        <w:t>软件及工作站1套</w:t>
      </w:r>
    </w:p>
    <w:p>
      <w:pPr>
        <w:spacing w:line="360" w:lineRule="auto"/>
        <w:rPr>
          <w:sz w:val="24"/>
        </w:rPr>
      </w:pPr>
      <w:r>
        <w:rPr>
          <w:sz w:val="24"/>
        </w:rPr>
        <w:t>4.8空气压缩机 1个</w:t>
      </w:r>
    </w:p>
    <w:p>
      <w:pPr>
        <w:spacing w:line="360" w:lineRule="auto"/>
        <w:rPr>
          <w:sz w:val="24"/>
          <w:highlight w:val="none"/>
        </w:rPr>
      </w:pP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（二）质保、售后服务</w:t>
      </w:r>
      <w:r>
        <w:rPr>
          <w:rFonts w:hint="eastAsia" w:ascii="宋体" w:hAnsi="宋体" w:cs="宋体"/>
          <w:b/>
          <w:sz w:val="24"/>
          <w:highlight w:val="none"/>
          <w:lang w:eastAsia="zh-CN"/>
        </w:rPr>
        <w:t>：</w:t>
      </w:r>
    </w:p>
    <w:p>
      <w:pPr>
        <w:spacing w:line="360" w:lineRule="auto"/>
        <w:rPr>
          <w:rFonts w:ascii="宋体" w:hAnsi="宋体" w:cs="宋体"/>
          <w:b/>
          <w:bCs/>
          <w:sz w:val="24"/>
        </w:rPr>
      </w:pPr>
      <w:r>
        <w:rPr>
          <w:rFonts w:hint="eastAsia" w:ascii="宋体" w:hAnsi="宋体" w:cs="宋体"/>
          <w:b/>
          <w:bCs/>
          <w:sz w:val="24"/>
        </w:rPr>
        <w:t>1. 安装调试的要求</w:t>
      </w:r>
    </w:p>
    <w:p>
      <w:pPr>
        <w:spacing w:line="360" w:lineRule="auto"/>
        <w:rPr>
          <w:rFonts w:ascii="宋体" w:hAnsi="宋体" w:cs="宋体"/>
          <w:sz w:val="24"/>
        </w:rPr>
      </w:pPr>
      <w:r>
        <w:rPr>
          <w:rFonts w:hint="eastAsia" w:ascii="宋体" w:hAnsi="宋体" w:cs="宋体"/>
          <w:sz w:val="24"/>
        </w:rPr>
        <w:t>1.1仪器设备运抵安装现场后，在1</w:t>
      </w:r>
      <w:r>
        <w:rPr>
          <w:rFonts w:ascii="宋体" w:hAnsi="宋体" w:cs="宋体"/>
          <w:sz w:val="24"/>
        </w:rPr>
        <w:t>0</w:t>
      </w:r>
      <w:r>
        <w:rPr>
          <w:rFonts w:hint="eastAsia" w:ascii="宋体" w:hAnsi="宋体" w:cs="宋体"/>
          <w:sz w:val="24"/>
        </w:rPr>
        <w:t>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pPr>
        <w:spacing w:line="360" w:lineRule="auto"/>
        <w:rPr>
          <w:rFonts w:hint="eastAsia" w:ascii="宋体" w:hAnsi="宋体" w:cs="宋体"/>
          <w:sz w:val="24"/>
        </w:rPr>
      </w:pPr>
      <w:r>
        <w:rPr>
          <w:rFonts w:hint="eastAsia" w:ascii="宋体" w:hAnsi="宋体" w:cs="宋体"/>
          <w:sz w:val="24"/>
        </w:rPr>
        <w:t>1.2验收由采购人及相关人员依国家有关标准、合同及有关附件要求进行，验收完毕由采购人在验收报告上签名。</w:t>
      </w:r>
    </w:p>
    <w:p>
      <w:pPr>
        <w:spacing w:line="360" w:lineRule="auto"/>
        <w:rPr>
          <w:rFonts w:hint="eastAsia" w:ascii="宋体" w:hAnsi="宋体" w:cs="宋体"/>
          <w:sz w:val="24"/>
        </w:rPr>
      </w:pPr>
    </w:p>
    <w:p>
      <w:pPr>
        <w:spacing w:line="360" w:lineRule="auto"/>
        <w:rPr>
          <w:rFonts w:ascii="宋体" w:hAnsi="宋体" w:cs="宋体"/>
          <w:sz w:val="24"/>
        </w:rPr>
      </w:pPr>
      <w:r>
        <w:rPr>
          <w:rFonts w:hint="eastAsia" w:ascii="宋体" w:hAnsi="宋体" w:cs="宋体"/>
          <w:b/>
          <w:bCs/>
          <w:sz w:val="24"/>
        </w:rPr>
        <w:t>2. 技术培训</w:t>
      </w:r>
    </w:p>
    <w:p>
      <w:pPr>
        <w:spacing w:line="360" w:lineRule="auto"/>
        <w:rPr>
          <w:rFonts w:ascii="宋体" w:hAnsi="宋体" w:cs="宋体"/>
          <w:sz w:val="24"/>
        </w:rPr>
      </w:pPr>
      <w:r>
        <w:rPr>
          <w:rFonts w:hint="eastAsia" w:ascii="宋体" w:hAnsi="宋体" w:cs="宋体"/>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pPr>
        <w:spacing w:line="360" w:lineRule="auto"/>
        <w:rPr>
          <w:rFonts w:ascii="宋体" w:hAnsi="宋体" w:cs="宋体"/>
          <w:sz w:val="24"/>
        </w:rPr>
      </w:pPr>
      <w:r>
        <w:rPr>
          <w:rFonts w:hint="eastAsia" w:ascii="宋体" w:hAnsi="宋体" w:cs="宋体"/>
          <w:sz w:val="24"/>
        </w:rPr>
        <w:t>2.2现场回访培训。根据用户使用情况及需求，供应商不定期安排专业应用工程师免费对用户的使用情况进行提高培训，帮助客户解决遇到的问题和项目开发，并进行技术提高和方法开发等高级培训。</w:t>
      </w:r>
    </w:p>
    <w:p>
      <w:pPr>
        <w:spacing w:line="360" w:lineRule="auto"/>
        <w:rPr>
          <w:rFonts w:hint="eastAsia" w:ascii="宋体" w:hAnsi="宋体" w:cs="宋体"/>
          <w:sz w:val="24"/>
        </w:rPr>
      </w:pPr>
      <w:r>
        <w:rPr>
          <w:rFonts w:hint="eastAsia" w:ascii="宋体" w:hAnsi="宋体" w:cs="宋体"/>
          <w:sz w:val="24"/>
        </w:rPr>
        <w:t>2.3厂家培训中心培训：提供</w:t>
      </w:r>
      <w:r>
        <w:rPr>
          <w:rFonts w:hint="eastAsia" w:ascii="宋体" w:hAnsi="宋体" w:cs="宋体"/>
          <w:color w:val="000000"/>
          <w:sz w:val="24"/>
        </w:rPr>
        <w:t>3</w:t>
      </w:r>
      <w:r>
        <w:rPr>
          <w:rFonts w:hint="eastAsia" w:ascii="宋体" w:hAnsi="宋体" w:cs="宋体"/>
          <w:sz w:val="24"/>
        </w:rPr>
        <w:t>个名额的学习班系统培训，包括仪器原理、操作、维护等。</w:t>
      </w:r>
    </w:p>
    <w:p>
      <w:pPr>
        <w:spacing w:line="360" w:lineRule="auto"/>
        <w:rPr>
          <w:rFonts w:hint="eastAsia" w:ascii="宋体" w:hAnsi="宋体" w:cs="宋体"/>
          <w:sz w:val="24"/>
        </w:rPr>
      </w:pPr>
    </w:p>
    <w:p>
      <w:pPr>
        <w:spacing w:line="360" w:lineRule="auto"/>
        <w:rPr>
          <w:rFonts w:ascii="宋体" w:hAnsi="宋体" w:cs="宋体"/>
          <w:sz w:val="24"/>
        </w:rPr>
      </w:pPr>
      <w:r>
        <w:rPr>
          <w:rFonts w:hint="eastAsia" w:ascii="宋体" w:hAnsi="宋体" w:cs="宋体"/>
          <w:b/>
          <w:bCs/>
          <w:sz w:val="24"/>
        </w:rPr>
        <w:t>3. 保修期</w:t>
      </w:r>
    </w:p>
    <w:p>
      <w:pPr>
        <w:spacing w:line="360" w:lineRule="auto"/>
        <w:ind w:firstLine="360" w:firstLineChars="150"/>
        <w:rPr>
          <w:rFonts w:hint="eastAsia" w:ascii="宋体" w:hAnsi="宋体" w:cs="宋体"/>
          <w:sz w:val="24"/>
        </w:rPr>
      </w:pPr>
      <w:r>
        <w:rPr>
          <w:rFonts w:hint="eastAsia" w:ascii="宋体" w:hAnsi="宋体" w:cs="宋体"/>
          <w:sz w:val="24"/>
        </w:rPr>
        <w:t>提供一年的免费保修服务。制造商在国内的技术服务中心（包括维修中心）应当提供所有的服务，包括备有零件及易耗品。</w:t>
      </w:r>
    </w:p>
    <w:p>
      <w:pPr>
        <w:spacing w:line="360" w:lineRule="auto"/>
        <w:ind w:firstLine="360" w:firstLineChars="150"/>
        <w:rPr>
          <w:rFonts w:hint="eastAsia" w:ascii="宋体" w:hAnsi="宋体" w:cs="宋体"/>
          <w:sz w:val="24"/>
        </w:rPr>
      </w:pPr>
    </w:p>
    <w:p>
      <w:pPr>
        <w:spacing w:line="360" w:lineRule="auto"/>
        <w:rPr>
          <w:rFonts w:ascii="宋体" w:hAnsi="宋体" w:cs="宋体"/>
          <w:sz w:val="24"/>
        </w:rPr>
      </w:pPr>
      <w:r>
        <w:rPr>
          <w:rFonts w:hint="eastAsia" w:ascii="宋体" w:hAnsi="宋体" w:cs="宋体"/>
          <w:b/>
          <w:bCs/>
          <w:sz w:val="24"/>
        </w:rPr>
        <w:t>4. 售后服务</w:t>
      </w:r>
    </w:p>
    <w:p>
      <w:pPr>
        <w:spacing w:line="360" w:lineRule="auto"/>
        <w:rPr>
          <w:sz w:val="24"/>
        </w:rPr>
      </w:pPr>
      <w:r>
        <w:rPr>
          <w:rFonts w:hint="eastAsia"/>
          <w:sz w:val="24"/>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pPr>
        <w:spacing w:line="360" w:lineRule="auto"/>
        <w:rPr>
          <w:sz w:val="24"/>
        </w:rPr>
      </w:pPr>
      <w:r>
        <w:rPr>
          <w:rFonts w:hint="eastAsia"/>
          <w:sz w:val="24"/>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pPr>
        <w:spacing w:line="360" w:lineRule="auto"/>
        <w:rPr>
          <w:rFonts w:hint="eastAsia"/>
          <w:sz w:val="24"/>
        </w:rPr>
      </w:pPr>
      <w:r>
        <w:rPr>
          <w:rFonts w:hint="eastAsia"/>
          <w:sz w:val="24"/>
        </w:rPr>
        <w:t>4.2 后期更换配件及易耗品成本价提供。保障投标设备停产后10年的关键零部件（包括易耗品）供应。</w:t>
      </w:r>
    </w:p>
    <w:p>
      <w:pPr>
        <w:spacing w:line="360" w:lineRule="auto"/>
        <w:rPr>
          <w:rFonts w:hint="eastAsia"/>
          <w:sz w:val="24"/>
          <w:lang w:eastAsia="zh-CN"/>
        </w:rPr>
      </w:pPr>
    </w:p>
    <w:p>
      <w:pPr>
        <w:spacing w:line="360" w:lineRule="auto"/>
        <w:rPr>
          <w:rFonts w:ascii="宋体" w:hAnsi="宋体" w:cs="宋体"/>
          <w:b/>
          <w:sz w:val="24"/>
        </w:rPr>
      </w:pPr>
      <w:r>
        <w:rPr>
          <w:rFonts w:hint="eastAsia" w:ascii="宋体" w:hAnsi="宋体" w:cs="宋体"/>
          <w:b/>
          <w:sz w:val="24"/>
        </w:rPr>
        <w:t>（三） 订货数量：</w:t>
      </w:r>
    </w:p>
    <w:p>
      <w:pPr>
        <w:spacing w:line="360" w:lineRule="auto"/>
        <w:ind w:firstLine="352" w:firstLineChars="147"/>
        <w:rPr>
          <w:rFonts w:hint="eastAsia" w:ascii="宋体" w:hAnsi="宋体" w:cs="宋体"/>
          <w:sz w:val="24"/>
        </w:rPr>
      </w:pPr>
      <w:r>
        <w:rPr>
          <w:rFonts w:hint="eastAsia" w:ascii="宋体" w:hAnsi="宋体" w:cs="宋体"/>
          <w:sz w:val="24"/>
        </w:rPr>
        <w:t>1套</w:t>
      </w:r>
    </w:p>
    <w:p>
      <w:pPr>
        <w:spacing w:line="360" w:lineRule="auto"/>
        <w:ind w:firstLine="352" w:firstLineChars="147"/>
        <w:rPr>
          <w:rFonts w:hint="eastAsia" w:ascii="宋体" w:hAnsi="宋体" w:cs="宋体"/>
          <w:sz w:val="24"/>
        </w:rPr>
      </w:pPr>
    </w:p>
    <w:p>
      <w:pPr>
        <w:spacing w:line="360" w:lineRule="auto"/>
        <w:rPr>
          <w:rFonts w:ascii="宋体" w:hAnsi="宋体" w:cs="宋体"/>
          <w:b/>
          <w:sz w:val="24"/>
        </w:rPr>
      </w:pPr>
      <w:r>
        <w:rPr>
          <w:rFonts w:hint="eastAsia" w:ascii="宋体" w:hAnsi="宋体" w:cs="宋体"/>
          <w:b/>
          <w:sz w:val="24"/>
        </w:rPr>
        <w:t>（四）交货地：</w:t>
      </w:r>
    </w:p>
    <w:p>
      <w:pPr>
        <w:spacing w:line="360" w:lineRule="auto"/>
        <w:rPr>
          <w:rFonts w:hint="eastAsia"/>
          <w:sz w:val="24"/>
        </w:rPr>
      </w:pPr>
      <w:r>
        <w:rPr>
          <w:rFonts w:hint="eastAsia"/>
          <w:sz w:val="24"/>
        </w:rPr>
        <w:t>用户指定地点</w:t>
      </w:r>
    </w:p>
    <w:p>
      <w:pPr>
        <w:spacing w:line="360" w:lineRule="auto"/>
        <w:ind w:firstLine="360" w:firstLineChars="150"/>
        <w:rPr>
          <w:rFonts w:hint="eastAsia"/>
          <w:sz w:val="24"/>
        </w:rPr>
      </w:pPr>
    </w:p>
    <w:p>
      <w:pPr>
        <w:numPr>
          <w:ilvl w:val="0"/>
          <w:numId w:val="0"/>
        </w:numPr>
        <w:spacing w:line="360" w:lineRule="auto"/>
        <w:rPr>
          <w:rFonts w:hint="eastAsia" w:ascii="宋体" w:hAnsi="宋体" w:cs="宋体"/>
          <w:b/>
          <w:sz w:val="24"/>
        </w:rPr>
      </w:pPr>
      <w:r>
        <w:rPr>
          <w:rFonts w:hint="eastAsia" w:ascii="宋体" w:hAnsi="宋体" w:eastAsia="宋体" w:cs="宋体"/>
          <w:b/>
          <w:kern w:val="2"/>
          <w:sz w:val="24"/>
          <w:szCs w:val="24"/>
          <w:lang w:val="en-US" w:eastAsia="zh-CN" w:bidi="ar-SA"/>
        </w:rPr>
        <w:t>（五）</w:t>
      </w:r>
      <w:r>
        <w:rPr>
          <w:rFonts w:hint="eastAsia" w:ascii="宋体" w:hAnsi="宋体" w:cs="宋体"/>
          <w:b/>
          <w:sz w:val="24"/>
        </w:rPr>
        <w:t>交货日期：</w:t>
      </w:r>
    </w:p>
    <w:p>
      <w:pPr>
        <w:spacing w:line="360" w:lineRule="auto"/>
        <w:rPr>
          <w:rFonts w:hint="eastAsia" w:ascii="宋体" w:hAnsi="宋体" w:cs="宋体"/>
          <w:sz w:val="24"/>
        </w:rPr>
      </w:pPr>
      <w:r>
        <w:rPr>
          <w:rFonts w:hint="eastAsia" w:ascii="宋体" w:hAnsi="宋体" w:cs="宋体"/>
          <w:sz w:val="24"/>
        </w:rPr>
        <w:t xml:space="preserve">合同生效后6个月      </w:t>
      </w:r>
    </w:p>
    <w:p>
      <w:pPr>
        <w:spacing w:line="360" w:lineRule="auto"/>
        <w:rPr>
          <w:rFonts w:hint="eastAsia" w:ascii="宋体" w:hAnsi="宋体" w:cs="宋体"/>
          <w:sz w:val="24"/>
        </w:rPr>
      </w:pPr>
    </w:p>
    <w:p>
      <w:pPr>
        <w:spacing w:line="360" w:lineRule="auto"/>
        <w:rPr>
          <w:b/>
          <w:sz w:val="24"/>
        </w:rPr>
      </w:pPr>
      <w:r>
        <w:rPr>
          <w:rFonts w:hint="eastAsia"/>
          <w:b/>
          <w:sz w:val="24"/>
        </w:rPr>
        <w:t>（六）执行的相关标准</w:t>
      </w:r>
    </w:p>
    <w:p>
      <w:pPr>
        <w:spacing w:line="360" w:lineRule="auto"/>
        <w:rPr>
          <w:rFonts w:hint="eastAsia" w:ascii="inherit" w:hAnsi="inherit" w:cs="宋体"/>
          <w:kern w:val="0"/>
          <w:sz w:val="24"/>
        </w:rPr>
      </w:pPr>
      <w:r>
        <w:rPr>
          <w:rFonts w:hint="eastAsia" w:ascii="inherit" w:hAnsi="inherit" w:cs="宋体"/>
          <w:kern w:val="0"/>
          <w:sz w:val="24"/>
        </w:rPr>
        <w:t>产品应满足相关国家标准及行业标准。</w:t>
      </w:r>
    </w:p>
    <w:p>
      <w:pPr>
        <w:spacing w:line="360" w:lineRule="auto"/>
        <w:ind w:firstLine="360" w:firstLineChars="150"/>
        <w:rPr>
          <w:rFonts w:hint="eastAsia" w:ascii="inherit" w:hAnsi="inherit" w:cs="宋体"/>
          <w:kern w:val="0"/>
          <w:sz w:val="24"/>
        </w:rPr>
      </w:pPr>
    </w:p>
    <w:p>
      <w:pPr>
        <w:spacing w:line="360" w:lineRule="auto"/>
        <w:rPr>
          <w:rFonts w:ascii="inherit" w:hAnsi="inherit" w:cs="宋体"/>
          <w:b/>
          <w:bCs/>
          <w:kern w:val="0"/>
          <w:sz w:val="24"/>
        </w:rPr>
      </w:pPr>
      <w:r>
        <w:rPr>
          <w:rFonts w:hint="eastAsia" w:ascii="inherit" w:hAnsi="inherit" w:cs="宋体"/>
          <w:b/>
          <w:bCs/>
          <w:kern w:val="0"/>
          <w:sz w:val="24"/>
        </w:rPr>
        <w:t>（七）验收要求：</w:t>
      </w:r>
    </w:p>
    <w:p>
      <w:pPr>
        <w:spacing w:line="360" w:lineRule="auto"/>
        <w:rPr>
          <w:sz w:val="24"/>
        </w:rPr>
      </w:pPr>
      <w:r>
        <w:rPr>
          <w:sz w:val="24"/>
        </w:rPr>
        <w:t>*1.</w:t>
      </w:r>
      <w:r>
        <w:rPr>
          <w:sz w:val="24"/>
        </w:rPr>
        <w:tab/>
      </w:r>
      <w:r>
        <w:rPr>
          <w:sz w:val="24"/>
        </w:rPr>
        <w:t>设备的配置、功能和技术指标必须满足招标文件要求，所有技术指标必须能够现场验收或提供第三方权威机构的证明材料，投标商需在投标文件中提供完备的现场验收方案，</w:t>
      </w:r>
      <w:r>
        <w:rPr>
          <w:rFonts w:hint="eastAsia"/>
          <w:b/>
          <w:bCs/>
          <w:sz w:val="24"/>
        </w:rPr>
        <w:t>未提交现场验收方案将作为废标处理</w:t>
      </w:r>
      <w:r>
        <w:rPr>
          <w:sz w:val="24"/>
        </w:rPr>
        <w:t>。</w:t>
      </w:r>
    </w:p>
    <w:p>
      <w:pPr>
        <w:spacing w:line="360" w:lineRule="auto"/>
        <w:rPr>
          <w:rFonts w:ascii="inherit" w:hAnsi="inherit" w:cs="宋体"/>
          <w:kern w:val="0"/>
          <w:sz w:val="24"/>
        </w:rPr>
      </w:pPr>
      <w:bookmarkStart w:id="0" w:name="_Hlk139638902"/>
      <w:r>
        <w:rPr>
          <w:sz w:val="24"/>
        </w:rPr>
        <w:t>#2.</w:t>
      </w:r>
      <w:r>
        <w:rPr>
          <w:sz w:val="24"/>
        </w:rPr>
        <w:tab/>
      </w:r>
      <w:r>
        <w:rPr>
          <w:sz w:val="24"/>
        </w:rPr>
        <w:t>技术指标现场验收方案科学</w:t>
      </w:r>
      <w:r>
        <w:rPr>
          <w:rFonts w:hint="eastAsia"/>
          <w:sz w:val="24"/>
        </w:rPr>
        <w:t>、</w:t>
      </w:r>
      <w:r>
        <w:rPr>
          <w:sz w:val="24"/>
        </w:rPr>
        <w:t>合理</w:t>
      </w:r>
      <w:r>
        <w:rPr>
          <w:rFonts w:hint="eastAsia"/>
          <w:sz w:val="24"/>
        </w:rPr>
        <w:t>，具有</w:t>
      </w:r>
      <w:r>
        <w:rPr>
          <w:sz w:val="24"/>
        </w:rPr>
        <w:t>可行性。</w:t>
      </w:r>
      <w:bookmarkEnd w:id="0"/>
      <w:r>
        <w:rPr>
          <w:rFonts w:hint="eastAsia"/>
          <w:sz w:val="24"/>
        </w:rPr>
        <w:tab/>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YWZhN2M5Y2I0NzE0OGU4ZTZkMjk5Y2M2MjcyYjAifQ=="/>
  </w:docVars>
  <w:rsids>
    <w:rsidRoot w:val="38623977"/>
    <w:rsid w:val="19D41100"/>
    <w:rsid w:val="38623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3955</Words>
  <Characters>4480</Characters>
  <Lines>0</Lines>
  <Paragraphs>0</Paragraphs>
  <TotalTime>0</TotalTime>
  <ScaleCrop>false</ScaleCrop>
  <LinksUpToDate>false</LinksUpToDate>
  <CharactersWithSpaces>4603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2024-06-17T07:30:00Z</dcterms:created>
  <dc:creator>godjiao</dc:creator>
  <cp:lastModifiedBy>清</cp:lastModifiedBy>
  <dcterms:modified xsi:type="dcterms:W3CDTF">2024-06-19T02:52:18Z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D129DE01887D4FE79B2A1932D3EFA69C_13</vt:lpwstr>
  </property>
</Properties>
</file>