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仿宋" w:hAnsi="仿宋" w:eastAsia="仿宋" w:cs="仿宋"/>
          <w:color w:val="auto"/>
          <w:sz w:val="32"/>
          <w:szCs w:val="32"/>
          <w:highlight w:val="none"/>
        </w:rPr>
      </w:pPr>
      <w:bookmarkStart w:id="215" w:name="_GoBack"/>
      <w:bookmarkEnd w:id="215"/>
    </w:p>
    <w:p>
      <w:pPr>
        <w:spacing w:line="480" w:lineRule="exact"/>
        <w:jc w:val="center"/>
        <w:rPr>
          <w:rFonts w:hint="eastAsia" w:ascii="仿宋" w:hAnsi="仿宋" w:eastAsia="仿宋" w:cs="仿宋"/>
          <w:b/>
          <w:color w:val="auto"/>
          <w:sz w:val="32"/>
          <w:szCs w:val="32"/>
          <w:highlight w:val="none"/>
        </w:rPr>
      </w:pPr>
    </w:p>
    <w:p>
      <w:pPr>
        <w:spacing w:line="360" w:lineRule="auto"/>
        <w:ind w:firstLine="260" w:firstLineChars="50"/>
        <w:jc w:val="center"/>
        <w:rPr>
          <w:rFonts w:hint="eastAsia" w:ascii="仿宋" w:hAnsi="仿宋" w:eastAsia="仿宋" w:cs="仿宋"/>
          <w:b/>
          <w:color w:val="auto"/>
          <w:sz w:val="52"/>
          <w:szCs w:val="52"/>
          <w:highlight w:val="none"/>
        </w:rPr>
      </w:pPr>
    </w:p>
    <w:p>
      <w:pPr>
        <w:spacing w:line="360" w:lineRule="auto"/>
        <w:ind w:firstLine="260" w:firstLineChars="50"/>
        <w:jc w:val="center"/>
        <w:rPr>
          <w:rFonts w:hint="eastAsia" w:ascii="仿宋" w:hAnsi="仿宋" w:eastAsia="仿宋" w:cs="仿宋"/>
          <w:b/>
          <w:color w:val="auto"/>
          <w:sz w:val="52"/>
          <w:szCs w:val="52"/>
          <w:highlight w:val="none"/>
        </w:rPr>
      </w:pPr>
    </w:p>
    <w:p>
      <w:pPr>
        <w:spacing w:line="360" w:lineRule="auto"/>
        <w:ind w:firstLine="260" w:firstLineChars="5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辽宁省政府采购项目</w:t>
      </w:r>
    </w:p>
    <w:p>
      <w:pPr>
        <w:spacing w:line="360" w:lineRule="auto"/>
        <w:ind w:firstLine="120" w:firstLineChars="50"/>
        <w:jc w:val="center"/>
        <w:rPr>
          <w:rFonts w:hint="eastAsia" w:ascii="仿宋" w:hAnsi="仿宋" w:eastAsia="仿宋" w:cs="仿宋"/>
          <w:b/>
          <w:color w:val="auto"/>
          <w:sz w:val="24"/>
          <w:highlight w:val="none"/>
        </w:rPr>
      </w:pPr>
    </w:p>
    <w:p>
      <w:pPr>
        <w:spacing w:line="360" w:lineRule="auto"/>
        <w:ind w:firstLine="240" w:firstLineChars="50"/>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货物类公开招标</w:t>
      </w:r>
    </w:p>
    <w:p>
      <w:pPr>
        <w:spacing w:line="360" w:lineRule="auto"/>
        <w:ind w:firstLine="120" w:firstLineChars="50"/>
        <w:jc w:val="center"/>
        <w:rPr>
          <w:rFonts w:hint="eastAsia" w:ascii="仿宋" w:hAnsi="仿宋" w:eastAsia="仿宋" w:cs="仿宋"/>
          <w:b/>
          <w:color w:val="auto"/>
          <w:sz w:val="24"/>
          <w:highlight w:val="none"/>
        </w:rPr>
      </w:pPr>
    </w:p>
    <w:p>
      <w:pPr>
        <w:spacing w:line="360" w:lineRule="auto"/>
        <w:ind w:firstLine="240" w:firstLineChars="50"/>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招标文件</w:t>
      </w: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480" w:lineRule="exact"/>
        <w:jc w:val="center"/>
        <w:rPr>
          <w:rFonts w:hint="eastAsia" w:ascii="仿宋" w:hAnsi="仿宋" w:eastAsia="仿宋" w:cs="仿宋"/>
          <w:b/>
          <w:color w:val="auto"/>
          <w:sz w:val="24"/>
          <w:highlight w:val="none"/>
        </w:rPr>
      </w:pPr>
    </w:p>
    <w:p>
      <w:pPr>
        <w:spacing w:line="360" w:lineRule="auto"/>
        <w:ind w:firstLine="846" w:firstLineChars="235"/>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项目名称：</w:t>
      </w:r>
      <w:r>
        <w:rPr>
          <w:rFonts w:hint="eastAsia" w:ascii="仿宋" w:hAnsi="仿宋" w:eastAsia="仿宋" w:cs="仿宋"/>
          <w:b/>
          <w:color w:val="auto"/>
          <w:sz w:val="36"/>
          <w:szCs w:val="36"/>
          <w:highlight w:val="none"/>
          <w:lang w:eastAsia="zh-CN"/>
        </w:rPr>
        <w:t>辽宁省检验检测认证中心器检院购置组织脱水机等3台套设备</w:t>
      </w:r>
    </w:p>
    <w:p>
      <w:pPr>
        <w:spacing w:line="360" w:lineRule="auto"/>
        <w:ind w:firstLine="846" w:firstLineChars="235"/>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项目编号：JH24-210000-18371</w:t>
      </w:r>
    </w:p>
    <w:p>
      <w:pPr>
        <w:spacing w:line="360" w:lineRule="auto"/>
        <w:ind w:firstLine="846" w:firstLineChars="235"/>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编制单位：辽宁浩亿招投标有限公司</w:t>
      </w:r>
    </w:p>
    <w:p>
      <w:pPr>
        <w:ind w:firstLine="846" w:firstLineChars="235"/>
        <w:jc w:val="center"/>
        <w:rPr>
          <w:rFonts w:hint="eastAsia" w:ascii="仿宋" w:hAnsi="仿宋" w:eastAsia="仿宋" w:cs="仿宋"/>
          <w:b/>
          <w:bCs/>
          <w:color w:val="auto"/>
          <w:sz w:val="36"/>
          <w:szCs w:val="44"/>
          <w:highlight w:val="none"/>
        </w:rPr>
        <w:sectPr>
          <w:pgSz w:w="11906" w:h="16838"/>
          <w:pgMar w:top="1440" w:right="1800" w:bottom="1440" w:left="1800" w:header="851" w:footer="992" w:gutter="0"/>
          <w:cols w:space="720" w:num="1"/>
          <w:docGrid w:type="linesAndChars" w:linePitch="312" w:charSpace="0"/>
        </w:sectPr>
      </w:pP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目  录</w:t>
      </w:r>
    </w:p>
    <w:p>
      <w:pPr>
        <w:jc w:val="center"/>
        <w:rPr>
          <w:rFonts w:hint="eastAsia" w:ascii="仿宋" w:hAnsi="仿宋" w:eastAsia="仿宋" w:cs="仿宋"/>
          <w:b/>
          <w:bCs/>
          <w:color w:val="auto"/>
          <w:sz w:val="44"/>
          <w:szCs w:val="44"/>
          <w:highlight w:val="none"/>
        </w:rPr>
      </w:pPr>
    </w:p>
    <w:p>
      <w:pPr>
        <w:pStyle w:val="60"/>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TOC \o "1-1" \h \u </w:instrText>
      </w:r>
      <w:r>
        <w:rPr>
          <w:rFonts w:hint="eastAsia" w:ascii="仿宋" w:hAnsi="仿宋" w:eastAsia="仿宋" w:cs="仿宋"/>
          <w:b/>
          <w:bCs/>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"_Toc7381"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招标公告</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 PAGEREF _Toc7381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fldChar w:fldCharType="end"/>
      </w:r>
    </w:p>
    <w:p>
      <w:pPr>
        <w:pStyle w:val="60"/>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"_Toc9614"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第一章 投标人须知</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t>4</w:t>
      </w:r>
      <w:r>
        <w:rPr>
          <w:rFonts w:hint="eastAsia" w:ascii="仿宋" w:hAnsi="仿宋" w:eastAsia="仿宋" w:cs="仿宋"/>
          <w:b/>
          <w:bCs/>
          <w:color w:val="auto"/>
          <w:sz w:val="24"/>
          <w:highlight w:val="none"/>
        </w:rPr>
        <w:fldChar w:fldCharType="end"/>
      </w:r>
    </w:p>
    <w:p>
      <w:pPr>
        <w:pStyle w:val="60"/>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"_Toc6403"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第二章 投标文件内容及格式</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lang w:val="en-US" w:eastAsia="zh-CN"/>
        </w:rPr>
        <w:t>19</w:t>
      </w:r>
      <w:r>
        <w:rPr>
          <w:rFonts w:hint="eastAsia" w:ascii="仿宋" w:hAnsi="仿宋" w:eastAsia="仿宋" w:cs="仿宋"/>
          <w:b/>
          <w:bCs/>
          <w:color w:val="auto"/>
          <w:sz w:val="24"/>
          <w:highlight w:val="none"/>
        </w:rPr>
        <w:fldChar w:fldCharType="end"/>
      </w:r>
    </w:p>
    <w:p>
      <w:pPr>
        <w:pStyle w:val="60"/>
        <w:tabs>
          <w:tab w:val="right" w:leader="dot" w:pos="8306"/>
        </w:tabs>
        <w:spacing w:line="480" w:lineRule="auto"/>
        <w:rPr>
          <w:rFonts w:hint="eastAsia" w:ascii="仿宋" w:hAnsi="仿宋" w:eastAsia="仿宋" w:cs="仿宋"/>
          <w:b/>
          <w:bCs/>
          <w:color w:val="auto"/>
          <w:sz w:val="24"/>
          <w:highlight w:val="none"/>
          <w:lang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"_Toc17590"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第三章 货物需求</w:t>
      </w:r>
      <w:r>
        <w:rPr>
          <w:rFonts w:hint="eastAsia" w:ascii="仿宋" w:hAnsi="仿宋" w:eastAsia="仿宋" w:cs="仿宋"/>
          <w:b/>
          <w:bCs/>
          <w:color w:val="auto"/>
          <w:sz w:val="24"/>
          <w:highlight w:val="none"/>
        </w:rPr>
        <w:tab/>
      </w:r>
      <w:r>
        <w:rPr>
          <w:rFonts w:hint="eastAsia" w:ascii="仿宋" w:hAnsi="仿宋" w:cs="仿宋"/>
          <w:b/>
          <w:bCs/>
          <w:color w:val="auto"/>
          <w:sz w:val="24"/>
          <w:highlight w:val="none"/>
          <w:lang w:val="en-US" w:eastAsia="zh-CN"/>
        </w:rPr>
        <w:t>4</w:t>
      </w:r>
      <w:r>
        <w:rPr>
          <w:rFonts w:hint="eastAsia" w:ascii="仿宋" w:hAnsi="仿宋" w:eastAsia="仿宋" w:cs="仿宋"/>
          <w:b/>
          <w:bCs/>
          <w:color w:val="auto"/>
          <w:sz w:val="24"/>
          <w:highlight w:val="none"/>
        </w:rPr>
        <w:fldChar w:fldCharType="end"/>
      </w:r>
      <w:r>
        <w:rPr>
          <w:rFonts w:hint="eastAsia" w:ascii="仿宋" w:hAnsi="仿宋" w:cs="仿宋"/>
          <w:b/>
          <w:bCs/>
          <w:color w:val="auto"/>
          <w:sz w:val="24"/>
          <w:highlight w:val="none"/>
          <w:lang w:val="en-US" w:eastAsia="zh-CN"/>
        </w:rPr>
        <w:t>3</w:t>
      </w:r>
    </w:p>
    <w:p>
      <w:pPr>
        <w:pStyle w:val="60"/>
        <w:tabs>
          <w:tab w:val="right" w:leader="dot" w:pos="8306"/>
        </w:tabs>
        <w:spacing w:line="480" w:lineRule="auto"/>
        <w:rPr>
          <w:rFonts w:hint="eastAsia" w:ascii="仿宋" w:hAnsi="仿宋" w:eastAsia="仿宋" w:cs="仿宋"/>
          <w:b/>
          <w:bCs/>
          <w:color w:val="auto"/>
          <w:sz w:val="24"/>
          <w:highlight w:val="none"/>
          <w:lang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"_Toc25237"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第四章 评标方法</w:t>
      </w:r>
      <w:r>
        <w:rPr>
          <w:rFonts w:hint="eastAsia" w:ascii="仿宋" w:hAnsi="仿宋" w:eastAsia="仿宋" w:cs="仿宋"/>
          <w:b/>
          <w:bCs/>
          <w:color w:val="auto"/>
          <w:sz w:val="24"/>
          <w:highlight w:val="none"/>
        </w:rPr>
        <w:tab/>
      </w:r>
      <w:r>
        <w:rPr>
          <w:rFonts w:hint="eastAsia" w:ascii="仿宋" w:hAnsi="仿宋" w:cs="仿宋"/>
          <w:b/>
          <w:bCs/>
          <w:color w:val="auto"/>
          <w:sz w:val="24"/>
          <w:highlight w:val="none"/>
          <w:lang w:val="en-US" w:eastAsia="zh-CN"/>
        </w:rPr>
        <w:t>4</w:t>
      </w:r>
      <w:r>
        <w:rPr>
          <w:rFonts w:hint="eastAsia" w:ascii="仿宋" w:hAnsi="仿宋" w:eastAsia="仿宋" w:cs="仿宋"/>
          <w:b/>
          <w:bCs/>
          <w:color w:val="auto"/>
          <w:sz w:val="24"/>
          <w:highlight w:val="none"/>
        </w:rPr>
        <w:fldChar w:fldCharType="end"/>
      </w:r>
      <w:r>
        <w:rPr>
          <w:rFonts w:hint="eastAsia" w:ascii="仿宋" w:hAnsi="仿宋" w:cs="仿宋"/>
          <w:b/>
          <w:bCs/>
          <w:color w:val="auto"/>
          <w:sz w:val="24"/>
          <w:highlight w:val="none"/>
          <w:lang w:val="en-US" w:eastAsia="zh-CN"/>
        </w:rPr>
        <w:t>4</w:t>
      </w:r>
    </w:p>
    <w:p>
      <w:pPr>
        <w:pStyle w:val="60"/>
        <w:tabs>
          <w:tab w:val="right" w:leader="dot" w:pos="8306"/>
        </w:tabs>
        <w:spacing w:line="480" w:lineRule="auto"/>
        <w:rPr>
          <w:rFonts w:hint="eastAsia" w:ascii="仿宋" w:hAnsi="仿宋" w:eastAsia="仿宋" w:cs="仿宋"/>
          <w:b/>
          <w:bCs/>
          <w:color w:val="auto"/>
          <w:sz w:val="24"/>
          <w:highlight w:val="none"/>
          <w:lang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"_Toc19588"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第五章 政府采购合同条款及格式</w:t>
      </w:r>
      <w:r>
        <w:rPr>
          <w:rFonts w:hint="eastAsia" w:ascii="仿宋" w:hAnsi="仿宋" w:eastAsia="仿宋" w:cs="仿宋"/>
          <w:b/>
          <w:bCs/>
          <w:color w:val="auto"/>
          <w:sz w:val="24"/>
          <w:highlight w:val="none"/>
        </w:rPr>
        <w:tab/>
      </w:r>
      <w:r>
        <w:rPr>
          <w:rFonts w:hint="eastAsia" w:ascii="仿宋" w:hAnsi="仿宋" w:cs="仿宋"/>
          <w:b/>
          <w:bCs/>
          <w:color w:val="auto"/>
          <w:sz w:val="24"/>
          <w:highlight w:val="none"/>
          <w:lang w:val="en-US" w:eastAsia="zh-CN"/>
        </w:rPr>
        <w:t>5</w:t>
      </w:r>
      <w:r>
        <w:rPr>
          <w:rFonts w:hint="eastAsia" w:ascii="仿宋" w:hAnsi="仿宋" w:eastAsia="仿宋" w:cs="仿宋"/>
          <w:b/>
          <w:bCs/>
          <w:color w:val="auto"/>
          <w:sz w:val="24"/>
          <w:highlight w:val="none"/>
        </w:rPr>
        <w:fldChar w:fldCharType="end"/>
      </w:r>
      <w:r>
        <w:rPr>
          <w:rFonts w:hint="eastAsia" w:ascii="仿宋" w:hAnsi="仿宋" w:cs="仿宋"/>
          <w:b/>
          <w:bCs/>
          <w:color w:val="auto"/>
          <w:sz w:val="24"/>
          <w:highlight w:val="none"/>
          <w:lang w:val="en-US" w:eastAsia="zh-CN"/>
        </w:rPr>
        <w:t>2</w:t>
      </w:r>
    </w:p>
    <w:p>
      <w:pPr>
        <w:spacing w:line="480" w:lineRule="auto"/>
        <w:rPr>
          <w:rFonts w:hint="eastAsia" w:ascii="仿宋" w:hAnsi="仿宋" w:eastAsia="仿宋" w:cs="仿宋"/>
          <w:color w:val="auto"/>
          <w:highlight w:val="none"/>
        </w:rPr>
      </w:pPr>
      <w:r>
        <w:rPr>
          <w:rFonts w:hint="eastAsia" w:ascii="仿宋" w:hAnsi="仿宋" w:eastAsia="仿宋" w:cs="仿宋"/>
          <w:b/>
          <w:bCs/>
          <w:color w:val="auto"/>
          <w:sz w:val="24"/>
          <w:highlight w:val="none"/>
        </w:rPr>
        <w:fldChar w:fldCharType="end"/>
      </w:r>
    </w:p>
    <w:p>
      <w:pPr>
        <w:pStyle w:val="2"/>
        <w:rPr>
          <w:rFonts w:hint="eastAsia" w:ascii="仿宋" w:hAnsi="仿宋" w:eastAsia="仿宋" w:cs="仿宋"/>
          <w:color w:val="auto"/>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pPr>
        <w:pStyle w:val="2"/>
        <w:rPr>
          <w:rFonts w:hint="eastAsia" w:ascii="仿宋" w:hAnsi="仿宋" w:eastAsia="仿宋" w:cs="仿宋"/>
          <w:color w:val="auto"/>
          <w:highlight w:val="none"/>
        </w:rPr>
      </w:pPr>
      <w:r>
        <w:rPr>
          <w:rFonts w:hint="eastAsia" w:ascii="仿宋" w:hAnsi="仿宋" w:eastAsia="仿宋" w:cs="仿宋"/>
          <w:color w:val="auto"/>
          <w:highlight w:val="none"/>
          <w:lang w:eastAsia="zh-CN"/>
        </w:rPr>
        <w:t>辽宁省检验检测认证中心器检院购置组织脱水机等3台套设备</w:t>
      </w:r>
      <w:r>
        <w:rPr>
          <w:rFonts w:hint="eastAsia" w:ascii="仿宋" w:hAnsi="仿宋" w:eastAsia="仿宋" w:cs="仿宋"/>
          <w:color w:val="auto"/>
          <w:highlight w:val="none"/>
        </w:rPr>
        <w:t>的招标公告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lang w:eastAsia="zh-CN"/>
        </w:rPr>
        <w:t>辽宁省检验检测认证中心器检院购置组织脱水机等3台套设备</w:t>
      </w:r>
      <w:r>
        <w:rPr>
          <w:rFonts w:hint="eastAsia" w:ascii="仿宋" w:hAnsi="仿宋" w:eastAsia="仿宋" w:cs="仿宋"/>
          <w:color w:val="auto"/>
          <w:szCs w:val="21"/>
          <w:highlight w:val="none"/>
          <w:u w:val="single"/>
        </w:rPr>
        <w:t>（项目编号：JH24-210000-18371）</w:t>
      </w:r>
      <w:r>
        <w:rPr>
          <w:rFonts w:hint="eastAsia" w:ascii="仿宋" w:hAnsi="仿宋" w:eastAsia="仿宋" w:cs="仿宋"/>
          <w:color w:val="auto"/>
          <w:szCs w:val="21"/>
          <w:highlight w:val="none"/>
        </w:rPr>
        <w:t>招标项目的潜在供应商应在</w:t>
      </w:r>
      <w:r>
        <w:rPr>
          <w:rFonts w:hint="eastAsia" w:ascii="仿宋" w:hAnsi="仿宋" w:eastAsia="仿宋" w:cs="仿宋"/>
          <w:color w:val="auto"/>
          <w:szCs w:val="21"/>
          <w:highlight w:val="none"/>
          <w:u w:val="single"/>
        </w:rPr>
        <w:t>辽宁政府采购网</w:t>
      </w:r>
      <w:r>
        <w:rPr>
          <w:rFonts w:hint="eastAsia" w:ascii="仿宋" w:hAnsi="仿宋" w:eastAsia="仿宋" w:cs="仿宋"/>
          <w:color w:val="auto"/>
          <w:szCs w:val="21"/>
          <w:highlight w:val="none"/>
        </w:rPr>
        <w:t>获取招标文件，并于</w:t>
      </w:r>
      <w:r>
        <w:rPr>
          <w:rFonts w:hint="eastAsia" w:ascii="仿宋" w:hAnsi="仿宋" w:eastAsia="仿宋" w:cs="仿宋"/>
          <w:bCs/>
          <w:color w:val="auto"/>
          <w:szCs w:val="21"/>
          <w:highlight w:val="none"/>
          <w:u w:val="single"/>
        </w:rPr>
        <w:t>202</w:t>
      </w:r>
      <w:r>
        <w:rPr>
          <w:rFonts w:hint="eastAsia" w:ascii="仿宋" w:hAnsi="仿宋" w:eastAsia="仿宋" w:cs="仿宋"/>
          <w:bCs/>
          <w:color w:val="auto"/>
          <w:szCs w:val="21"/>
          <w:highlight w:val="none"/>
          <w:u w:val="single"/>
          <w:lang w:val="en-US" w:eastAsia="zh-CN"/>
        </w:rPr>
        <w:t>4</w:t>
      </w:r>
      <w:r>
        <w:rPr>
          <w:rFonts w:hint="eastAsia" w:ascii="仿宋" w:hAnsi="仿宋" w:eastAsia="仿宋" w:cs="仿宋"/>
          <w:bCs/>
          <w:color w:val="auto"/>
          <w:szCs w:val="21"/>
          <w:highlight w:val="none"/>
          <w:u w:val="single"/>
        </w:rPr>
        <w:t>年</w:t>
      </w:r>
      <w:r>
        <w:rPr>
          <w:rFonts w:hint="eastAsia" w:ascii="仿宋" w:hAnsi="仿宋" w:cs="仿宋"/>
          <w:bCs/>
          <w:color w:val="auto"/>
          <w:szCs w:val="21"/>
          <w:highlight w:val="none"/>
          <w:u w:val="single"/>
          <w:lang w:val="en-US" w:eastAsia="zh-CN"/>
        </w:rPr>
        <w:t>6</w:t>
      </w:r>
      <w:r>
        <w:rPr>
          <w:rFonts w:hint="eastAsia" w:ascii="仿宋" w:hAnsi="仿宋" w:eastAsia="仿宋" w:cs="仿宋"/>
          <w:bCs/>
          <w:color w:val="auto"/>
          <w:szCs w:val="21"/>
          <w:highlight w:val="none"/>
          <w:u w:val="single"/>
        </w:rPr>
        <w:t>月</w:t>
      </w:r>
      <w:r>
        <w:rPr>
          <w:rFonts w:hint="eastAsia" w:ascii="仿宋" w:hAnsi="仿宋" w:cs="仿宋"/>
          <w:bCs/>
          <w:color w:val="auto"/>
          <w:szCs w:val="21"/>
          <w:highlight w:val="none"/>
          <w:u w:val="single"/>
          <w:lang w:val="en-US" w:eastAsia="zh-CN"/>
        </w:rPr>
        <w:t>24</w:t>
      </w:r>
      <w:r>
        <w:rPr>
          <w:rFonts w:hint="eastAsia" w:ascii="仿宋" w:hAnsi="仿宋" w:eastAsia="仿宋" w:cs="仿宋"/>
          <w:bCs/>
          <w:color w:val="auto"/>
          <w:szCs w:val="21"/>
          <w:highlight w:val="none"/>
          <w:u w:val="single"/>
        </w:rPr>
        <w:t>日</w:t>
      </w:r>
      <w:r>
        <w:rPr>
          <w:rFonts w:hint="eastAsia" w:ascii="仿宋" w:hAnsi="仿宋" w:cs="仿宋"/>
          <w:bCs/>
          <w:color w:val="auto"/>
          <w:szCs w:val="21"/>
          <w:highlight w:val="none"/>
          <w:u w:val="single"/>
          <w:lang w:val="en-US" w:eastAsia="zh-CN"/>
        </w:rPr>
        <w:t>09</w:t>
      </w:r>
      <w:r>
        <w:rPr>
          <w:rFonts w:hint="eastAsia" w:ascii="仿宋" w:hAnsi="仿宋" w:eastAsia="仿宋" w:cs="仿宋"/>
          <w:bCs/>
          <w:color w:val="auto"/>
          <w:szCs w:val="21"/>
          <w:highlight w:val="none"/>
          <w:u w:val="single"/>
        </w:rPr>
        <w:t>点</w:t>
      </w:r>
      <w:r>
        <w:rPr>
          <w:rFonts w:hint="eastAsia" w:ascii="仿宋" w:hAnsi="仿宋" w:cs="仿宋"/>
          <w:bCs/>
          <w:color w:val="auto"/>
          <w:szCs w:val="21"/>
          <w:highlight w:val="none"/>
          <w:u w:val="single"/>
          <w:lang w:val="en-US" w:eastAsia="zh-CN"/>
        </w:rPr>
        <w:t>0</w:t>
      </w:r>
      <w:r>
        <w:rPr>
          <w:rFonts w:hint="eastAsia" w:ascii="仿宋" w:hAnsi="仿宋" w:eastAsia="仿宋" w:cs="仿宋"/>
          <w:bCs/>
          <w:color w:val="auto"/>
          <w:szCs w:val="21"/>
          <w:highlight w:val="none"/>
          <w:u w:val="single"/>
          <w:lang w:val="en-US" w:eastAsia="zh-CN"/>
        </w:rPr>
        <w:t>0</w:t>
      </w:r>
      <w:r>
        <w:rPr>
          <w:rFonts w:hint="eastAsia" w:ascii="仿宋" w:hAnsi="仿宋" w:eastAsia="仿宋" w:cs="仿宋"/>
          <w:bCs/>
          <w:color w:val="auto"/>
          <w:szCs w:val="21"/>
          <w:highlight w:val="none"/>
          <w:u w:val="single"/>
        </w:rPr>
        <w:t>分（</w:t>
      </w:r>
      <w:r>
        <w:rPr>
          <w:rFonts w:hint="eastAsia" w:ascii="仿宋" w:hAnsi="仿宋" w:eastAsia="仿宋" w:cs="仿宋"/>
          <w:bCs/>
          <w:color w:val="auto"/>
          <w:szCs w:val="21"/>
          <w:highlight w:val="none"/>
        </w:rPr>
        <w:t>北京时间）前递交投标文件</w:t>
      </w:r>
      <w:r>
        <w:rPr>
          <w:rFonts w:hint="eastAsia" w:ascii="仿宋" w:hAnsi="仿宋" w:eastAsia="仿宋" w:cs="仿宋"/>
          <w:color w:val="auto"/>
          <w:szCs w:val="21"/>
          <w:highlight w:val="none"/>
        </w:rPr>
        <w:t>。</w:t>
      </w:r>
    </w:p>
    <w:p>
      <w:pPr>
        <w:widowControl/>
        <w:adjustRightInd w:val="0"/>
        <w:snapToGrid w:val="0"/>
        <w:spacing w:line="360" w:lineRule="auto"/>
        <w:ind w:firstLine="420" w:firstLineChars="200"/>
        <w:jc w:val="left"/>
        <w:rPr>
          <w:rFonts w:hint="eastAsia" w:ascii="仿宋" w:hAnsi="仿宋" w:eastAsia="仿宋" w:cs="仿宋"/>
          <w:b/>
          <w:bCs/>
          <w:color w:val="auto"/>
          <w:kern w:val="0"/>
          <w:szCs w:val="21"/>
          <w:highlight w:val="none"/>
        </w:rPr>
      </w:pPr>
    </w:p>
    <w:p>
      <w:pPr>
        <w:adjustRightInd w:val="0"/>
        <w:snapToGrid w:val="0"/>
        <w:spacing w:line="360" w:lineRule="auto"/>
        <w:rPr>
          <w:rFonts w:hint="eastAsia" w:ascii="仿宋" w:hAnsi="仿宋" w:eastAsia="仿宋" w:cs="仿宋"/>
          <w:b/>
          <w:bCs/>
          <w:color w:val="auto"/>
          <w:szCs w:val="21"/>
          <w:highlight w:val="none"/>
        </w:rPr>
      </w:pPr>
      <w:bookmarkStart w:id="2" w:name="_Toc28359002"/>
      <w:bookmarkStart w:id="3" w:name="_Toc28359079"/>
      <w:bookmarkStart w:id="4" w:name="_Toc35393790"/>
      <w:bookmarkStart w:id="5" w:name="_Toc35393621"/>
      <w:bookmarkStart w:id="6" w:name="_Hlk24379207"/>
      <w:r>
        <w:rPr>
          <w:rFonts w:hint="eastAsia" w:ascii="仿宋" w:hAnsi="仿宋" w:eastAsia="仿宋" w:cs="仿宋"/>
          <w:b/>
          <w:bCs/>
          <w:color w:val="auto"/>
          <w:szCs w:val="21"/>
          <w:highlight w:val="none"/>
        </w:rPr>
        <w:t>一、项目基本情况</w:t>
      </w:r>
      <w:bookmarkEnd w:id="2"/>
      <w:bookmarkEnd w:id="3"/>
      <w:bookmarkEnd w:id="4"/>
      <w:bookmarkEnd w:id="5"/>
    </w:p>
    <w:p>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项目编号：JH24-210000-18371</w:t>
      </w:r>
    </w:p>
    <w:bookmarkEnd w:id="6"/>
    <w:p>
      <w:pPr>
        <w:adjustRightInd w:val="0"/>
        <w:snapToGrid w:val="0"/>
        <w:spacing w:line="360" w:lineRule="auto"/>
        <w:ind w:firstLine="420" w:firstLineChars="200"/>
        <w:rPr>
          <w:rFonts w:hint="eastAsia" w:ascii="仿宋" w:hAnsi="仿宋" w:eastAsia="仿宋" w:cs="仿宋"/>
          <w:color w:val="auto"/>
          <w:szCs w:val="21"/>
          <w:highlight w:val="none"/>
          <w:lang w:eastAsia="zh-CN"/>
        </w:rPr>
      </w:pPr>
      <w:bookmarkStart w:id="7" w:name="_Toc28359080"/>
      <w:bookmarkStart w:id="8" w:name="_Toc35393622"/>
      <w:bookmarkStart w:id="9" w:name="_Toc35393791"/>
      <w:bookmarkStart w:id="10" w:name="_Toc28359003"/>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lang w:eastAsia="zh-CN"/>
        </w:rPr>
        <w:t>辽宁省检验检测认证中心器检院购置组织脱水机等3台套设备</w:t>
      </w:r>
    </w:p>
    <w:p>
      <w:pPr>
        <w:adjustRightInd w:val="0"/>
        <w:snapToGrid w:val="0"/>
        <w:spacing w:line="360" w:lineRule="auto"/>
        <w:ind w:firstLine="420" w:firstLineChars="200"/>
        <w:rPr>
          <w:rFonts w:hint="eastAsia" w:ascii="仿宋" w:hAnsi="仿宋" w:eastAsia="仿宋" w:cs="仿宋"/>
          <w:b w:val="0"/>
          <w:bCs/>
          <w:color w:val="auto"/>
          <w:szCs w:val="21"/>
          <w:highlight w:val="none"/>
        </w:rPr>
      </w:pPr>
      <w:r>
        <w:rPr>
          <w:rFonts w:hint="eastAsia" w:ascii="仿宋" w:hAnsi="仿宋" w:eastAsia="仿宋" w:cs="仿宋"/>
          <w:b w:val="0"/>
          <w:bCs/>
          <w:color w:val="auto"/>
          <w:szCs w:val="21"/>
          <w:highlight w:val="none"/>
        </w:rPr>
        <w:t>包组编号：001</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预算金额：人民币</w:t>
      </w:r>
      <w:r>
        <w:rPr>
          <w:rFonts w:hint="eastAsia" w:ascii="仿宋" w:hAnsi="仿宋" w:eastAsia="仿宋" w:cs="仿宋"/>
          <w:color w:val="auto"/>
          <w:szCs w:val="21"/>
          <w:highlight w:val="none"/>
          <w:lang w:eastAsia="zh-CN"/>
        </w:rPr>
        <w:t>910,000.00</w:t>
      </w:r>
      <w:r>
        <w:rPr>
          <w:rFonts w:hint="eastAsia" w:ascii="仿宋" w:hAnsi="仿宋" w:eastAsia="仿宋" w:cs="仿宋"/>
          <w:color w:val="auto"/>
          <w:szCs w:val="21"/>
          <w:highlight w:val="none"/>
        </w:rPr>
        <w:t>元</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最高限价：人民币</w:t>
      </w:r>
      <w:r>
        <w:rPr>
          <w:rFonts w:hint="eastAsia" w:ascii="仿宋" w:hAnsi="仿宋" w:eastAsia="仿宋" w:cs="仿宋"/>
          <w:color w:val="auto"/>
          <w:szCs w:val="21"/>
          <w:highlight w:val="none"/>
          <w:lang w:eastAsia="zh-CN"/>
        </w:rPr>
        <w:t>910,000.00</w:t>
      </w:r>
      <w:r>
        <w:rPr>
          <w:rFonts w:hint="eastAsia" w:ascii="仿宋" w:hAnsi="仿宋" w:eastAsia="仿宋" w:cs="仿宋"/>
          <w:color w:val="auto"/>
          <w:szCs w:val="21"/>
          <w:highlight w:val="none"/>
        </w:rPr>
        <w:t>元</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采购需求：查看</w:t>
      </w:r>
    </w:p>
    <w:p>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合同履行期限：</w:t>
      </w:r>
      <w:r>
        <w:rPr>
          <w:rFonts w:hint="eastAsia" w:ascii="仿宋" w:hAnsi="仿宋" w:cs="仿宋"/>
          <w:color w:val="auto"/>
          <w:szCs w:val="21"/>
          <w:highlight w:val="none"/>
          <w:lang w:eastAsia="zh-CN"/>
        </w:rPr>
        <w:t>合同签订后3个月内</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需落实的政府采购政策内容：小微企业（含监狱企业）、残疾人就业政府采购政策、节能产品、环境标志产品、聘用建档立卡贫困人员物业公司相关规定</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w:t>
      </w:r>
      <w:r>
        <w:rPr>
          <w:rFonts w:hint="eastAsia" w:ascii="仿宋" w:hAnsi="仿宋" w:eastAsia="仿宋" w:cs="仿宋"/>
          <w:i/>
          <w:color w:val="auto"/>
          <w:szCs w:val="21"/>
          <w:highlight w:val="none"/>
        </w:rPr>
        <w:t>否</w:t>
      </w:r>
      <w:r>
        <w:rPr>
          <w:rFonts w:hint="eastAsia" w:ascii="仿宋" w:hAnsi="仿宋" w:eastAsia="仿宋" w:cs="仿宋"/>
          <w:color w:val="auto"/>
          <w:szCs w:val="21"/>
          <w:highlight w:val="none"/>
        </w:rPr>
        <w:t>）接受联合体投标。</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二、供应商的资格要求：</w:t>
      </w:r>
      <w:bookmarkEnd w:id="7"/>
      <w:bookmarkEnd w:id="8"/>
      <w:bookmarkEnd w:id="9"/>
      <w:bookmarkEnd w:id="10"/>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1.满足《中华人民共和国政府采购法》第二十二条规定；</w:t>
      </w:r>
    </w:p>
    <w:p>
      <w:pPr>
        <w:adjustRightInd w:val="0"/>
        <w:snapToGrid w:val="0"/>
        <w:spacing w:line="360" w:lineRule="auto"/>
        <w:ind w:firstLine="420" w:firstLineChars="200"/>
        <w:rPr>
          <w:rFonts w:hint="eastAsia" w:ascii="仿宋" w:hAnsi="仿宋" w:eastAsia="仿宋" w:cs="仿宋"/>
          <w:bCs/>
          <w:color w:val="auto"/>
          <w:szCs w:val="21"/>
          <w:highlight w:val="none"/>
        </w:rPr>
      </w:pPr>
      <w:bookmarkStart w:id="11" w:name="_Toc28359081"/>
      <w:bookmarkStart w:id="12" w:name="_Toc28359004"/>
      <w:r>
        <w:rPr>
          <w:rFonts w:hint="eastAsia" w:ascii="仿宋" w:hAnsi="仿宋" w:eastAsia="仿宋" w:cs="仿宋"/>
          <w:bCs/>
          <w:color w:val="auto"/>
          <w:szCs w:val="21"/>
          <w:highlight w:val="none"/>
        </w:rPr>
        <w:t>2.落实政府采购政策需满足的资格要求：</w:t>
      </w:r>
      <w:r>
        <w:rPr>
          <w:rFonts w:hint="eastAsia" w:ascii="仿宋" w:hAnsi="仿宋" w:eastAsia="仿宋" w:cs="仿宋"/>
          <w:bCs/>
          <w:color w:val="auto"/>
          <w:szCs w:val="21"/>
          <w:highlight w:val="none"/>
          <w:lang w:eastAsia="zh-CN"/>
        </w:rPr>
        <w:t>本项目非专门面向中小企业采购，符合《政府采购促进中小企业发展管理办法》（财库〔2020〕46号）第六条第（三）款“按照本办法规定预留采购份额无法确保充分供应、充分竞争，或者存在可能影响政府采购目标实现的情形”。</w:t>
      </w:r>
    </w:p>
    <w:p>
      <w:pPr>
        <w:adjustRightInd w:val="0"/>
        <w:snapToGrid w:val="0"/>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3.本项目的特定资格要求：</w:t>
      </w:r>
      <w:r>
        <w:rPr>
          <w:rFonts w:hint="eastAsia" w:ascii="仿宋" w:hAnsi="仿宋" w:eastAsia="仿宋" w:cs="仿宋"/>
          <w:color w:val="auto"/>
          <w:szCs w:val="21"/>
          <w:highlight w:val="none"/>
          <w:lang w:val="en-US" w:eastAsia="zh-CN"/>
        </w:rPr>
        <w:t>无</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三、政府采购供应商入库须知</w:t>
      </w:r>
    </w:p>
    <w:p>
      <w:pPr>
        <w:adjustRightInd w:val="0"/>
        <w:snapToGrid w:val="0"/>
        <w:spacing w:line="360" w:lineRule="auto"/>
        <w:ind w:firstLine="420" w:firstLineChars="200"/>
        <w:rPr>
          <w:rFonts w:hint="eastAsia" w:ascii="仿宋" w:hAnsi="仿宋" w:eastAsia="仿宋" w:cs="仿宋"/>
          <w:color w:val="auto"/>
          <w:szCs w:val="21"/>
          <w:highlight w:val="none"/>
        </w:rPr>
      </w:pPr>
      <w:bookmarkStart w:id="13" w:name="_Toc35393623"/>
      <w:bookmarkStart w:id="14" w:name="_Toc35393792"/>
      <w:r>
        <w:rPr>
          <w:rFonts w:hint="eastAsia" w:ascii="仿宋" w:hAnsi="仿宋" w:eastAsia="仿宋" w:cs="仿宋"/>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四、获取招标文件</w:t>
      </w:r>
      <w:bookmarkEnd w:id="11"/>
      <w:bookmarkEnd w:id="12"/>
      <w:bookmarkEnd w:id="13"/>
      <w:bookmarkEnd w:id="14"/>
    </w:p>
    <w:p>
      <w:pPr>
        <w:adjustRightInd w:val="0"/>
        <w:snapToGrid w:val="0"/>
        <w:spacing w:line="360" w:lineRule="auto"/>
        <w:ind w:firstLine="54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时间：</w:t>
      </w:r>
      <w:r>
        <w:rPr>
          <w:rFonts w:hint="eastAsia" w:ascii="仿宋" w:hAnsi="仿宋" w:eastAsia="仿宋" w:cs="仿宋"/>
          <w:color w:val="auto"/>
          <w:szCs w:val="21"/>
          <w:highlight w:val="none"/>
          <w:u w:val="single"/>
        </w:rPr>
        <w:t>202</w:t>
      </w:r>
      <w:r>
        <w:rPr>
          <w:rFonts w:hint="eastAsia" w:ascii="仿宋" w:hAnsi="仿宋" w:eastAsia="仿宋" w:cs="仿宋"/>
          <w:color w:val="auto"/>
          <w:szCs w:val="21"/>
          <w:highlight w:val="none"/>
          <w:u w:val="single"/>
          <w:lang w:val="en-US" w:eastAsia="zh-CN"/>
        </w:rPr>
        <w:t>4</w:t>
      </w:r>
      <w:r>
        <w:rPr>
          <w:rFonts w:hint="eastAsia" w:ascii="仿宋" w:hAnsi="仿宋" w:eastAsia="仿宋" w:cs="仿宋"/>
          <w:color w:val="auto"/>
          <w:szCs w:val="21"/>
          <w:highlight w:val="none"/>
          <w:u w:val="single"/>
        </w:rPr>
        <w:t>年</w:t>
      </w:r>
      <w:r>
        <w:rPr>
          <w:rFonts w:hint="eastAsia" w:ascii="仿宋" w:hAnsi="仿宋" w:cs="仿宋"/>
          <w:color w:val="auto"/>
          <w:szCs w:val="21"/>
          <w:highlight w:val="none"/>
          <w:u w:val="single"/>
          <w:lang w:val="en-US" w:eastAsia="zh-CN"/>
        </w:rPr>
        <w:t>6</w:t>
      </w:r>
      <w:r>
        <w:rPr>
          <w:rFonts w:hint="eastAsia" w:ascii="仿宋" w:hAnsi="仿宋" w:eastAsia="仿宋" w:cs="仿宋"/>
          <w:color w:val="auto"/>
          <w:szCs w:val="21"/>
          <w:highlight w:val="none"/>
          <w:u w:val="single"/>
        </w:rPr>
        <w:t>月</w:t>
      </w:r>
      <w:r>
        <w:rPr>
          <w:rFonts w:hint="eastAsia" w:ascii="仿宋" w:hAnsi="仿宋" w:cs="仿宋"/>
          <w:color w:val="auto"/>
          <w:szCs w:val="21"/>
          <w:highlight w:val="none"/>
          <w:u w:val="single"/>
          <w:lang w:val="en-US" w:eastAsia="zh-CN"/>
        </w:rPr>
        <w:t>3</w:t>
      </w:r>
      <w:r>
        <w:rPr>
          <w:rFonts w:hint="eastAsia" w:ascii="仿宋" w:hAnsi="仿宋" w:eastAsia="仿宋" w:cs="仿宋"/>
          <w:color w:val="auto"/>
          <w:szCs w:val="21"/>
          <w:highlight w:val="none"/>
          <w:u w:val="single"/>
        </w:rPr>
        <w:t>日00：00</w:t>
      </w:r>
      <w:r>
        <w:rPr>
          <w:rFonts w:hint="eastAsia" w:ascii="仿宋" w:hAnsi="仿宋" w:eastAsia="仿宋" w:cs="仿宋"/>
          <w:color w:val="auto"/>
          <w:szCs w:val="21"/>
          <w:highlight w:val="none"/>
        </w:rPr>
        <w:t>至</w:t>
      </w:r>
      <w:r>
        <w:rPr>
          <w:rFonts w:hint="eastAsia" w:ascii="仿宋" w:hAnsi="仿宋" w:eastAsia="仿宋" w:cs="仿宋"/>
          <w:color w:val="auto"/>
          <w:szCs w:val="21"/>
          <w:highlight w:val="none"/>
          <w:u w:val="single"/>
        </w:rPr>
        <w:t>202</w:t>
      </w:r>
      <w:r>
        <w:rPr>
          <w:rFonts w:hint="eastAsia" w:ascii="仿宋" w:hAnsi="仿宋" w:eastAsia="仿宋" w:cs="仿宋"/>
          <w:color w:val="auto"/>
          <w:szCs w:val="21"/>
          <w:highlight w:val="none"/>
          <w:u w:val="single"/>
          <w:lang w:val="en-US" w:eastAsia="zh-CN"/>
        </w:rPr>
        <w:t>4</w:t>
      </w:r>
      <w:r>
        <w:rPr>
          <w:rFonts w:hint="eastAsia" w:ascii="仿宋" w:hAnsi="仿宋" w:eastAsia="仿宋" w:cs="仿宋"/>
          <w:color w:val="auto"/>
          <w:szCs w:val="21"/>
          <w:highlight w:val="none"/>
          <w:u w:val="single"/>
        </w:rPr>
        <w:t>年</w:t>
      </w:r>
      <w:r>
        <w:rPr>
          <w:rFonts w:hint="eastAsia" w:ascii="仿宋" w:hAnsi="仿宋" w:cs="仿宋"/>
          <w:color w:val="auto"/>
          <w:szCs w:val="21"/>
          <w:highlight w:val="none"/>
          <w:u w:val="single"/>
          <w:lang w:val="en-US" w:eastAsia="zh-CN"/>
        </w:rPr>
        <w:t>6</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月</w:t>
      </w:r>
      <w:r>
        <w:rPr>
          <w:rFonts w:hint="eastAsia" w:ascii="仿宋" w:hAnsi="仿宋" w:cs="仿宋"/>
          <w:color w:val="auto"/>
          <w:szCs w:val="21"/>
          <w:highlight w:val="none"/>
          <w:u w:val="single"/>
          <w:lang w:val="en-US" w:eastAsia="zh-CN"/>
        </w:rPr>
        <w:t>12</w:t>
      </w:r>
      <w:r>
        <w:rPr>
          <w:rFonts w:hint="eastAsia" w:ascii="仿宋" w:hAnsi="仿宋" w:eastAsia="仿宋" w:cs="仿宋"/>
          <w:color w:val="auto"/>
          <w:szCs w:val="21"/>
          <w:highlight w:val="none"/>
          <w:u w:val="single"/>
        </w:rPr>
        <w:t>日00：00</w:t>
      </w:r>
      <w:r>
        <w:rPr>
          <w:rFonts w:hint="eastAsia" w:ascii="仿宋" w:hAnsi="仿宋" w:eastAsia="仿宋" w:cs="仿宋"/>
          <w:color w:val="auto"/>
          <w:szCs w:val="21"/>
          <w:highlight w:val="none"/>
        </w:rPr>
        <w:t>（北京时间，法定节假日除外）</w:t>
      </w:r>
    </w:p>
    <w:p>
      <w:pPr>
        <w:adjustRightInd w:val="0"/>
        <w:snapToGrid w:val="0"/>
        <w:spacing w:line="360" w:lineRule="auto"/>
        <w:ind w:firstLine="540"/>
        <w:rPr>
          <w:rFonts w:hint="eastAsia" w:ascii="仿宋" w:hAnsi="仿宋" w:eastAsia="仿宋" w:cs="仿宋"/>
          <w:color w:val="auto"/>
          <w:szCs w:val="21"/>
          <w:highlight w:val="none"/>
          <w:u w:val="single"/>
          <w:lang w:eastAsia="zh-CN"/>
        </w:rPr>
      </w:pPr>
      <w:r>
        <w:rPr>
          <w:rFonts w:hint="eastAsia" w:ascii="仿宋" w:hAnsi="仿宋" w:eastAsia="仿宋" w:cs="仿宋"/>
          <w:color w:val="auto"/>
          <w:szCs w:val="21"/>
          <w:highlight w:val="none"/>
        </w:rPr>
        <w:t>地点：</w:t>
      </w:r>
      <w:r>
        <w:rPr>
          <w:rFonts w:hint="eastAsia" w:ascii="仿宋" w:hAnsi="仿宋" w:eastAsia="仿宋" w:cs="仿宋"/>
          <w:color w:val="auto"/>
          <w:szCs w:val="21"/>
          <w:highlight w:val="none"/>
          <w:lang w:eastAsia="zh-CN"/>
        </w:rPr>
        <w:t>线上获取</w:t>
      </w:r>
    </w:p>
    <w:p>
      <w:pPr>
        <w:adjustRightInd w:val="0"/>
        <w:snapToGrid w:val="0"/>
        <w:spacing w:line="360" w:lineRule="auto"/>
        <w:ind w:firstLine="540"/>
        <w:rPr>
          <w:rFonts w:hint="eastAsia" w:ascii="仿宋" w:hAnsi="仿宋" w:eastAsia="仿宋" w:cs="仿宋"/>
          <w:color w:val="auto"/>
          <w:szCs w:val="21"/>
          <w:highlight w:val="none"/>
          <w:u w:val="single"/>
          <w:lang w:eastAsia="zh-CN"/>
        </w:rPr>
      </w:pPr>
      <w:r>
        <w:rPr>
          <w:rFonts w:hint="eastAsia" w:ascii="仿宋" w:hAnsi="仿宋" w:eastAsia="仿宋" w:cs="仿宋"/>
          <w:color w:val="auto"/>
          <w:szCs w:val="21"/>
          <w:highlight w:val="none"/>
        </w:rPr>
        <w:t>方式：</w:t>
      </w:r>
      <w:r>
        <w:rPr>
          <w:rFonts w:hint="eastAsia" w:ascii="仿宋" w:hAnsi="仿宋" w:eastAsia="仿宋" w:cs="仿宋"/>
          <w:color w:val="auto"/>
          <w:szCs w:val="21"/>
          <w:highlight w:val="none"/>
          <w:lang w:eastAsia="zh-CN"/>
        </w:rPr>
        <w:t>线上</w:t>
      </w:r>
    </w:p>
    <w:p>
      <w:pPr>
        <w:adjustRightInd w:val="0"/>
        <w:snapToGrid w:val="0"/>
        <w:spacing w:line="360" w:lineRule="auto"/>
        <w:ind w:firstLine="540"/>
        <w:rPr>
          <w:rFonts w:hint="eastAsia" w:ascii="仿宋" w:hAnsi="仿宋" w:eastAsia="仿宋" w:cs="仿宋"/>
          <w:color w:val="auto"/>
          <w:szCs w:val="21"/>
          <w:highlight w:val="none"/>
        </w:rPr>
      </w:pPr>
      <w:r>
        <w:rPr>
          <w:rFonts w:hint="eastAsia" w:ascii="仿宋" w:hAnsi="仿宋" w:eastAsia="仿宋" w:cs="仿宋"/>
          <w:color w:val="auto"/>
          <w:szCs w:val="21"/>
          <w:highlight w:val="none"/>
        </w:rPr>
        <w:t>售价：免费</w:t>
      </w:r>
    </w:p>
    <w:p>
      <w:pPr>
        <w:adjustRightInd w:val="0"/>
        <w:snapToGrid w:val="0"/>
        <w:spacing w:line="360" w:lineRule="auto"/>
        <w:rPr>
          <w:rFonts w:hint="eastAsia" w:ascii="仿宋" w:hAnsi="仿宋" w:eastAsia="仿宋" w:cs="仿宋"/>
          <w:b/>
          <w:bCs/>
          <w:color w:val="auto"/>
          <w:szCs w:val="21"/>
          <w:highlight w:val="none"/>
        </w:rPr>
      </w:pPr>
      <w:bookmarkStart w:id="15" w:name="_Toc28359082"/>
      <w:bookmarkStart w:id="16" w:name="_Toc28359005"/>
      <w:bookmarkStart w:id="17" w:name="_Toc35393793"/>
      <w:bookmarkStart w:id="18" w:name="_Toc35393624"/>
      <w:r>
        <w:rPr>
          <w:rFonts w:hint="eastAsia" w:ascii="仿宋" w:hAnsi="仿宋" w:eastAsia="仿宋" w:cs="仿宋"/>
          <w:b/>
          <w:bCs/>
          <w:color w:val="auto"/>
          <w:szCs w:val="21"/>
          <w:highlight w:val="none"/>
        </w:rPr>
        <w:t>五、提交投标文件</w:t>
      </w:r>
      <w:bookmarkEnd w:id="15"/>
      <w:bookmarkEnd w:id="16"/>
      <w:r>
        <w:rPr>
          <w:rFonts w:hint="eastAsia" w:ascii="仿宋" w:hAnsi="仿宋" w:eastAsia="仿宋" w:cs="仿宋"/>
          <w:b/>
          <w:bCs/>
          <w:color w:val="auto"/>
          <w:szCs w:val="21"/>
          <w:highlight w:val="none"/>
        </w:rPr>
        <w:t>截止时间、开标时间和地点</w:t>
      </w:r>
      <w:bookmarkEnd w:id="17"/>
      <w:bookmarkEnd w:id="18"/>
    </w:p>
    <w:p>
      <w:pPr>
        <w:adjustRightInd w:val="0"/>
        <w:snapToGrid w:val="0"/>
        <w:spacing w:line="360" w:lineRule="auto"/>
        <w:ind w:firstLine="420" w:firstLineChars="200"/>
        <w:rPr>
          <w:rFonts w:hint="eastAsia" w:ascii="仿宋" w:hAnsi="仿宋" w:eastAsia="仿宋" w:cs="仿宋"/>
          <w:iCs/>
          <w:color w:val="auto"/>
          <w:szCs w:val="21"/>
          <w:highlight w:val="none"/>
          <w:u w:val="single"/>
        </w:rPr>
      </w:pPr>
      <w:r>
        <w:rPr>
          <w:rFonts w:hint="eastAsia" w:ascii="仿宋" w:hAnsi="仿宋" w:eastAsia="仿宋" w:cs="仿宋"/>
          <w:bCs/>
          <w:color w:val="auto"/>
          <w:szCs w:val="21"/>
          <w:highlight w:val="none"/>
        </w:rPr>
        <w:t>时间：</w:t>
      </w:r>
      <w:r>
        <w:rPr>
          <w:rFonts w:hint="eastAsia" w:ascii="仿宋" w:hAnsi="仿宋" w:eastAsia="仿宋" w:cs="仿宋"/>
          <w:bCs/>
          <w:color w:val="auto"/>
          <w:szCs w:val="21"/>
          <w:highlight w:val="none"/>
          <w:u w:val="single"/>
        </w:rPr>
        <w:t>202</w:t>
      </w:r>
      <w:r>
        <w:rPr>
          <w:rFonts w:hint="eastAsia" w:ascii="仿宋" w:hAnsi="仿宋" w:eastAsia="仿宋" w:cs="仿宋"/>
          <w:bCs/>
          <w:color w:val="auto"/>
          <w:szCs w:val="21"/>
          <w:highlight w:val="none"/>
          <w:u w:val="single"/>
          <w:lang w:val="en-US" w:eastAsia="zh-CN"/>
        </w:rPr>
        <w:t>4</w:t>
      </w:r>
      <w:r>
        <w:rPr>
          <w:rFonts w:hint="eastAsia" w:ascii="仿宋" w:hAnsi="仿宋" w:eastAsia="仿宋" w:cs="仿宋"/>
          <w:bCs/>
          <w:color w:val="auto"/>
          <w:szCs w:val="21"/>
          <w:highlight w:val="none"/>
          <w:u w:val="single"/>
        </w:rPr>
        <w:t>年</w:t>
      </w:r>
      <w:r>
        <w:rPr>
          <w:rFonts w:hint="eastAsia" w:ascii="仿宋" w:hAnsi="仿宋" w:cs="仿宋"/>
          <w:bCs/>
          <w:color w:val="auto"/>
          <w:szCs w:val="21"/>
          <w:highlight w:val="none"/>
          <w:u w:val="single"/>
          <w:lang w:val="en-US" w:eastAsia="zh-CN"/>
        </w:rPr>
        <w:t>6</w:t>
      </w:r>
      <w:r>
        <w:rPr>
          <w:rFonts w:hint="eastAsia" w:ascii="仿宋" w:hAnsi="仿宋" w:eastAsia="仿宋" w:cs="仿宋"/>
          <w:bCs/>
          <w:color w:val="auto"/>
          <w:szCs w:val="21"/>
          <w:highlight w:val="none"/>
          <w:u w:val="single"/>
        </w:rPr>
        <w:t>月</w:t>
      </w:r>
      <w:r>
        <w:rPr>
          <w:rFonts w:hint="eastAsia" w:ascii="仿宋" w:hAnsi="仿宋" w:cs="仿宋"/>
          <w:bCs/>
          <w:color w:val="auto"/>
          <w:szCs w:val="21"/>
          <w:highlight w:val="none"/>
          <w:u w:val="single"/>
          <w:lang w:val="en-US" w:eastAsia="zh-CN"/>
        </w:rPr>
        <w:t>24</w:t>
      </w:r>
      <w:r>
        <w:rPr>
          <w:rFonts w:hint="eastAsia" w:ascii="仿宋" w:hAnsi="仿宋" w:eastAsia="仿宋" w:cs="仿宋"/>
          <w:bCs/>
          <w:color w:val="auto"/>
          <w:szCs w:val="21"/>
          <w:highlight w:val="none"/>
          <w:u w:val="single"/>
        </w:rPr>
        <w:t>日</w:t>
      </w:r>
      <w:r>
        <w:rPr>
          <w:rFonts w:hint="eastAsia" w:ascii="仿宋" w:hAnsi="仿宋" w:cs="仿宋"/>
          <w:bCs/>
          <w:color w:val="auto"/>
          <w:szCs w:val="21"/>
          <w:highlight w:val="none"/>
          <w:u w:val="single"/>
          <w:lang w:val="en-US" w:eastAsia="zh-CN"/>
        </w:rPr>
        <w:t>09</w:t>
      </w:r>
      <w:r>
        <w:rPr>
          <w:rFonts w:hint="eastAsia" w:ascii="仿宋" w:hAnsi="仿宋" w:eastAsia="仿宋" w:cs="仿宋"/>
          <w:bCs/>
          <w:color w:val="auto"/>
          <w:szCs w:val="21"/>
          <w:highlight w:val="none"/>
          <w:u w:val="single"/>
        </w:rPr>
        <w:t>点</w:t>
      </w:r>
      <w:r>
        <w:rPr>
          <w:rFonts w:hint="eastAsia" w:ascii="仿宋" w:hAnsi="仿宋" w:cs="仿宋"/>
          <w:bCs/>
          <w:color w:val="auto"/>
          <w:szCs w:val="21"/>
          <w:highlight w:val="none"/>
          <w:u w:val="single"/>
          <w:lang w:val="en-US" w:eastAsia="zh-CN"/>
        </w:rPr>
        <w:t>0</w:t>
      </w:r>
      <w:r>
        <w:rPr>
          <w:rFonts w:hint="eastAsia" w:ascii="仿宋" w:hAnsi="仿宋" w:eastAsia="仿宋" w:cs="仿宋"/>
          <w:bCs/>
          <w:color w:val="auto"/>
          <w:szCs w:val="21"/>
          <w:highlight w:val="none"/>
          <w:u w:val="single"/>
          <w:lang w:val="en-US" w:eastAsia="zh-CN"/>
        </w:rPr>
        <w:t>0</w:t>
      </w:r>
      <w:r>
        <w:rPr>
          <w:rFonts w:hint="eastAsia" w:ascii="仿宋" w:hAnsi="仿宋" w:eastAsia="仿宋" w:cs="仿宋"/>
          <w:bCs/>
          <w:color w:val="auto"/>
          <w:szCs w:val="21"/>
          <w:highlight w:val="none"/>
          <w:u w:val="single"/>
        </w:rPr>
        <w:t>分（</w:t>
      </w:r>
      <w:r>
        <w:rPr>
          <w:rFonts w:hint="eastAsia" w:ascii="仿宋" w:hAnsi="仿宋" w:eastAsia="仿宋" w:cs="仿宋"/>
          <w:bCs/>
          <w:color w:val="auto"/>
          <w:szCs w:val="21"/>
          <w:highlight w:val="none"/>
        </w:rPr>
        <w:t>（北京时间）</w:t>
      </w:r>
    </w:p>
    <w:p>
      <w:pPr>
        <w:adjustRightInd w:val="0"/>
        <w:snapToGrid w:val="0"/>
        <w:spacing w:line="360" w:lineRule="auto"/>
        <w:ind w:firstLine="420" w:firstLineChars="200"/>
        <w:rPr>
          <w:rFonts w:hint="eastAsia" w:ascii="仿宋" w:hAnsi="仿宋" w:eastAsia="仿宋" w:cs="仿宋"/>
          <w:iCs/>
          <w:color w:val="auto"/>
          <w:szCs w:val="21"/>
          <w:highlight w:val="none"/>
          <w:u w:val="single"/>
        </w:rPr>
      </w:pPr>
      <w:r>
        <w:rPr>
          <w:rFonts w:hint="eastAsia" w:ascii="仿宋" w:hAnsi="仿宋" w:eastAsia="仿宋" w:cs="仿宋"/>
          <w:color w:val="auto"/>
          <w:szCs w:val="21"/>
          <w:highlight w:val="none"/>
        </w:rPr>
        <w:t>地点：正本电子文件提交至辽宁政府采购网，电子备份文件提交至辽宁浩亿招投标有限公司会议室（沈阳市皇姑区同江街11-1号3门，天山一校对面即是）</w:t>
      </w:r>
      <w:r>
        <w:rPr>
          <w:rStyle w:val="83"/>
          <w:rFonts w:hint="eastAsia" w:ascii="仿宋" w:hAnsi="仿宋" w:eastAsia="仿宋" w:cs="仿宋"/>
          <w:color w:val="auto"/>
          <w:szCs w:val="21"/>
          <w:highlight w:val="none"/>
        </w:rPr>
        <w:t>或以加密文件形式发至邮箱syhygs@163.com</w:t>
      </w:r>
    </w:p>
    <w:p>
      <w:pPr>
        <w:adjustRightInd w:val="0"/>
        <w:snapToGrid w:val="0"/>
        <w:spacing w:line="360" w:lineRule="auto"/>
        <w:rPr>
          <w:rFonts w:hint="eastAsia" w:ascii="仿宋" w:hAnsi="仿宋" w:eastAsia="仿宋" w:cs="仿宋"/>
          <w:b/>
          <w:bCs/>
          <w:color w:val="auto"/>
          <w:szCs w:val="21"/>
          <w:highlight w:val="none"/>
        </w:rPr>
      </w:pPr>
      <w:bookmarkStart w:id="19" w:name="_Toc28359007"/>
      <w:bookmarkStart w:id="20" w:name="_Toc35393794"/>
      <w:bookmarkStart w:id="21" w:name="_Toc28359084"/>
      <w:bookmarkStart w:id="22" w:name="_Toc35393625"/>
      <w:r>
        <w:rPr>
          <w:rFonts w:hint="eastAsia" w:ascii="仿宋" w:hAnsi="仿宋" w:eastAsia="仿宋" w:cs="仿宋"/>
          <w:b/>
          <w:bCs/>
          <w:color w:val="auto"/>
          <w:szCs w:val="21"/>
          <w:highlight w:val="none"/>
        </w:rPr>
        <w:t>六、公告期限</w:t>
      </w:r>
      <w:bookmarkEnd w:id="19"/>
      <w:bookmarkEnd w:id="20"/>
      <w:bookmarkEnd w:id="21"/>
      <w:bookmarkEnd w:id="22"/>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自本公告发布之日起</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个工作日。</w:t>
      </w:r>
    </w:p>
    <w:p>
      <w:pPr>
        <w:keepNext/>
        <w:keepLines/>
        <w:adjustRightInd w:val="0"/>
        <w:snapToGrid w:val="0"/>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七、质疑与投诉</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1、接收质疑函方式：</w:t>
      </w:r>
      <w:r>
        <w:rPr>
          <w:rFonts w:hint="eastAsia" w:ascii="仿宋" w:hAnsi="仿宋" w:eastAsia="仿宋" w:cs="仿宋"/>
          <w:color w:val="auto"/>
          <w:szCs w:val="21"/>
          <w:highlight w:val="none"/>
          <w:lang w:eastAsia="zh-CN"/>
        </w:rPr>
        <w:t>线上或</w:t>
      </w:r>
      <w:r>
        <w:rPr>
          <w:rFonts w:hint="eastAsia" w:ascii="仿宋" w:hAnsi="仿宋" w:eastAsia="仿宋" w:cs="仿宋"/>
          <w:color w:val="auto"/>
          <w:szCs w:val="21"/>
          <w:highlight w:val="none"/>
        </w:rPr>
        <w:t>书面纸质质疑函</w:t>
      </w:r>
    </w:p>
    <w:p>
      <w:pPr>
        <w:widowControl/>
        <w:adjustRightInd w:val="0"/>
        <w:snapToGrid w:val="0"/>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2、质疑函内容、格式：应符合《政府采购质疑和投诉办法》相关规定和财政部制定的《政府采购质疑函范本》格式，详见辽宁政府采购网。</w:t>
      </w:r>
    </w:p>
    <w:p>
      <w:pPr>
        <w:widowControl/>
        <w:adjustRightInd w:val="0"/>
        <w:snapToGrid w:val="0"/>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质疑供应商对采购人、采购代理机构的答复不满意，或者采购人、采购代理机构未在规定时间内作出答复的，可以在答复期满后15个工作日内向本级财政部门提起投诉。</w:t>
      </w:r>
    </w:p>
    <w:p>
      <w:pPr>
        <w:adjustRightInd w:val="0"/>
        <w:snapToGrid w:val="0"/>
        <w:spacing w:line="360" w:lineRule="auto"/>
        <w:rPr>
          <w:rFonts w:hint="eastAsia" w:ascii="仿宋" w:hAnsi="仿宋" w:eastAsia="仿宋" w:cs="仿宋"/>
          <w:b/>
          <w:color w:val="auto"/>
          <w:szCs w:val="21"/>
          <w:highlight w:val="none"/>
        </w:rPr>
      </w:pPr>
      <w:bookmarkStart w:id="23" w:name="_Toc35393626"/>
      <w:bookmarkStart w:id="24" w:name="_Toc35393795"/>
      <w:r>
        <w:rPr>
          <w:rFonts w:hint="eastAsia" w:ascii="仿宋" w:hAnsi="仿宋" w:eastAsia="仿宋" w:cs="仿宋"/>
          <w:b/>
          <w:color w:val="auto"/>
          <w:szCs w:val="21"/>
          <w:highlight w:val="none"/>
        </w:rPr>
        <w:t>八、其他补充事宜</w:t>
      </w:r>
      <w:bookmarkEnd w:id="23"/>
      <w:bookmarkEnd w:id="24"/>
    </w:p>
    <w:p>
      <w:pPr>
        <w:pStyle w:val="62"/>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本项目采用全流程电子招投标，供应商应按要求网上领取采购文件，及时办理CA锁，并上传电子投标文件，并保证与递交的电子备份文件一致，否则后果自负。</w:t>
      </w:r>
    </w:p>
    <w:p>
      <w:pPr>
        <w:adjustRightInd w:val="0"/>
        <w:snapToGrid w:val="0"/>
        <w:spacing w:line="360" w:lineRule="auto"/>
        <w:rPr>
          <w:rFonts w:hint="eastAsia" w:ascii="仿宋" w:hAnsi="仿宋" w:eastAsia="仿宋" w:cs="仿宋"/>
          <w:b/>
          <w:color w:val="auto"/>
          <w:szCs w:val="21"/>
          <w:highlight w:val="none"/>
        </w:rPr>
      </w:pPr>
      <w:bookmarkStart w:id="25" w:name="_Toc35393627"/>
      <w:bookmarkStart w:id="26" w:name="_Toc28359085"/>
      <w:bookmarkStart w:id="27" w:name="_Toc35393796"/>
      <w:bookmarkStart w:id="28" w:name="_Toc28359008"/>
      <w:r>
        <w:rPr>
          <w:rFonts w:hint="eastAsia" w:ascii="仿宋" w:hAnsi="仿宋" w:eastAsia="仿宋" w:cs="仿宋"/>
          <w:b/>
          <w:color w:val="auto"/>
          <w:szCs w:val="21"/>
          <w:highlight w:val="none"/>
        </w:rPr>
        <w:t>九、对本次招标提出询问，请按以下方式联系。</w:t>
      </w:r>
      <w:bookmarkEnd w:id="25"/>
      <w:bookmarkEnd w:id="26"/>
      <w:bookmarkEnd w:id="27"/>
      <w:bookmarkEnd w:id="28"/>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1、采购人信息 </w:t>
      </w:r>
    </w:p>
    <w:p>
      <w:pPr>
        <w:widowControl/>
        <w:adjustRightInd w:val="0"/>
        <w:snapToGrid w:val="0"/>
        <w:spacing w:line="360" w:lineRule="auto"/>
        <w:ind w:firstLine="539"/>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名称：</w:t>
      </w:r>
      <w:r>
        <w:rPr>
          <w:rFonts w:hint="eastAsia" w:ascii="仿宋" w:hAnsi="仿宋" w:eastAsia="仿宋" w:cs="仿宋"/>
          <w:color w:val="auto"/>
          <w:szCs w:val="21"/>
          <w:highlight w:val="none"/>
          <w:lang w:eastAsia="zh-CN"/>
        </w:rPr>
        <w:t>辽宁省检验检测认证中心</w:t>
      </w:r>
    </w:p>
    <w:p>
      <w:pPr>
        <w:widowControl/>
        <w:adjustRightInd w:val="0"/>
        <w:snapToGrid w:val="0"/>
        <w:spacing w:line="360" w:lineRule="auto"/>
        <w:ind w:firstLine="539"/>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地址：</w:t>
      </w:r>
      <w:r>
        <w:rPr>
          <w:rFonts w:hint="eastAsia" w:ascii="仿宋" w:hAnsi="仿宋" w:eastAsia="仿宋" w:cs="仿宋"/>
          <w:color w:val="auto"/>
          <w:szCs w:val="21"/>
          <w:highlight w:val="none"/>
          <w:lang w:eastAsia="zh-CN"/>
        </w:rPr>
        <w:t>沈阳市皇姑区崇山西路7号</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联系方式：</w:t>
      </w:r>
      <w:r>
        <w:rPr>
          <w:rFonts w:hint="eastAsia" w:ascii="仿宋" w:hAnsi="仿宋" w:cs="仿宋"/>
          <w:color w:val="auto"/>
          <w:szCs w:val="21"/>
          <w:highlight w:val="none"/>
        </w:rPr>
        <w:t>024-31266263</w:t>
      </w:r>
      <w:r>
        <w:rPr>
          <w:rFonts w:hint="eastAsia" w:ascii="仿宋" w:hAnsi="仿宋" w:eastAsia="仿宋" w:cs="仿宋"/>
          <w:color w:val="auto"/>
          <w:szCs w:val="21"/>
          <w:highlight w:val="none"/>
        </w:rPr>
        <w:t xml:space="preserve">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2.采购代理机构信息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名称： 辽宁浩亿招投标有限公司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地址： 沈阳市皇姑区同江街11-1号3门，天山一校对面即是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联系方式： 024-81231520</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邮箱地址： syhygs@163.com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开户行： 盛京银行沈阳市向工支行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账户名称： 辽宁浩亿招投标有限公司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账号： 0338260102000001621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3.项目联系方式 </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项目联系人：杜丽伟、焦巍、李姗姗</w:t>
      </w:r>
    </w:p>
    <w:p>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 024-81231520</w:t>
      </w:r>
    </w:p>
    <w:p>
      <w:pPr>
        <w:rPr>
          <w:rFonts w:hint="eastAsia" w:ascii="仿宋" w:hAnsi="仿宋" w:eastAsia="仿宋" w:cs="仿宋"/>
          <w:color w:val="auto"/>
          <w:highlight w:val="none"/>
        </w:rPr>
      </w:pPr>
    </w:p>
    <w:p>
      <w:pPr>
        <w:jc w:val="right"/>
        <w:rPr>
          <w:rFonts w:hint="eastAsia" w:ascii="仿宋" w:hAnsi="仿宋" w:eastAsia="仿宋" w:cs="仿宋"/>
          <w:color w:val="auto"/>
          <w:highlight w:val="none"/>
        </w:rPr>
      </w:pP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年</w:t>
      </w:r>
      <w:r>
        <w:rPr>
          <w:rFonts w:hint="eastAsia" w:ascii="仿宋" w:hAnsi="仿宋" w:cs="仿宋"/>
          <w:color w:val="auto"/>
          <w:highlight w:val="none"/>
          <w:lang w:val="en-US" w:eastAsia="zh-CN"/>
        </w:rPr>
        <w:t>6</w:t>
      </w:r>
      <w:r>
        <w:rPr>
          <w:rFonts w:hint="eastAsia" w:ascii="仿宋" w:hAnsi="仿宋" w:eastAsia="仿宋" w:cs="仿宋"/>
          <w:color w:val="auto"/>
          <w:highlight w:val="none"/>
        </w:rPr>
        <w:t>月</w:t>
      </w:r>
      <w:r>
        <w:rPr>
          <w:rFonts w:hint="eastAsia" w:ascii="仿宋" w:hAnsi="仿宋" w:cs="仿宋"/>
          <w:color w:val="auto"/>
          <w:highlight w:val="none"/>
          <w:lang w:val="en-US" w:eastAsia="zh-CN"/>
        </w:rPr>
        <w:t>3</w:t>
      </w:r>
      <w:r>
        <w:rPr>
          <w:rFonts w:hint="eastAsia" w:ascii="仿宋" w:hAnsi="仿宋" w:eastAsia="仿宋" w:cs="仿宋"/>
          <w:color w:val="auto"/>
          <w:highlight w:val="none"/>
        </w:rPr>
        <w:t>日</w:t>
      </w:r>
      <w:bookmarkStart w:id="29" w:name="_Toc9614"/>
      <w:bookmarkStart w:id="30" w:name="_Toc26518_WPSOffice_Level1"/>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jc w:val="center"/>
        <w:rPr>
          <w:rFonts w:hint="eastAsia" w:ascii="仿宋" w:hAnsi="仿宋" w:eastAsia="仿宋" w:cs="仿宋"/>
          <w:b/>
          <w:color w:val="auto"/>
          <w:sz w:val="32"/>
          <w:szCs w:val="36"/>
          <w:highlight w:val="none"/>
        </w:rPr>
      </w:pPr>
    </w:p>
    <w:p>
      <w:pPr>
        <w:rPr>
          <w:rFonts w:hint="eastAsia" w:ascii="仿宋" w:hAnsi="仿宋" w:eastAsia="仿宋" w:cs="仿宋"/>
          <w:color w:val="auto"/>
          <w:highlight w:val="none"/>
        </w:rPr>
      </w:pPr>
    </w:p>
    <w:p>
      <w:pPr>
        <w:jc w:val="center"/>
        <w:rPr>
          <w:rFonts w:hint="eastAsia" w:ascii="仿宋" w:hAnsi="仿宋" w:eastAsia="仿宋" w:cs="仿宋"/>
          <w:color w:val="auto"/>
          <w:highlight w:val="none"/>
        </w:rPr>
      </w:pPr>
      <w:r>
        <w:rPr>
          <w:rFonts w:hint="eastAsia" w:ascii="仿宋" w:hAnsi="仿宋" w:eastAsia="仿宋" w:cs="仿宋"/>
          <w:b/>
          <w:color w:val="auto"/>
          <w:sz w:val="32"/>
          <w:szCs w:val="36"/>
          <w:highlight w:val="none"/>
        </w:rPr>
        <w:t>第一章 投标人须知</w:t>
      </w:r>
      <w:bookmarkEnd w:id="29"/>
      <w:bookmarkEnd w:id="30"/>
    </w:p>
    <w:p>
      <w:pPr>
        <w:pStyle w:val="3"/>
        <w:adjustRightInd w:val="0"/>
        <w:snapToGrid w:val="0"/>
        <w:spacing w:before="0" w:after="0" w:line="360" w:lineRule="auto"/>
        <w:rPr>
          <w:rFonts w:hint="eastAsia" w:ascii="仿宋" w:hAnsi="仿宋" w:eastAsia="仿宋" w:cs="仿宋"/>
          <w:color w:val="auto"/>
          <w:sz w:val="32"/>
          <w:szCs w:val="36"/>
          <w:highlight w:val="none"/>
        </w:rPr>
      </w:pPr>
      <w:bookmarkStart w:id="31" w:name="_Toc18613_WPSOffice_Level2"/>
      <w:r>
        <w:rPr>
          <w:rFonts w:hint="eastAsia" w:ascii="仿宋" w:hAnsi="仿宋" w:eastAsia="仿宋" w:cs="仿宋"/>
          <w:color w:val="auto"/>
          <w:sz w:val="32"/>
          <w:szCs w:val="36"/>
          <w:highlight w:val="none"/>
        </w:rPr>
        <w:t>一 投标人须知表</w:t>
      </w:r>
      <w:bookmarkEnd w:id="31"/>
    </w:p>
    <w:tbl>
      <w:tblPr>
        <w:tblStyle w:val="28"/>
        <w:tblW w:w="8656" w:type="dxa"/>
        <w:tblInd w:w="0" w:type="dxa"/>
        <w:tblLayout w:type="fixed"/>
        <w:tblCellMar>
          <w:top w:w="0" w:type="dxa"/>
          <w:left w:w="108" w:type="dxa"/>
          <w:bottom w:w="0" w:type="dxa"/>
          <w:right w:w="108" w:type="dxa"/>
        </w:tblCellMar>
      </w:tblPr>
      <w:tblGrid>
        <w:gridCol w:w="852"/>
        <w:gridCol w:w="1917"/>
        <w:gridCol w:w="5887"/>
      </w:tblGrid>
      <w:tr>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bookmarkStart w:id="32" w:name="sys_招标项目基本内容及要求其他：Block"/>
            <w:bookmarkEnd w:id="32"/>
            <w:bookmarkStart w:id="33" w:name="招标项目基本内容及要求：Block"/>
            <w:bookmarkEnd w:id="33"/>
            <w:bookmarkStart w:id="34" w:name="招标项目基本内容及要求其他：Block"/>
            <w:bookmarkEnd w:id="34"/>
            <w:bookmarkStart w:id="35" w:name="sys_招标项目基本内容及要求：Block"/>
            <w:bookmarkEnd w:id="35"/>
            <w:r>
              <w:rPr>
                <w:rFonts w:hint="eastAsia" w:ascii="仿宋" w:hAnsi="仿宋" w:eastAsia="仿宋" w:cs="仿宋"/>
                <w:color w:val="auto"/>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     容</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名  称：</w:t>
            </w:r>
            <w:r>
              <w:rPr>
                <w:rFonts w:hint="eastAsia" w:ascii="仿宋" w:hAnsi="仿宋" w:eastAsia="仿宋" w:cs="仿宋"/>
                <w:color w:val="auto"/>
                <w:szCs w:val="21"/>
                <w:highlight w:val="none"/>
                <w:lang w:eastAsia="zh-CN"/>
              </w:rPr>
              <w:t>辽宁省检验检测认证中心</w:t>
            </w:r>
          </w:p>
          <w:p>
            <w:pPr>
              <w:widowControl/>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地  址：</w:t>
            </w:r>
            <w:r>
              <w:rPr>
                <w:rFonts w:hint="eastAsia" w:ascii="仿宋" w:hAnsi="仿宋" w:eastAsia="仿宋" w:cs="仿宋"/>
                <w:color w:val="auto"/>
                <w:szCs w:val="21"/>
                <w:highlight w:val="none"/>
                <w:lang w:eastAsia="zh-CN"/>
              </w:rPr>
              <w:t>沈阳市皇姑区崇山西路7号</w:t>
            </w:r>
          </w:p>
          <w:p>
            <w:pPr>
              <w:widowControl/>
              <w:jc w:val="left"/>
              <w:rPr>
                <w:rFonts w:ascii="仿宋" w:hAnsi="仿宋" w:cs="仿宋"/>
                <w:color w:val="auto"/>
                <w:szCs w:val="21"/>
              </w:rPr>
            </w:pPr>
            <w:r>
              <w:rPr>
                <w:rFonts w:hint="eastAsia" w:ascii="仿宋" w:hAnsi="仿宋" w:cs="仿宋"/>
                <w:color w:val="auto"/>
                <w:szCs w:val="21"/>
              </w:rPr>
              <w:t xml:space="preserve">联系人：孙非 </w:t>
            </w:r>
          </w:p>
          <w:p>
            <w:pPr>
              <w:widowControl/>
              <w:jc w:val="left"/>
              <w:rPr>
                <w:rFonts w:hint="eastAsia" w:ascii="仿宋" w:hAnsi="仿宋" w:eastAsia="仿宋" w:cs="仿宋"/>
                <w:color w:val="auto"/>
                <w:szCs w:val="21"/>
                <w:highlight w:val="none"/>
              </w:rPr>
            </w:pPr>
            <w:r>
              <w:rPr>
                <w:rFonts w:hint="eastAsia" w:ascii="仿宋" w:hAnsi="仿宋" w:cs="仿宋"/>
                <w:color w:val="auto"/>
                <w:szCs w:val="21"/>
              </w:rPr>
              <w:t>电  话：024-</w:t>
            </w:r>
            <w:r>
              <w:rPr>
                <w:rFonts w:ascii="仿宋" w:hAnsi="仿宋" w:cs="仿宋"/>
                <w:color w:val="auto"/>
                <w:szCs w:val="21"/>
              </w:rPr>
              <w:t>31266263</w:t>
            </w:r>
            <w:r>
              <w:rPr>
                <w:rFonts w:hint="eastAsia" w:ascii="仿宋" w:hAnsi="仿宋" w:eastAsia="仿宋" w:cs="仿宋"/>
                <w:color w:val="auto"/>
                <w:szCs w:val="21"/>
                <w:highlight w:val="none"/>
              </w:rPr>
              <w:t xml:space="preserve">  </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名  称：辽宁浩亿招投标有限公司</w:t>
            </w:r>
          </w:p>
          <w:p>
            <w:pPr>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  址：沈阳市皇姑区同江街11-1号3门，天山一校对面即是</w:t>
            </w:r>
          </w:p>
          <w:p>
            <w:pPr>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联系人：杜丽伟、焦巍、李姗姗 </w:t>
            </w:r>
          </w:p>
          <w:p>
            <w:pPr>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电  话：024-81231520</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无</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highlight w:val="none"/>
                <w:lang w:eastAsia="zh-CN"/>
              </w:rPr>
            </w:pPr>
            <w:r>
              <w:rPr>
                <w:rFonts w:hint="eastAsia" w:ascii="仿宋" w:hAnsi="仿宋" w:eastAsia="仿宋" w:cs="仿宋"/>
                <w:b/>
                <w:color w:val="auto"/>
                <w:kern w:val="0"/>
                <w:szCs w:val="21"/>
                <w:highlight w:val="none"/>
                <w:lang w:eastAsia="zh-CN"/>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是否为专门面向</w:t>
            </w:r>
            <w:r>
              <w:rPr>
                <w:rFonts w:hint="eastAsia" w:ascii="仿宋" w:hAnsi="仿宋" w:eastAsia="仿宋" w:cs="仿宋"/>
                <w:b/>
                <w:color w:val="auto"/>
                <w:szCs w:val="21"/>
                <w:highlight w:val="none"/>
              </w:rPr>
              <w:t>中小企业</w:t>
            </w:r>
            <w:r>
              <w:rPr>
                <w:rFonts w:hint="eastAsia" w:ascii="仿宋" w:hAnsi="仿宋" w:eastAsia="仿宋" w:cs="仿宋"/>
                <w:b/>
                <w:color w:val="auto"/>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highlight w:val="none"/>
                <w:lang w:eastAsia="zh-CN"/>
              </w:rPr>
            </w:pPr>
            <w:r>
              <w:rPr>
                <w:rFonts w:hint="eastAsia" w:ascii="仿宋" w:hAnsi="仿宋" w:eastAsia="仿宋" w:cs="仿宋"/>
                <w:b/>
                <w:color w:val="auto"/>
                <w:kern w:val="0"/>
                <w:szCs w:val="21"/>
                <w:highlight w:val="none"/>
                <w:lang w:eastAsia="zh-CN"/>
              </w:rPr>
              <w:t>否</w:t>
            </w:r>
          </w:p>
        </w:tc>
      </w:tr>
      <w:tr>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无</w:t>
            </w:r>
          </w:p>
        </w:tc>
      </w:tr>
      <w:tr>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 w:hAnsi="仿宋" w:eastAsia="仿宋" w:cs="仿宋"/>
                <w:b/>
                <w:color w:val="auto"/>
                <w:kern w:val="0"/>
                <w:szCs w:val="21"/>
                <w:highlight w:val="none"/>
              </w:rPr>
            </w:pPr>
            <w:r>
              <w:rPr>
                <w:rFonts w:hint="eastAsia" w:ascii="仿宋" w:hAnsi="仿宋" w:eastAsia="仿宋" w:cs="仿宋"/>
                <w:bCs/>
                <w:color w:val="auto"/>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无</w:t>
            </w:r>
          </w:p>
        </w:tc>
      </w:tr>
      <w:tr>
        <w:tblPrEx>
          <w:tblCellMar>
            <w:top w:w="0" w:type="dxa"/>
            <w:left w:w="108" w:type="dxa"/>
            <w:bottom w:w="0" w:type="dxa"/>
            <w:right w:w="108" w:type="dxa"/>
          </w:tblCellMar>
        </w:tblPrEx>
        <w:trPr>
          <w:trHeight w:val="2464" w:hRule="atLeast"/>
        </w:trPr>
        <w:tc>
          <w:tcPr>
            <w:tcW w:w="85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预算金额：人民币</w:t>
            </w:r>
            <w:r>
              <w:rPr>
                <w:rFonts w:hint="eastAsia" w:ascii="仿宋" w:hAnsi="仿宋" w:eastAsia="仿宋" w:cs="仿宋"/>
                <w:color w:val="auto"/>
                <w:highlight w:val="none"/>
                <w:lang w:eastAsia="zh-CN"/>
              </w:rPr>
              <w:t>910,000.00</w:t>
            </w:r>
            <w:r>
              <w:rPr>
                <w:rFonts w:hint="eastAsia" w:ascii="仿宋" w:hAnsi="仿宋" w:eastAsia="仿宋" w:cs="仿宋"/>
                <w:color w:val="auto"/>
                <w:highlight w:val="none"/>
              </w:rPr>
              <w:t>元</w:t>
            </w:r>
          </w:p>
          <w:p>
            <w:pPr>
              <w:rPr>
                <w:rFonts w:hint="eastAsia" w:ascii="仿宋" w:hAnsi="仿宋" w:eastAsia="仿宋" w:cs="仿宋"/>
                <w:color w:val="auto"/>
                <w:highlight w:val="none"/>
              </w:rPr>
            </w:pPr>
            <w:r>
              <w:rPr>
                <w:rFonts w:hint="eastAsia" w:ascii="仿宋" w:hAnsi="仿宋" w:eastAsia="仿宋" w:cs="仿宋"/>
                <w:color w:val="auto"/>
                <w:highlight w:val="none"/>
              </w:rPr>
              <w:t>最高限价：人民币</w:t>
            </w:r>
            <w:r>
              <w:rPr>
                <w:rFonts w:hint="eastAsia" w:ascii="仿宋" w:hAnsi="仿宋" w:eastAsia="仿宋" w:cs="仿宋"/>
                <w:color w:val="auto"/>
                <w:highlight w:val="none"/>
                <w:lang w:eastAsia="zh-CN"/>
              </w:rPr>
              <w:t>910,000.00</w:t>
            </w:r>
            <w:r>
              <w:rPr>
                <w:rFonts w:hint="eastAsia" w:ascii="仿宋" w:hAnsi="仿宋" w:eastAsia="仿宋" w:cs="仿宋"/>
                <w:color w:val="auto"/>
                <w:highlight w:val="none"/>
              </w:rPr>
              <w:t>元</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049"/>
              <w:gridCol w:w="708"/>
              <w:gridCol w:w="567"/>
              <w:gridCol w:w="1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center"/>
                </w:tcPr>
                <w:p>
                  <w:pPr>
                    <w:pStyle w:val="14"/>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2049" w:type="dxa"/>
                  <w:vAlign w:val="center"/>
                </w:tcPr>
                <w:p>
                  <w:pPr>
                    <w:pStyle w:val="14"/>
                    <w:jc w:val="center"/>
                    <w:rPr>
                      <w:rFonts w:hint="eastAsia" w:ascii="仿宋" w:hAnsi="仿宋" w:eastAsia="仿宋" w:cs="仿宋"/>
                      <w:color w:val="auto"/>
                      <w:highlight w:val="none"/>
                    </w:rPr>
                  </w:pPr>
                  <w:r>
                    <w:rPr>
                      <w:rFonts w:hint="eastAsia" w:ascii="仿宋" w:hAnsi="仿宋" w:eastAsia="仿宋" w:cs="仿宋"/>
                      <w:color w:val="auto"/>
                      <w:highlight w:val="none"/>
                    </w:rPr>
                    <w:t>设备名称</w:t>
                  </w:r>
                </w:p>
              </w:tc>
              <w:tc>
                <w:tcPr>
                  <w:tcW w:w="708" w:type="dxa"/>
                  <w:vAlign w:val="center"/>
                </w:tcPr>
                <w:p>
                  <w:pPr>
                    <w:pStyle w:val="14"/>
                    <w:jc w:val="center"/>
                    <w:rPr>
                      <w:rFonts w:hint="eastAsia" w:ascii="仿宋" w:hAnsi="仿宋" w:eastAsia="仿宋" w:cs="仿宋"/>
                      <w:color w:val="auto"/>
                      <w:highlight w:val="none"/>
                    </w:rPr>
                  </w:pPr>
                  <w:r>
                    <w:rPr>
                      <w:rFonts w:hint="eastAsia" w:ascii="仿宋" w:hAnsi="仿宋" w:eastAsia="仿宋" w:cs="仿宋"/>
                      <w:color w:val="auto"/>
                      <w:highlight w:val="none"/>
                    </w:rPr>
                    <w:t>单位</w:t>
                  </w:r>
                </w:p>
              </w:tc>
              <w:tc>
                <w:tcPr>
                  <w:tcW w:w="567" w:type="dxa"/>
                  <w:vAlign w:val="center"/>
                </w:tcPr>
                <w:p>
                  <w:pPr>
                    <w:pStyle w:val="14"/>
                    <w:jc w:val="center"/>
                    <w:rPr>
                      <w:rFonts w:hint="eastAsia" w:ascii="仿宋" w:hAnsi="仿宋" w:eastAsia="仿宋" w:cs="仿宋"/>
                      <w:color w:val="auto"/>
                      <w:highlight w:val="none"/>
                    </w:rPr>
                  </w:pPr>
                  <w:r>
                    <w:rPr>
                      <w:rFonts w:hint="eastAsia" w:ascii="仿宋" w:hAnsi="仿宋" w:eastAsia="仿宋" w:cs="仿宋"/>
                      <w:color w:val="auto"/>
                      <w:highlight w:val="none"/>
                    </w:rPr>
                    <w:t>数量</w:t>
                  </w:r>
                </w:p>
              </w:tc>
              <w:tc>
                <w:tcPr>
                  <w:tcW w:w="1569" w:type="dxa"/>
                  <w:vAlign w:val="center"/>
                </w:tcPr>
                <w:p>
                  <w:pPr>
                    <w:pStyle w:val="7"/>
                    <w:ind w:firstLine="0" w:firstLineChars="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品目最高限价（元）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center"/>
                </w:tcPr>
                <w:p>
                  <w:pPr>
                    <w:pStyle w:val="14"/>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2049" w:type="dxa"/>
                  <w:vAlign w:val="center"/>
                </w:tcPr>
                <w:p>
                  <w:pPr>
                    <w:keepNext w:val="0"/>
                    <w:keepLines w:val="0"/>
                    <w:widowControl/>
                    <w:suppressLineNumbers w:val="0"/>
                    <w:jc w:val="center"/>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组织脱水机</w:t>
                  </w:r>
                </w:p>
              </w:tc>
              <w:tc>
                <w:tcPr>
                  <w:tcW w:w="708" w:type="dxa"/>
                  <w:vAlign w:val="center"/>
                </w:tcPr>
                <w:p>
                  <w:pPr>
                    <w:pStyle w:val="14"/>
                    <w:adjustRightInd w:val="0"/>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台</w:t>
                  </w:r>
                </w:p>
              </w:tc>
              <w:tc>
                <w:tcPr>
                  <w:tcW w:w="567" w:type="dxa"/>
                  <w:vAlign w:val="center"/>
                </w:tcPr>
                <w:p>
                  <w:pPr>
                    <w:pStyle w:val="14"/>
                    <w:adjustRightInd w:val="0"/>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569" w:type="dxa"/>
                  <w:vAlign w:val="center"/>
                </w:tcPr>
                <w:p>
                  <w:pPr>
                    <w:pStyle w:val="14"/>
                    <w:adjustRightInd w:val="0"/>
                    <w:snapToGrid w:val="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395000.00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center"/>
                </w:tcPr>
                <w:p>
                  <w:pPr>
                    <w:pStyle w:val="14"/>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p>
              </w:tc>
              <w:tc>
                <w:tcPr>
                  <w:tcW w:w="2049" w:type="dxa"/>
                  <w:vAlign w:val="center"/>
                </w:tcPr>
                <w:p>
                  <w:pPr>
                    <w:autoSpaceDE w:val="0"/>
                    <w:autoSpaceDN w:val="0"/>
                    <w:adjustRightInd w:val="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手术显微镜</w:t>
                  </w:r>
                </w:p>
              </w:tc>
              <w:tc>
                <w:tcPr>
                  <w:tcW w:w="708" w:type="dxa"/>
                  <w:vAlign w:val="center"/>
                </w:tcPr>
                <w:p>
                  <w:pPr>
                    <w:pStyle w:val="14"/>
                    <w:adjustRightInd w:val="0"/>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台</w:t>
                  </w:r>
                </w:p>
              </w:tc>
              <w:tc>
                <w:tcPr>
                  <w:tcW w:w="567" w:type="dxa"/>
                  <w:vAlign w:val="center"/>
                </w:tcPr>
                <w:p>
                  <w:pPr>
                    <w:pStyle w:val="14"/>
                    <w:adjustRightInd w:val="0"/>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569" w:type="dxa"/>
                  <w:vAlign w:val="center"/>
                </w:tcPr>
                <w:p>
                  <w:pPr>
                    <w:pStyle w:val="14"/>
                    <w:adjustRightInd w:val="0"/>
                    <w:snapToGrid w:val="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390000.00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center"/>
                </w:tcPr>
                <w:p>
                  <w:pPr>
                    <w:pStyle w:val="14"/>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p>
              </w:tc>
              <w:tc>
                <w:tcPr>
                  <w:tcW w:w="2049" w:type="dxa"/>
                  <w:vAlign w:val="center"/>
                </w:tcPr>
                <w:p>
                  <w:pPr>
                    <w:keepNext w:val="0"/>
                    <w:keepLines w:val="0"/>
                    <w:widowControl/>
                    <w:suppressLineNumbers w:val="0"/>
                    <w:jc w:val="center"/>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无菌检测系统</w:t>
                  </w:r>
                </w:p>
              </w:tc>
              <w:tc>
                <w:tcPr>
                  <w:tcW w:w="708" w:type="dxa"/>
                  <w:vAlign w:val="center"/>
                </w:tcPr>
                <w:p>
                  <w:pPr>
                    <w:pStyle w:val="14"/>
                    <w:adjustRightInd w:val="0"/>
                    <w:snapToGrid w:val="0"/>
                    <w:jc w:val="center"/>
                    <w:rPr>
                      <w:rFonts w:hint="eastAsia" w:ascii="仿宋" w:hAnsi="仿宋" w:eastAsia="仿宋" w:cs="仿宋"/>
                      <w:color w:val="auto"/>
                      <w:highlight w:val="none"/>
                      <w:lang w:eastAsia="zh-CN"/>
                    </w:rPr>
                  </w:pPr>
                  <w:r>
                    <w:rPr>
                      <w:rFonts w:hint="eastAsia" w:ascii="仿宋" w:hAnsi="仿宋" w:cs="仿宋"/>
                      <w:color w:val="auto"/>
                      <w:highlight w:val="none"/>
                      <w:lang w:eastAsia="zh-CN"/>
                    </w:rPr>
                    <w:t>套</w:t>
                  </w:r>
                </w:p>
              </w:tc>
              <w:tc>
                <w:tcPr>
                  <w:tcW w:w="567" w:type="dxa"/>
                  <w:vAlign w:val="center"/>
                </w:tcPr>
                <w:p>
                  <w:pPr>
                    <w:pStyle w:val="14"/>
                    <w:adjustRightInd w:val="0"/>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569" w:type="dxa"/>
                  <w:vAlign w:val="center"/>
                </w:tcPr>
                <w:p>
                  <w:pPr>
                    <w:pStyle w:val="14"/>
                    <w:adjustRightInd w:val="0"/>
                    <w:snapToGrid w:val="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125000.00</w:t>
                  </w:r>
                </w:p>
              </w:tc>
            </w:tr>
          </w:tbl>
          <w:p>
            <w:pPr>
              <w:pStyle w:val="17"/>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中华人民共和国法定计量单位</w:t>
            </w:r>
          </w:p>
        </w:tc>
      </w:tr>
      <w:tr>
        <w:tblPrEx>
          <w:tblCellMar>
            <w:top w:w="0" w:type="dxa"/>
            <w:left w:w="108" w:type="dxa"/>
            <w:bottom w:w="0" w:type="dxa"/>
            <w:right w:w="108" w:type="dxa"/>
          </w:tblCellMar>
        </w:tblPrEx>
        <w:trPr>
          <w:trHeight w:val="72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kern w:val="0"/>
                <w:szCs w:val="21"/>
                <w:highlight w:val="none"/>
              </w:rPr>
            </w:pPr>
            <w:r>
              <w:rPr>
                <w:rFonts w:hint="eastAsia" w:ascii="仿宋" w:hAnsi="仿宋" w:eastAsia="仿宋" w:cs="仿宋"/>
                <w:bCs/>
                <w:color w:val="auto"/>
                <w:kern w:val="0"/>
                <w:szCs w:val="21"/>
                <w:highlight w:val="none"/>
                <w:lang w:eastAsia="zh-CN"/>
              </w:rPr>
              <w:t>不</w:t>
            </w:r>
            <w:r>
              <w:rPr>
                <w:rFonts w:hint="eastAsia" w:ascii="仿宋" w:hAnsi="仿宋" w:eastAsia="仿宋" w:cs="仿宋"/>
                <w:bCs/>
                <w:color w:val="auto"/>
                <w:kern w:val="0"/>
                <w:szCs w:val="21"/>
                <w:highlight w:val="none"/>
              </w:rPr>
              <w:t>组织</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val="0"/>
                <w:color w:val="auto"/>
                <w:kern w:val="0"/>
                <w:szCs w:val="21"/>
                <w:highlight w:val="none"/>
              </w:rPr>
            </w:pPr>
            <w:r>
              <w:rPr>
                <w:rFonts w:hint="eastAsia" w:ascii="仿宋" w:hAnsi="仿宋" w:eastAsia="仿宋" w:cs="仿宋"/>
                <w:b/>
                <w:bCs w:val="0"/>
                <w:color w:val="auto"/>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pPr>
              <w:pStyle w:val="19"/>
              <w:rPr>
                <w:rFonts w:hint="eastAsia" w:ascii="仿宋" w:hAnsi="仿宋" w:eastAsia="仿宋" w:cs="仿宋"/>
                <w:b/>
                <w:bCs w:val="0"/>
                <w:color w:val="auto"/>
                <w:kern w:val="0"/>
                <w:szCs w:val="21"/>
                <w:highlight w:val="none"/>
              </w:rPr>
            </w:pPr>
            <w:r>
              <w:rPr>
                <w:rFonts w:hint="eastAsia" w:ascii="仿宋" w:hAnsi="仿宋" w:eastAsia="仿宋" w:cs="仿宋"/>
                <w:b/>
                <w:bCs w:val="0"/>
                <w:color w:val="auto"/>
                <w:kern w:val="2"/>
                <w:sz w:val="21"/>
                <w:szCs w:val="21"/>
                <w:highlight w:val="none"/>
                <w:lang w:val="en-US" w:eastAsia="zh-CN" w:bidi="ar-SA"/>
              </w:rPr>
              <w:t>组织脱水机</w:t>
            </w:r>
          </w:p>
        </w:tc>
      </w:tr>
      <w:tr>
        <w:tblPrEx>
          <w:tblCellMar>
            <w:top w:w="0" w:type="dxa"/>
            <w:left w:w="108" w:type="dxa"/>
            <w:bottom w:w="0" w:type="dxa"/>
            <w:right w:w="108" w:type="dxa"/>
          </w:tblCellMar>
        </w:tblPrEx>
        <w:trPr>
          <w:trHeight w:val="905"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不需要提供样品</w:t>
            </w:r>
          </w:p>
          <w:p>
            <w:pPr>
              <w:rPr>
                <w:rFonts w:hint="eastAsia" w:ascii="仿宋" w:hAnsi="仿宋" w:eastAsia="仿宋" w:cs="仿宋"/>
                <w:color w:val="auto"/>
                <w:kern w:val="0"/>
                <w:highlight w:val="none"/>
              </w:rPr>
            </w:pPr>
            <w:r>
              <w:rPr>
                <w:rFonts w:hint="eastAsia" w:ascii="仿宋" w:hAnsi="仿宋" w:eastAsia="仿宋" w:cs="仿宋"/>
                <w:color w:val="auto"/>
                <w:kern w:val="0"/>
                <w:highlight w:val="none"/>
              </w:rPr>
              <w:t>不需要提供演示</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所有投标均按人民币货币进行报价。</w:t>
            </w:r>
          </w:p>
        </w:tc>
      </w:tr>
      <w:tr>
        <w:tblPrEx>
          <w:tblCellMar>
            <w:top w:w="0" w:type="dxa"/>
            <w:left w:w="108" w:type="dxa"/>
            <w:bottom w:w="0" w:type="dxa"/>
            <w:right w:w="108" w:type="dxa"/>
          </w:tblCellMar>
        </w:tblPrEx>
        <w:trPr>
          <w:trHeight w:val="499"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5887" w:type="dxa"/>
            <w:tcBorders>
              <w:top w:val="single" w:color="auto" w:sz="4" w:space="0"/>
              <w:left w:val="nil"/>
              <w:bottom w:val="single" w:color="auto" w:sz="8" w:space="0"/>
              <w:right w:val="single" w:color="auto" w:sz="8" w:space="0"/>
            </w:tcBorders>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不收取</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5887" w:type="dxa"/>
            <w:tcBorders>
              <w:top w:val="single" w:color="auto" w:sz="4" w:space="0"/>
              <w:left w:val="nil"/>
              <w:bottom w:val="single" w:color="auto" w:sz="8" w:space="0"/>
              <w:right w:val="single" w:color="auto" w:sz="8" w:space="0"/>
            </w:tcBorders>
            <w:vAlign w:val="center"/>
          </w:tcPr>
          <w:p>
            <w:pPr>
              <w:pStyle w:val="1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u w:val="single"/>
              </w:rPr>
              <w:t xml:space="preserve">  90  </w:t>
            </w:r>
            <w:r>
              <w:rPr>
                <w:rFonts w:hint="eastAsia" w:ascii="仿宋" w:hAnsi="仿宋" w:eastAsia="仿宋" w:cs="仿宋"/>
                <w:color w:val="auto"/>
                <w:kern w:val="0"/>
                <w:szCs w:val="21"/>
                <w:highlight w:val="none"/>
              </w:rPr>
              <w:t>日历日</w:t>
            </w:r>
          </w:p>
        </w:tc>
      </w:tr>
      <w:tr>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投标文件及电子文档份数</w:t>
            </w:r>
          </w:p>
        </w:tc>
        <w:tc>
          <w:tcPr>
            <w:tcW w:w="5887" w:type="dxa"/>
            <w:tcBorders>
              <w:top w:val="nil"/>
              <w:left w:val="nil"/>
              <w:bottom w:val="single" w:color="auto" w:sz="4" w:space="0"/>
              <w:right w:val="single" w:color="auto" w:sz="8" w:space="0"/>
            </w:tcBorders>
          </w:tcPr>
          <w:p>
            <w:pPr>
              <w:pStyle w:val="73"/>
              <w:spacing w:before="25"/>
              <w:ind w:left="106"/>
              <w:rPr>
                <w:rFonts w:hint="eastAsia" w:ascii="仿宋" w:hAnsi="仿宋" w:eastAsia="仿宋" w:cs="仿宋"/>
                <w:b/>
                <w:color w:val="auto"/>
                <w:highlight w:val="none"/>
              </w:rPr>
            </w:pPr>
            <w:r>
              <w:rPr>
                <w:rFonts w:hint="eastAsia" w:ascii="仿宋" w:hAnsi="仿宋" w:eastAsia="仿宋" w:cs="仿宋"/>
                <w:b/>
                <w:color w:val="auto"/>
                <w:highlight w:val="none"/>
              </w:rPr>
              <w:t>正本：线上电子投标文件1份（线上上传的电子投标文件须按辽宁政府采购网“办事指南”中“辽宁省政府采购网供应商制作电子标书操作手册”及“辽宁政府采购网新版系统供应商操作手册”要求进行编制，必须盖章签字）</w:t>
            </w:r>
          </w:p>
          <w:p>
            <w:pPr>
              <w:pStyle w:val="73"/>
              <w:spacing w:before="50"/>
              <w:ind w:left="106"/>
              <w:rPr>
                <w:rFonts w:hint="eastAsia" w:ascii="仿宋" w:hAnsi="仿宋" w:eastAsia="仿宋" w:cs="仿宋"/>
                <w:color w:val="auto"/>
                <w:highlight w:val="none"/>
                <w:lang w:val="zh-CN" w:bidi="zh-CN"/>
              </w:rPr>
            </w:pPr>
            <w:r>
              <w:rPr>
                <w:rFonts w:hint="eastAsia" w:ascii="仿宋" w:hAnsi="仿宋" w:eastAsia="仿宋" w:cs="仿宋"/>
                <w:b/>
                <w:color w:val="auto"/>
                <w:highlight w:val="none"/>
              </w:rPr>
              <w:t>电子备份文件：1份。供应商除在电子评审系统上传投标（响应）文件外，应在递交投标（响应）文件截止时间前提交按采购文件规定的以介质形式（如：光盘、U盘、移动硬盘、电子邮件等）存储的可加密备份文件，并承诺备份文件与电子评审系统中上传的投标（响应）文件内容、格式一致，备系统突发故障使用。供应商仅提交备份文件的，投标（响应）无效。</w:t>
            </w:r>
          </w:p>
        </w:tc>
      </w:tr>
      <w:tr>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递交投标文件截止时间、地点</w:t>
            </w:r>
          </w:p>
        </w:tc>
        <w:tc>
          <w:tcPr>
            <w:tcW w:w="5887" w:type="dxa"/>
            <w:tcBorders>
              <w:top w:val="nil"/>
              <w:left w:val="nil"/>
              <w:bottom w:val="single" w:color="auto" w:sz="4" w:space="0"/>
              <w:right w:val="single" w:color="auto" w:sz="8" w:space="0"/>
            </w:tcBorders>
          </w:tcPr>
          <w:p>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详见采购公告，以采购公告规定时间、地点为准。</w:t>
            </w:r>
          </w:p>
          <w:p>
            <w:pPr>
              <w:pStyle w:val="73"/>
              <w:spacing w:before="25"/>
              <w:ind w:left="106"/>
              <w:rPr>
                <w:rFonts w:hint="eastAsia" w:ascii="仿宋" w:hAnsi="仿宋" w:eastAsia="仿宋" w:cs="仿宋"/>
                <w:b/>
                <w:color w:val="auto"/>
                <w:highlight w:val="none"/>
              </w:rPr>
            </w:pPr>
            <w:r>
              <w:rPr>
                <w:rFonts w:hint="eastAsia" w:ascii="仿宋" w:hAnsi="仿宋" w:eastAsia="仿宋" w:cs="仿宋"/>
                <w:b/>
                <w:color w:val="auto"/>
                <w:highlight w:val="none"/>
              </w:rPr>
              <w:t>递交投标文件截止时间前，应按要求在省政府采购平台上传电子投标文件及相关内容，有问题务必提前咨询。</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开标时间、地点</w:t>
            </w:r>
          </w:p>
        </w:tc>
        <w:tc>
          <w:tcPr>
            <w:tcW w:w="5887" w:type="dxa"/>
            <w:tcBorders>
              <w:top w:val="nil"/>
              <w:left w:val="nil"/>
              <w:bottom w:val="single" w:color="auto" w:sz="4" w:space="0"/>
              <w:right w:val="single" w:color="auto" w:sz="8" w:space="0"/>
            </w:tcBorders>
            <w:vAlign w:val="center"/>
          </w:tcPr>
          <w:p>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详见招标公告，以招标公告规定时间、地点为准。</w:t>
            </w:r>
          </w:p>
          <w:p>
            <w:pPr>
              <w:pStyle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1.供应商须在递交投标文件截止时间前在辽宁政府采购网上成功递交电子投标文件；</w:t>
            </w:r>
          </w:p>
          <w:p>
            <w:pPr>
              <w:pStyle w:val="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开标时间后，供应商需登录“辽宁政府采购网”进行文件解密，应在30分钟内对投标文件进行网上电子解密。供应商可自行在本单位进行电子解密或供应商授权代表自行准备电子设备进行解密。采购代理机构原则上不提供任何设备进行电子解密，如供应商无法在规定的时间成功进行电子解密，视为放弃参与本项目，采购代理机构将不负有任何责任。</w:t>
            </w:r>
          </w:p>
          <w:p>
            <w:pPr>
              <w:pStyle w:val="9"/>
              <w:rPr>
                <w:rFonts w:hint="eastAsia" w:ascii="仿宋" w:hAnsi="仿宋" w:eastAsia="仿宋" w:cs="仿宋"/>
                <w:color w:val="auto"/>
                <w:highlight w:val="none"/>
              </w:rPr>
            </w:pPr>
            <w:r>
              <w:rPr>
                <w:rFonts w:hint="eastAsia" w:ascii="仿宋" w:hAnsi="仿宋" w:eastAsia="仿宋" w:cs="仿宋"/>
                <w:color w:val="auto"/>
                <w:sz w:val="21"/>
                <w:szCs w:val="21"/>
                <w:highlight w:val="none"/>
              </w:rPr>
              <w:t>3. 供应商上传的投标文件正常解密的且采购活动正常进行的，电子备份文件自动失效。供应商自行到代理公司领取</w:t>
            </w:r>
            <w:r>
              <w:rPr>
                <w:rFonts w:hint="eastAsia" w:ascii="仿宋" w:hAnsi="仿宋" w:eastAsia="仿宋" w:cs="仿宋"/>
                <w:color w:val="auto"/>
                <w:highlight w:val="none"/>
              </w:rPr>
              <w:t>。</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评标委员会组成</w:t>
            </w:r>
          </w:p>
        </w:tc>
        <w:tc>
          <w:tcPr>
            <w:tcW w:w="5887" w:type="dxa"/>
            <w:tcBorders>
              <w:top w:val="nil"/>
              <w:left w:val="nil"/>
              <w:bottom w:val="single" w:color="auto" w:sz="4" w:space="0"/>
              <w:right w:val="single" w:color="auto" w:sz="8" w:space="0"/>
            </w:tcBorders>
            <w:vAlign w:val="center"/>
          </w:tcPr>
          <w:p>
            <w:pPr>
              <w:widowControl/>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评标委员会由采购人代表</w:t>
            </w:r>
            <w:r>
              <w:rPr>
                <w:rFonts w:hint="eastAsia" w:ascii="仿宋" w:hAnsi="仿宋" w:eastAsia="仿宋" w:cs="仿宋"/>
                <w:color w:val="auto"/>
                <w:szCs w:val="21"/>
                <w:highlight w:val="none"/>
                <w:u w:val="single"/>
              </w:rPr>
              <w:t>1</w:t>
            </w:r>
            <w:r>
              <w:rPr>
                <w:rFonts w:hint="eastAsia" w:ascii="仿宋" w:hAnsi="仿宋" w:eastAsia="仿宋" w:cs="仿宋"/>
                <w:color w:val="auto"/>
                <w:szCs w:val="21"/>
                <w:highlight w:val="none"/>
              </w:rPr>
              <w:t>人，评审专家</w:t>
            </w:r>
            <w:r>
              <w:rPr>
                <w:rFonts w:hint="eastAsia" w:ascii="仿宋" w:hAnsi="仿宋" w:eastAsia="仿宋" w:cs="仿宋"/>
                <w:color w:val="auto"/>
                <w:szCs w:val="21"/>
                <w:highlight w:val="none"/>
                <w:u w:val="single"/>
              </w:rPr>
              <w:t>4</w:t>
            </w:r>
            <w:r>
              <w:rPr>
                <w:rFonts w:hint="eastAsia" w:ascii="仿宋" w:hAnsi="仿宋" w:eastAsia="仿宋" w:cs="仿宋"/>
                <w:color w:val="auto"/>
                <w:szCs w:val="21"/>
                <w:highlight w:val="none"/>
              </w:rPr>
              <w:t>人组成，共</w:t>
            </w:r>
            <w:r>
              <w:rPr>
                <w:rFonts w:hint="eastAsia" w:ascii="仿宋" w:hAnsi="仿宋" w:eastAsia="仿宋" w:cs="仿宋"/>
                <w:color w:val="auto"/>
                <w:szCs w:val="21"/>
                <w:highlight w:val="none"/>
                <w:u w:val="single"/>
              </w:rPr>
              <w:t>5</w:t>
            </w:r>
            <w:r>
              <w:rPr>
                <w:rFonts w:hint="eastAsia" w:ascii="仿宋" w:hAnsi="仿宋" w:eastAsia="仿宋" w:cs="仿宋"/>
                <w:color w:val="auto"/>
                <w:szCs w:val="21"/>
                <w:highlight w:val="none"/>
              </w:rPr>
              <w:t xml:space="preserve">人。 </w:t>
            </w:r>
          </w:p>
        </w:tc>
      </w:tr>
      <w:tr>
        <w:tblPrEx>
          <w:tblCellMar>
            <w:top w:w="0" w:type="dxa"/>
            <w:left w:w="108" w:type="dxa"/>
            <w:bottom w:w="0" w:type="dxa"/>
            <w:right w:w="108" w:type="dxa"/>
          </w:tblCellMar>
        </w:tblPrEx>
        <w:trPr>
          <w:trHeight w:val="119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样品的评审方法以及评审标准</w:t>
            </w:r>
          </w:p>
          <w:p>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无</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综合评分法</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3家</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中标人数量：1家</w:t>
            </w:r>
          </w:p>
          <w:p>
            <w:pPr>
              <w:widowControl/>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采购人委托评标委员会直接确定中标人</w:t>
            </w:r>
          </w:p>
        </w:tc>
      </w:tr>
      <w:tr>
        <w:tblPrEx>
          <w:tblCellMar>
            <w:top w:w="0" w:type="dxa"/>
            <w:left w:w="108" w:type="dxa"/>
            <w:bottom w:w="0" w:type="dxa"/>
            <w:right w:w="108" w:type="dxa"/>
          </w:tblCellMar>
        </w:tblPrEx>
        <w:trPr>
          <w:trHeight w:val="79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pPr>
              <w:shd w:val="clear" w:color="auto" w:fill="FFFFFF"/>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本项目</w:t>
            </w:r>
            <w:r>
              <w:rPr>
                <w:rFonts w:hint="eastAsia" w:ascii="仿宋" w:hAnsi="仿宋" w:eastAsia="仿宋" w:cs="仿宋"/>
                <w:color w:val="auto"/>
                <w:szCs w:val="21"/>
                <w:highlight w:val="none"/>
                <w:lang w:eastAsia="zh-CN"/>
              </w:rPr>
              <w:t>不</w:t>
            </w:r>
            <w:r>
              <w:rPr>
                <w:rFonts w:hint="eastAsia" w:ascii="仿宋" w:hAnsi="仿宋" w:eastAsia="仿宋" w:cs="仿宋"/>
                <w:color w:val="auto"/>
                <w:szCs w:val="21"/>
                <w:highlight w:val="none"/>
              </w:rPr>
              <w:t>收取履约保证金</w:t>
            </w:r>
          </w:p>
        </w:tc>
      </w:tr>
      <w:tr>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36</w:t>
            </w:r>
          </w:p>
        </w:tc>
        <w:tc>
          <w:tcPr>
            <w:tcW w:w="1917" w:type="dxa"/>
            <w:tcBorders>
              <w:top w:val="nil"/>
              <w:left w:val="single" w:color="auto" w:sz="4" w:space="0"/>
              <w:bottom w:val="single" w:color="auto" w:sz="8" w:space="0"/>
              <w:right w:val="single" w:color="auto" w:sz="8"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采购代理服务费</w:t>
            </w:r>
          </w:p>
        </w:tc>
        <w:tc>
          <w:tcPr>
            <w:tcW w:w="5887" w:type="dxa"/>
            <w:tcBorders>
              <w:top w:val="nil"/>
              <w:left w:val="nil"/>
              <w:bottom w:val="single" w:color="auto" w:sz="8" w:space="0"/>
              <w:right w:val="single" w:color="auto" w:sz="8" w:space="0"/>
            </w:tcBorders>
            <w:vAlign w:val="center"/>
          </w:tcPr>
          <w:p>
            <w:pPr>
              <w:shd w:val="clear" w:color="auto" w:fill="FFFFFF"/>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本项目收取</w:t>
            </w:r>
            <w:r>
              <w:rPr>
                <w:rFonts w:hint="eastAsia" w:ascii="仿宋" w:hAnsi="仿宋" w:eastAsia="仿宋" w:cs="仿宋"/>
                <w:color w:val="auto"/>
                <w:kern w:val="0"/>
                <w:szCs w:val="21"/>
                <w:highlight w:val="none"/>
              </w:rPr>
              <w:t>采购代理服务费</w:t>
            </w:r>
          </w:p>
          <w:p>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本项目采购代理服务费由中标人向采购代理机构予以支付。</w:t>
            </w:r>
          </w:p>
          <w:p>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支付标准：</w:t>
            </w:r>
            <w:r>
              <w:rPr>
                <w:rFonts w:hint="eastAsia" w:ascii="仿宋" w:hAnsi="仿宋" w:eastAsia="仿宋" w:cs="仿宋"/>
                <w:color w:val="auto"/>
                <w:kern w:val="0"/>
                <w:szCs w:val="21"/>
                <w:highlight w:val="none"/>
                <w:u w:val="single"/>
              </w:rPr>
              <w:t>参照国家计委关于印发《招标代理服务收费管理暂行办法》的通知计价格[2002]1980号之规定收取</w:t>
            </w:r>
            <w:r>
              <w:rPr>
                <w:rFonts w:hint="eastAsia" w:ascii="仿宋" w:hAnsi="仿宋" w:eastAsia="仿宋" w:cs="仿宋"/>
                <w:color w:val="auto"/>
                <w:kern w:val="0"/>
                <w:szCs w:val="21"/>
                <w:highlight w:val="none"/>
              </w:rPr>
              <w:t>。</w:t>
            </w:r>
          </w:p>
          <w:p>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支付形式：现金或电汇</w:t>
            </w:r>
          </w:p>
          <w:p>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支付时间：领取中标通知书前一次性缴纳</w:t>
            </w:r>
          </w:p>
        </w:tc>
      </w:tr>
      <w:tr>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39.3</w:t>
            </w:r>
          </w:p>
        </w:tc>
        <w:tc>
          <w:tcPr>
            <w:tcW w:w="1917" w:type="dxa"/>
            <w:tcBorders>
              <w:top w:val="single" w:color="auto" w:sz="4" w:space="0"/>
              <w:left w:val="single" w:color="auto" w:sz="4" w:space="0"/>
              <w:bottom w:val="single" w:color="auto" w:sz="4" w:space="0"/>
              <w:right w:val="single" w:color="auto" w:sz="8" w:space="0"/>
            </w:tcBorders>
            <w:vAlign w:val="center"/>
          </w:tcPr>
          <w:p>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质疑</w:t>
            </w:r>
          </w:p>
        </w:tc>
        <w:tc>
          <w:tcPr>
            <w:tcW w:w="5887" w:type="dxa"/>
            <w:tcBorders>
              <w:top w:val="single" w:color="auto" w:sz="4" w:space="0"/>
              <w:left w:val="nil"/>
              <w:bottom w:val="single" w:color="auto" w:sz="4" w:space="0"/>
              <w:right w:val="single" w:color="auto" w:sz="8" w:space="0"/>
            </w:tcBorders>
            <w:vAlign w:val="center"/>
          </w:tcPr>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一、投标人认为自己的权益受到损害的，可以在知道或者应知其权益受到损害之日起七个工作日内，向采购代理机构提出质疑。</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1、接收质疑函的方式：接收加盖单位公章的书面质疑函</w:t>
            </w:r>
          </w:p>
          <w:p>
            <w:pPr>
              <w:widowControl/>
              <w:ind w:firstLine="420" w:firstLineChars="200"/>
              <w:rPr>
                <w:rFonts w:hint="eastAsia" w:ascii="仿宋" w:hAnsi="仿宋" w:eastAsia="仿宋" w:cs="仿宋"/>
                <w:color w:val="auto"/>
                <w:kern w:val="0"/>
                <w:szCs w:val="21"/>
                <w:highlight w:val="none"/>
                <w:u w:val="single"/>
              </w:rPr>
            </w:pPr>
            <w:r>
              <w:rPr>
                <w:rFonts w:hint="eastAsia" w:ascii="仿宋" w:hAnsi="仿宋" w:eastAsia="仿宋" w:cs="仿宋"/>
                <w:color w:val="auto"/>
                <w:szCs w:val="21"/>
                <w:highlight w:val="none"/>
              </w:rPr>
              <w:t>联系单位：</w:t>
            </w:r>
            <w:r>
              <w:rPr>
                <w:rFonts w:hint="eastAsia" w:ascii="仿宋" w:hAnsi="仿宋" w:eastAsia="仿宋" w:cs="仿宋"/>
                <w:color w:val="auto"/>
                <w:szCs w:val="21"/>
                <w:highlight w:val="none"/>
                <w:u w:val="single"/>
              </w:rPr>
              <w:t>辽宁浩亿招投标有限公司</w:t>
            </w:r>
          </w:p>
          <w:p>
            <w:pPr>
              <w:widowControl/>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 系 人：</w:t>
            </w:r>
            <w:r>
              <w:rPr>
                <w:rFonts w:hint="eastAsia" w:ascii="仿宋" w:hAnsi="仿宋" w:eastAsia="仿宋" w:cs="仿宋"/>
                <w:color w:val="auto"/>
                <w:szCs w:val="21"/>
                <w:highlight w:val="none"/>
                <w:u w:val="single"/>
              </w:rPr>
              <w:t>杜丽伟、焦巍、李姗姗</w:t>
            </w:r>
          </w:p>
          <w:p>
            <w:pPr>
              <w:widowControl/>
              <w:ind w:firstLine="420" w:firstLineChars="20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联系电话：</w:t>
            </w:r>
            <w:r>
              <w:rPr>
                <w:rFonts w:hint="eastAsia" w:ascii="仿宋" w:hAnsi="仿宋" w:eastAsia="仿宋" w:cs="仿宋"/>
                <w:color w:val="auto"/>
                <w:kern w:val="0"/>
                <w:szCs w:val="21"/>
                <w:highlight w:val="none"/>
                <w:u w:val="single"/>
              </w:rPr>
              <w:t>024-81231520-</w:t>
            </w:r>
            <w:r>
              <w:rPr>
                <w:rFonts w:hint="eastAsia" w:ascii="仿宋" w:hAnsi="仿宋" w:eastAsia="仿宋" w:cs="仿宋"/>
                <w:color w:val="auto"/>
                <w:kern w:val="0"/>
                <w:szCs w:val="21"/>
                <w:highlight w:val="none"/>
                <w:u w:val="single"/>
                <w:lang w:val="en-US" w:eastAsia="zh-CN"/>
              </w:rPr>
              <w:t>806</w:t>
            </w:r>
          </w:p>
          <w:p>
            <w:pPr>
              <w:widowControl/>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通讯地址：</w:t>
            </w:r>
            <w:r>
              <w:rPr>
                <w:rFonts w:hint="eastAsia" w:ascii="仿宋" w:hAnsi="仿宋" w:eastAsia="仿宋" w:cs="仿宋"/>
                <w:color w:val="auto"/>
                <w:kern w:val="0"/>
                <w:szCs w:val="21"/>
                <w:highlight w:val="none"/>
                <w:u w:val="single"/>
              </w:rPr>
              <w:t>沈阳市皇姑区同江街11-1号3门</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2、质疑函的内容、格式：应符合《政府采购质疑和投诉办法》相关规定和财政部门制定的《政府采购质疑函范本》格式。</w:t>
            </w:r>
          </w:p>
          <w:p>
            <w:pPr>
              <w:pStyle w:val="1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二、投标人应在法定质疑期内一次性针对同一采购程序环节提出质疑，否则针对再次提出质疑将不予接收。（采购程序环节分为：</w:t>
            </w:r>
            <w:r>
              <w:rPr>
                <w:rFonts w:hint="eastAsia" w:ascii="仿宋" w:hAnsi="仿宋" w:eastAsia="仿宋" w:cs="仿宋"/>
                <w:color w:val="auto"/>
                <w:kern w:val="0"/>
                <w:szCs w:val="21"/>
                <w:highlight w:val="none"/>
              </w:rPr>
              <w:t>招标</w:t>
            </w:r>
            <w:r>
              <w:rPr>
                <w:rFonts w:hint="eastAsia" w:ascii="仿宋" w:hAnsi="仿宋" w:eastAsia="仿宋" w:cs="仿宋"/>
                <w:color w:val="auto"/>
                <w:szCs w:val="21"/>
                <w:highlight w:val="none"/>
              </w:rPr>
              <w:t>公告、招标文件、招标过程、中标结果）</w:t>
            </w:r>
          </w:p>
        </w:tc>
      </w:tr>
      <w:tr>
        <w:tblPrEx>
          <w:tblCellMar>
            <w:top w:w="0" w:type="dxa"/>
            <w:left w:w="108" w:type="dxa"/>
            <w:bottom w:w="0" w:type="dxa"/>
            <w:right w:w="108" w:type="dxa"/>
          </w:tblCellMar>
        </w:tblPrEx>
        <w:trPr>
          <w:trHeight w:val="692"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p>
        </w:tc>
        <w:tc>
          <w:tcPr>
            <w:tcW w:w="1917" w:type="dxa"/>
            <w:tcBorders>
              <w:top w:val="single" w:color="auto" w:sz="4" w:space="0"/>
              <w:left w:val="single" w:color="auto" w:sz="4" w:space="0"/>
              <w:bottom w:val="single" w:color="auto" w:sz="4" w:space="0"/>
              <w:right w:val="single" w:color="auto" w:sz="8" w:space="0"/>
            </w:tcBorders>
            <w:vAlign w:val="center"/>
          </w:tcPr>
          <w:p>
            <w:pPr>
              <w:widowControl/>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其他</w:t>
            </w:r>
          </w:p>
        </w:tc>
        <w:tc>
          <w:tcPr>
            <w:tcW w:w="5887" w:type="dxa"/>
            <w:tcBorders>
              <w:top w:val="single" w:color="auto" w:sz="4" w:space="0"/>
              <w:left w:val="nil"/>
              <w:bottom w:val="single" w:color="auto" w:sz="4" w:space="0"/>
              <w:right w:val="single" w:color="auto" w:sz="8" w:space="0"/>
            </w:tcBorders>
            <w:vAlign w:val="center"/>
          </w:tcPr>
          <w:p>
            <w:pPr>
              <w:pStyle w:val="10"/>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rPr>
              <w:t>明确采购标的对应的中小企业划分标准所属行业：本项目中小企业划分标准所属行业为：</w:t>
            </w:r>
            <w:r>
              <w:rPr>
                <w:rFonts w:hint="eastAsia" w:ascii="仿宋" w:hAnsi="仿宋" w:eastAsia="仿宋" w:cs="仿宋"/>
                <w:b/>
                <w:color w:val="auto"/>
                <w:szCs w:val="21"/>
                <w:highlight w:val="none"/>
                <w:lang w:eastAsia="zh-CN"/>
              </w:rPr>
              <w:t>工业</w:t>
            </w:r>
          </w:p>
        </w:tc>
      </w:tr>
      <w:tr>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vAlign w:val="center"/>
          </w:tcPr>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项目结束后，供应商可到采购代理机构开具发票。外地供应商可采用邮寄方式开具发票。</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如需邮寄，请将以下资料发送到采购代理机构财务邮箱：</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1.项目全称；</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2.开票金额，采购文件费或采购代理服务费电汇凭证（如有，截图即可），中标人还需提供合同扫描件pdf版本，如有收据，需将收据原件交回财务；</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3.明确专票或普票；</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4.供应商完整的开票信息；</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5.供应商邮寄地址、联系人及手机号。 </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邮寄方式：顺丰到付 </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财务邮箱：syhygs@163.com</w:t>
            </w:r>
          </w:p>
          <w:p>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咨询电话：024-86415619 </w:t>
            </w:r>
            <w:r>
              <w:rPr>
                <w:rFonts w:hint="eastAsia" w:ascii="仿宋" w:hAnsi="仿宋" w:eastAsia="仿宋" w:cs="仿宋"/>
                <w:color w:val="auto"/>
                <w:szCs w:val="21"/>
                <w:highlight w:val="none"/>
                <w:lang w:eastAsia="zh-CN"/>
              </w:rPr>
              <w:t>丛</w:t>
            </w:r>
            <w:r>
              <w:rPr>
                <w:rFonts w:hint="eastAsia" w:ascii="仿宋" w:hAnsi="仿宋" w:eastAsia="仿宋" w:cs="仿宋"/>
                <w:color w:val="auto"/>
                <w:szCs w:val="21"/>
                <w:highlight w:val="none"/>
              </w:rPr>
              <w:t>女士</w:t>
            </w:r>
          </w:p>
        </w:tc>
      </w:tr>
      <w:tr>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仿宋" w:hAnsi="仿宋" w:eastAsia="仿宋" w:cs="仿宋"/>
                <w:color w:val="auto"/>
                <w:kern w:val="0"/>
                <w:szCs w:val="21"/>
                <w:highlight w:val="none"/>
              </w:rPr>
            </w:pPr>
          </w:p>
        </w:tc>
        <w:tc>
          <w:tcPr>
            <w:tcW w:w="7804" w:type="dxa"/>
            <w:gridSpan w:val="2"/>
            <w:tcBorders>
              <w:top w:val="single" w:color="auto" w:sz="4" w:space="0"/>
              <w:left w:val="single" w:color="auto" w:sz="4" w:space="0"/>
              <w:bottom w:val="single" w:color="auto" w:sz="4" w:space="0"/>
              <w:right w:val="single" w:color="auto" w:sz="8" w:space="0"/>
            </w:tcBorders>
            <w:vAlign w:val="center"/>
          </w:tcPr>
          <w:p>
            <w:pPr>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注意事项：</w:t>
            </w:r>
          </w:p>
          <w:p>
            <w:pPr>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供应商除在电子评审系统上传投标文件外，应在递交投标文件截止时间前提交按采购文件规定的加密密封的电子文件，并承诺备份文件与电子评审系统中上传的投标文件内容、格式一致，备系统突发故障使用。供应商仅提交备份文件的，投标无效。</w:t>
            </w:r>
          </w:p>
          <w:p>
            <w:pPr>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2、供应商在电子评审活动中出现以下情形的，应按如下规定进行处理：</w:t>
            </w:r>
          </w:p>
          <w:p>
            <w:pPr>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    （1）因供应商原因造成投标文件未解密的；</w:t>
            </w:r>
          </w:p>
          <w:p>
            <w:pPr>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    （2）因供应商自用设备原因造成的未在规定时间内解密、上传文件或投标报价等问题影响电子评审的；</w:t>
            </w:r>
          </w:p>
          <w:p>
            <w:pPr>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    （3）因供应商原因未对文件校验造成信息缺失、文件内容或格式不正确以及备份文件不符合要求等问题影响评审的。</w:t>
            </w:r>
          </w:p>
          <w:p>
            <w:pPr>
              <w:widowControl/>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 xml:space="preserve">    出现前款（1）（2）情形的，视为放弃投标；出现前款（3）情形的，由供应商自行承担相应责任。</w:t>
            </w:r>
          </w:p>
        </w:tc>
      </w:tr>
    </w:tbl>
    <w:p>
      <w:pPr>
        <w:pStyle w:val="3"/>
        <w:adjustRightInd w:val="0"/>
        <w:snapToGrid w:val="0"/>
        <w:spacing w:before="0" w:after="0" w:line="360" w:lineRule="auto"/>
        <w:rPr>
          <w:rFonts w:hint="eastAsia" w:ascii="仿宋" w:hAnsi="仿宋" w:eastAsia="仿宋" w:cs="仿宋"/>
          <w:color w:val="auto"/>
          <w:sz w:val="32"/>
          <w:szCs w:val="36"/>
          <w:highlight w:val="none"/>
        </w:rPr>
      </w:pPr>
      <w:r>
        <w:rPr>
          <w:rFonts w:hint="eastAsia" w:ascii="仿宋" w:hAnsi="仿宋" w:eastAsia="仿宋" w:cs="仿宋"/>
          <w:color w:val="auto"/>
          <w:sz w:val="21"/>
          <w:szCs w:val="21"/>
          <w:highlight w:val="none"/>
        </w:rPr>
        <w:br w:type="page"/>
      </w:r>
      <w:bookmarkStart w:id="36" w:name="_Toc30384_WPSOffice_Level2"/>
      <w:r>
        <w:rPr>
          <w:rFonts w:hint="eastAsia" w:ascii="仿宋" w:hAnsi="仿宋" w:eastAsia="仿宋" w:cs="仿宋"/>
          <w:color w:val="auto"/>
          <w:sz w:val="32"/>
          <w:szCs w:val="36"/>
          <w:highlight w:val="none"/>
        </w:rPr>
        <w:t>二 总则</w:t>
      </w:r>
      <w:bookmarkEnd w:id="36"/>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1.采购人、采购代理机构及投标人</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1.1采购人：是指依法进行政府采购的国家机关、事业单位、团体组织。本项目采购人见投标人须知表1.1款。</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1.2采购代理机构：是指集中采购机构或从事采购代理业务的社会中介机构，本项目的采购代理机构见投标人须知表1.2款。</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★1.3投标人：是指向采购人提供货物、工程或者服务的法人、非法人组织或者自然人。本项目的投标人及其投标货物须满足以下条件：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1.3.1在中华人民共和国境内注册，能够独立承担民事责任，有生产或供应能力的本国供应商。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1.3.3以采购代理机构认可的方式获得了本项目的招标文件。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1.3.4符合投标人须知表1.3.4款中规定的资格条件。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若投标人须知表1.3.5款中未写明允许采购进口产品，如投标人所投产品为进口产品，其投标将被认定为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1.3.6若投标人须知表1.3.6款中写明专门面向中小企业采购的，如投标人为非中小企业且所投产品为非中小企业产品，其投标将被认定为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★1.4如投标人须知表1.4款中允许联合体投标，对联合体规定如下：</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1.4.1两个以上供应商可以组成一个投标联合体，以一个投标人的身份投标。</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1.4.2联合体各方均应符合《中华人民共和国政府采购法》第二十二条规定的条件。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1.4.3采购人根据采购项目对投标人的特殊要求，联合体中至少应当有一方符合相关规定。</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1.4.4联合体各方应签订共同投标协议，明确约定联合体各方承担的工作和相应的责任。</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1.4.6联合体中有同类资质的供应商按照联合体分工承担相同工作的，按照较低的资质等级确定联合体的资质等级。</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1.4.7以联合体形式参加政府采购活动的，联合体各方不得再单独参加或者与其他供应商另外组成联合体参加本项目投标，否则相关投标将被认定为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（1）两个以上的自然人、法人或者其他组织可以组成一个联合体，以一个投标人的身份共同参加政府采购活动。</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（2）联合体中标的，联合体各方应共同与采购人签订采购合同，就采购合同约定的事项对采购人承担连带责任。</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1.4.8对联合体投标的其他资格要求见投标人须知表1.4.8款。</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★1.5单位负责人为同一人或者存在直接控股、管理关系的不同供应商，其相关投标将被认定为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★1.7投标人在投标过程中不得向采购人提供、给予任何有价值的物品，影响其正常决策行为。一经发现，其将被认定为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2.资金来源</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2.2项目预算金额和分项或分包最高限价见投标人须知表2.2款。</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2.3投标人报价超过招标文件规定的预算金额或者分项、分包最高限价的，其投标将被认定为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b/>
          <w:bCs/>
          <w:color w:val="auto"/>
          <w:szCs w:val="21"/>
          <w:highlight w:val="none"/>
        </w:rPr>
      </w:pPr>
      <w:bookmarkStart w:id="37" w:name="_Toc266951048"/>
      <w:r>
        <w:rPr>
          <w:rFonts w:hint="eastAsia" w:ascii="仿宋" w:hAnsi="仿宋" w:eastAsia="仿宋" w:cs="仿宋"/>
          <w:b/>
          <w:bCs/>
          <w:color w:val="auto"/>
          <w:szCs w:val="21"/>
          <w:highlight w:val="none"/>
        </w:rPr>
        <w:t>3.语言文字</w:t>
      </w:r>
      <w:bookmarkEnd w:id="37"/>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hint="eastAsia" w:ascii="仿宋" w:hAnsi="仿宋" w:eastAsia="仿宋" w:cs="仿宋"/>
          <w:b/>
          <w:bCs/>
          <w:color w:val="auto"/>
          <w:szCs w:val="21"/>
          <w:highlight w:val="none"/>
        </w:rPr>
      </w:pPr>
      <w:bookmarkStart w:id="38" w:name="_1.8_计量单位"/>
      <w:bookmarkEnd w:id="38"/>
      <w:bookmarkStart w:id="39" w:name="_Toc266951049"/>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4.计量单位</w:t>
      </w:r>
      <w:bookmarkEnd w:id="39"/>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除投标人须知表4款中有特殊要求外，投标文件中所使用的计量单位，应采用中华人民共和国法定计量单位。</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5.投标费用</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不论投标的结果如何，投标人应承担所有与投标有关的费用。</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6.现场考察、开标前答疑会</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6.1</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"_踏勘现场"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1"/>
          <w:highlight w:val="none"/>
        </w:rPr>
        <w:t>投标人须知表</w: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hint="eastAsia" w:ascii="仿宋" w:hAnsi="仿宋" w:eastAsia="仿宋" w:cs="仿宋"/>
          <w:b/>
          <w:bCs/>
          <w:color w:val="auto"/>
          <w:szCs w:val="21"/>
          <w:highlight w:val="none"/>
        </w:rPr>
      </w:pPr>
      <w:bookmarkStart w:id="40" w:name="_1.10_投标预备会"/>
      <w:bookmarkEnd w:id="40"/>
      <w:r>
        <w:rPr>
          <w:rFonts w:hint="eastAsia" w:ascii="仿宋" w:hAnsi="仿宋" w:eastAsia="仿宋" w:cs="仿宋"/>
          <w:color w:val="auto"/>
          <w:szCs w:val="21"/>
          <w:highlight w:val="none"/>
        </w:rPr>
        <w:t>6.2</w:t>
      </w:r>
      <w:r>
        <w:rPr>
          <w:rFonts w:hint="eastAsia" w:ascii="仿宋" w:hAnsi="仿宋" w:eastAsia="仿宋" w:cs="仿宋"/>
          <w:color w:val="auto"/>
          <w:kern w:val="0"/>
          <w:szCs w:val="21"/>
          <w:highlight w:val="none"/>
        </w:rPr>
        <w:t>由于未参加现场考察或标前答疑而导致对项目实际情况不了解，影响技术文件编制、</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color w:val="auto"/>
          <w:highlight w:val="none"/>
        </w:rPr>
        <w:fldChar w:fldCharType="separate"/>
      </w:r>
      <w:r>
        <w:rPr>
          <w:rFonts w:hint="eastAsia" w:ascii="仿宋" w:hAnsi="仿宋" w:eastAsia="仿宋" w:cs="仿宋"/>
          <w:color w:val="auto"/>
          <w:kern w:val="0"/>
          <w:szCs w:val="21"/>
          <w:highlight w:val="none"/>
        </w:rPr>
        <w:t>投标报价</w:t>
      </w:r>
      <w:r>
        <w:rPr>
          <w:rFonts w:hint="eastAsia" w:ascii="仿宋" w:hAnsi="仿宋" w:eastAsia="仿宋" w:cs="仿宋"/>
          <w:color w:val="auto"/>
          <w:kern w:val="0"/>
          <w:szCs w:val="21"/>
          <w:highlight w:val="none"/>
        </w:rPr>
        <w:fldChar w:fldCharType="end"/>
      </w:r>
      <w:r>
        <w:rPr>
          <w:rFonts w:hint="eastAsia" w:ascii="仿宋" w:hAnsi="仿宋" w:eastAsia="仿宋" w:cs="仿宋"/>
          <w:color w:val="auto"/>
          <w:kern w:val="0"/>
          <w:szCs w:val="21"/>
          <w:highlight w:val="none"/>
        </w:rPr>
        <w:t>准确性、综合因素响应不全面等问题的，由投标人自行承担相应后果。</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6.3现场考察及参加标前答疑会所发生的费用及一切责任由投标人自行承担。</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7.适用法律</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hint="eastAsia" w:ascii="仿宋" w:hAnsi="仿宋" w:eastAsia="仿宋" w:cs="仿宋"/>
          <w:color w:val="auto"/>
          <w:sz w:val="32"/>
          <w:szCs w:val="28"/>
          <w:highlight w:val="none"/>
        </w:rPr>
      </w:pPr>
      <w:bookmarkStart w:id="41" w:name="_Toc10106_WPSOffice_Level2"/>
      <w:r>
        <w:rPr>
          <w:rFonts w:hint="eastAsia" w:ascii="仿宋" w:hAnsi="仿宋" w:eastAsia="仿宋" w:cs="仿宋"/>
          <w:color w:val="auto"/>
          <w:sz w:val="32"/>
          <w:szCs w:val="28"/>
          <w:highlight w:val="none"/>
        </w:rPr>
        <w:t>三 招标文件</w:t>
      </w:r>
      <w:bookmarkEnd w:id="41"/>
    </w:p>
    <w:p>
      <w:pPr>
        <w:tabs>
          <w:tab w:val="left" w:pos="312"/>
        </w:tabs>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8.招标文件构成</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rPr>
        <w:t>招标</w:t>
      </w:r>
      <w:r>
        <w:rPr>
          <w:rFonts w:hint="eastAsia" w:ascii="仿宋" w:hAnsi="仿宋" w:eastAsia="仿宋" w:cs="仿宋"/>
          <w:color w:val="auto"/>
          <w:highlight w:val="none"/>
        </w:rPr>
        <w:t>文件内容如下:</w:t>
      </w: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kern w:val="0"/>
          <w:szCs w:val="21"/>
          <w:highlight w:val="none"/>
        </w:rPr>
        <w:t>招标</w:t>
      </w:r>
      <w:r>
        <w:rPr>
          <w:rFonts w:hint="eastAsia" w:ascii="仿宋" w:hAnsi="仿宋" w:eastAsia="仿宋" w:cs="仿宋"/>
          <w:color w:val="auto"/>
          <w:highlight w:val="none"/>
        </w:rPr>
        <w:t>公告</w:t>
      </w:r>
    </w:p>
    <w:p>
      <w:pPr>
        <w:numPr>
          <w:ilvl w:val="0"/>
          <w:numId w:val="1"/>
        </w:numPr>
        <w:adjustRightInd w:val="0"/>
        <w:snapToGrid w:val="0"/>
        <w:spacing w:line="360" w:lineRule="auto"/>
        <w:ind w:firstLine="420" w:firstLineChars="200"/>
        <w:rPr>
          <w:rFonts w:hint="eastAsia" w:ascii="仿宋" w:hAnsi="仿宋" w:eastAsia="仿宋" w:cs="仿宋"/>
          <w:color w:val="auto"/>
          <w:highlight w:val="none"/>
        </w:rPr>
      </w:pPr>
      <w:bookmarkStart w:id="42" w:name="_Toc188_WPSOffice_Level2"/>
      <w:bookmarkStart w:id="43" w:name="_Toc4961_WPSOffice_Level2"/>
      <w:bookmarkStart w:id="44" w:name="_Toc25935_WPSOffice_Level2"/>
      <w:bookmarkStart w:id="45" w:name="_Toc24604_WPSOffice_Level2"/>
      <w:r>
        <w:rPr>
          <w:rFonts w:hint="eastAsia" w:ascii="仿宋" w:hAnsi="仿宋" w:eastAsia="仿宋" w:cs="仿宋"/>
          <w:color w:val="auto"/>
          <w:highlight w:val="none"/>
        </w:rPr>
        <w:t>投标人须知</w:t>
      </w:r>
      <w:bookmarkEnd w:id="42"/>
      <w:bookmarkEnd w:id="43"/>
      <w:bookmarkEnd w:id="44"/>
      <w:bookmarkEnd w:id="45"/>
    </w:p>
    <w:p>
      <w:pPr>
        <w:adjustRightInd w:val="0"/>
        <w:snapToGrid w:val="0"/>
        <w:spacing w:line="360" w:lineRule="auto"/>
        <w:ind w:firstLine="420" w:firstLineChars="200"/>
        <w:rPr>
          <w:rFonts w:hint="eastAsia" w:ascii="仿宋" w:hAnsi="仿宋" w:eastAsia="仿宋" w:cs="仿宋"/>
          <w:color w:val="auto"/>
          <w:highlight w:val="none"/>
        </w:rPr>
      </w:pPr>
      <w:bookmarkStart w:id="46" w:name="_Toc31424_WPSOffice_Level2"/>
      <w:bookmarkStart w:id="47" w:name="_Toc32235_WPSOffice_Level2"/>
      <w:bookmarkStart w:id="48" w:name="_Toc13276_WPSOffice_Level2"/>
      <w:bookmarkStart w:id="49" w:name="_Toc2443_WPSOffice_Level2"/>
      <w:r>
        <w:rPr>
          <w:rFonts w:hint="eastAsia" w:ascii="仿宋" w:hAnsi="仿宋" w:eastAsia="仿宋" w:cs="仿宋"/>
          <w:color w:val="auto"/>
          <w:highlight w:val="none"/>
        </w:rPr>
        <w:t>第二章 投标文件内容及格式</w:t>
      </w:r>
      <w:bookmarkEnd w:id="46"/>
      <w:bookmarkEnd w:id="47"/>
      <w:bookmarkEnd w:id="48"/>
      <w:bookmarkEnd w:id="49"/>
    </w:p>
    <w:p>
      <w:pPr>
        <w:adjustRightInd w:val="0"/>
        <w:snapToGrid w:val="0"/>
        <w:spacing w:line="360" w:lineRule="auto"/>
        <w:ind w:firstLine="420" w:firstLineChars="200"/>
        <w:rPr>
          <w:rFonts w:hint="eastAsia" w:ascii="仿宋" w:hAnsi="仿宋" w:eastAsia="仿宋" w:cs="仿宋"/>
          <w:color w:val="auto"/>
          <w:highlight w:val="none"/>
        </w:rPr>
      </w:pPr>
      <w:bookmarkStart w:id="50" w:name="_Toc4416_WPSOffice_Level2"/>
      <w:bookmarkStart w:id="51" w:name="_Toc16269_WPSOffice_Level2"/>
      <w:bookmarkStart w:id="52" w:name="_Toc24836_WPSOffice_Level2"/>
      <w:bookmarkStart w:id="53" w:name="_Toc7005_WPSOffice_Level2"/>
      <w:r>
        <w:rPr>
          <w:rFonts w:hint="eastAsia" w:ascii="仿宋" w:hAnsi="仿宋" w:eastAsia="仿宋" w:cs="仿宋"/>
          <w:color w:val="auto"/>
          <w:highlight w:val="none"/>
        </w:rPr>
        <w:t>第三章 货物需求</w:t>
      </w:r>
      <w:bookmarkEnd w:id="50"/>
      <w:bookmarkEnd w:id="51"/>
      <w:bookmarkEnd w:id="52"/>
      <w:bookmarkEnd w:id="53"/>
    </w:p>
    <w:p>
      <w:pPr>
        <w:adjustRightInd w:val="0"/>
        <w:snapToGrid w:val="0"/>
        <w:spacing w:line="360" w:lineRule="auto"/>
        <w:ind w:firstLine="420" w:firstLineChars="200"/>
        <w:rPr>
          <w:rFonts w:hint="eastAsia" w:ascii="仿宋" w:hAnsi="仿宋" w:eastAsia="仿宋" w:cs="仿宋"/>
          <w:color w:val="auto"/>
          <w:highlight w:val="none"/>
        </w:rPr>
      </w:pPr>
      <w:bookmarkStart w:id="54" w:name="_Toc25382_WPSOffice_Level2"/>
      <w:bookmarkStart w:id="55" w:name="_Toc23459_WPSOffice_Level2"/>
      <w:bookmarkStart w:id="56" w:name="_Toc16294_WPSOffice_Level2"/>
      <w:bookmarkStart w:id="57" w:name="_Toc16119_WPSOffice_Level2"/>
      <w:r>
        <w:rPr>
          <w:rFonts w:hint="eastAsia" w:ascii="仿宋" w:hAnsi="仿宋" w:eastAsia="仿宋" w:cs="仿宋"/>
          <w:color w:val="auto"/>
          <w:highlight w:val="none"/>
        </w:rPr>
        <w:t>第四章 评标方法</w:t>
      </w:r>
      <w:bookmarkEnd w:id="54"/>
      <w:bookmarkEnd w:id="55"/>
      <w:bookmarkEnd w:id="56"/>
      <w:bookmarkEnd w:id="57"/>
    </w:p>
    <w:p>
      <w:pPr>
        <w:adjustRightInd w:val="0"/>
        <w:snapToGrid w:val="0"/>
        <w:spacing w:line="360" w:lineRule="auto"/>
        <w:ind w:firstLine="420" w:firstLineChars="200"/>
        <w:rPr>
          <w:rFonts w:hint="eastAsia" w:ascii="仿宋" w:hAnsi="仿宋" w:eastAsia="仿宋" w:cs="仿宋"/>
          <w:color w:val="auto"/>
          <w:highlight w:val="none"/>
        </w:rPr>
      </w:pPr>
      <w:bookmarkStart w:id="58" w:name="_Toc9629_WPSOffice_Level2"/>
      <w:bookmarkStart w:id="59" w:name="_Toc16368_WPSOffice_Level2"/>
      <w:bookmarkStart w:id="60" w:name="_Toc28106_WPSOffice_Level2"/>
      <w:bookmarkStart w:id="61" w:name="_Toc17794_WPSOffice_Level2"/>
      <w:r>
        <w:rPr>
          <w:rFonts w:hint="eastAsia" w:ascii="仿宋" w:hAnsi="仿宋" w:eastAsia="仿宋" w:cs="仿宋"/>
          <w:color w:val="auto"/>
          <w:highlight w:val="none"/>
        </w:rPr>
        <w:t>第五章 政府采购合同</w:t>
      </w:r>
      <w:bookmarkEnd w:id="58"/>
      <w:bookmarkEnd w:id="59"/>
      <w:bookmarkEnd w:id="60"/>
      <w:bookmarkEnd w:id="61"/>
      <w:r>
        <w:rPr>
          <w:rFonts w:hint="eastAsia" w:ascii="仿宋" w:hAnsi="仿宋" w:eastAsia="仿宋" w:cs="仿宋"/>
          <w:color w:val="auto"/>
          <w:highlight w:val="none"/>
        </w:rPr>
        <w:t>条款及格式</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9.招标文件的澄清与修改</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9.2澄清或者修改的内容为招标文件的组成部分，对所有招标文件的收受人具有约束力。投标人在收到上述通知后，应及时向采购代理机构回函确认。</w:t>
      </w:r>
    </w:p>
    <w:p>
      <w:pPr>
        <w:pStyle w:val="3"/>
        <w:rPr>
          <w:rFonts w:hint="eastAsia" w:ascii="仿宋" w:hAnsi="仿宋" w:eastAsia="仿宋" w:cs="仿宋"/>
          <w:color w:val="auto"/>
          <w:sz w:val="32"/>
          <w:szCs w:val="32"/>
          <w:highlight w:val="none"/>
        </w:rPr>
      </w:pPr>
      <w:bookmarkStart w:id="62" w:name="_Toc7415_WPSOffice_Level2"/>
      <w:r>
        <w:rPr>
          <w:rFonts w:hint="eastAsia" w:ascii="仿宋" w:hAnsi="仿宋" w:eastAsia="仿宋" w:cs="仿宋"/>
          <w:color w:val="auto"/>
          <w:sz w:val="32"/>
          <w:szCs w:val="32"/>
          <w:highlight w:val="none"/>
        </w:rPr>
        <w:t>四 投标文件的编制</w:t>
      </w:r>
      <w:bookmarkEnd w:id="62"/>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10.投标范围</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10.1项目有分包的，投标人可对招标文件其中某一个分包或几个分包进行投标。</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★10.2投标人应当对所投分包在招标文件中“货物需求”所列的所有货物内容进行投标，如仅响应分包中某一部分内容，其该包投标将被认定为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pStyle w:val="10"/>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10.4无论招标文件第三章货物需求中是否要求，投标人所投货物均应符合国家强制性标准。</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11.投标文件构成</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★11.2投标人应按招标文件提供的格式编写投标文件。招标文件提供标准格式的按标准格式填列，未提供标准格式的可自行拟定。</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 样品或演示要求详见投标人须知表11.3款。</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12.投标报价</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12.3投标人应按招标文件要求在相关表格中标明投标货物及伴随服务的单价和总价，并由法定代表人（非法人组织的负责人）或其委托代理人签署。</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12.4投标人所报的各分项投标单价在合同履行过程中是固定不变的，不得以任何理由予以变更。任何包含价格调整要求的投标，其投标将被认定为</w:t>
      </w:r>
      <w:r>
        <w:rPr>
          <w:rFonts w:hint="eastAsia" w:ascii="仿宋" w:hAnsi="仿宋" w:eastAsia="仿宋" w:cs="仿宋"/>
          <w:b/>
          <w:bCs/>
          <w:color w:val="auto"/>
          <w:szCs w:val="21"/>
          <w:highlight w:val="none"/>
        </w:rPr>
        <w:t>投标无效。</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12.5每种货物只能有一个投标报价。采购人不接受具有附加条件的报价。</w:t>
      </w:r>
    </w:p>
    <w:p>
      <w:pPr>
        <w:adjustRightInd w:val="0"/>
        <w:snapToGrid w:val="0"/>
        <w:spacing w:line="360" w:lineRule="auto"/>
        <w:rPr>
          <w:rFonts w:hint="eastAsia" w:ascii="仿宋" w:hAnsi="仿宋" w:eastAsia="仿宋" w:cs="仿宋"/>
          <w:color w:val="auto"/>
          <w:szCs w:val="21"/>
          <w:highlight w:val="none"/>
        </w:rPr>
      </w:pPr>
      <w:bookmarkStart w:id="63" w:name="_Toc31973_WPSOffice_Level2"/>
      <w:bookmarkStart w:id="64" w:name="_Toc22507_WPSOffice_Level2"/>
      <w:r>
        <w:rPr>
          <w:rFonts w:hint="eastAsia" w:ascii="仿宋" w:hAnsi="仿宋" w:eastAsia="仿宋" w:cs="仿宋"/>
          <w:color w:val="auto"/>
          <w:szCs w:val="21"/>
          <w:highlight w:val="none"/>
        </w:rPr>
        <w:t>12.6除非招标文件另有规定，报价原则上精确到小数点后两位。</w:t>
      </w:r>
      <w:bookmarkEnd w:id="63"/>
      <w:bookmarkEnd w:id="64"/>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★13.投标保证金</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13.1投标人应提交投标人须知表13.1款中规定的投标保证金，并作为其投标的一部分。</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13.3投标人存在下列情形的，投标保证金不予退还：</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（1）在投标有效期内，投标人撤销投标的；</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（2）中标后不按本须知第34款的规定与采购人签订合同的；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（3）中标后不按本须知第35款的规定提交履约保证金的；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（4）中标后不按本须知第36款的规定缴纳采购代理服务费的；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（5）存在其他违法违规行为的。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13.4联合体投标的，可以由联合体中的一方或者共同提交投标保证金。以一方名义提交投标保证金的，对联合体各方均具有约束力。</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13.5投标保证金的退还</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13.5.1中标人应在与采购人签订合同之日起5个工作日内，及时联系保证金收受机构办理投标保证金退还手续。</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13.5.4 政府采购投标担保函不予退回。</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13.6 因投标人自身原因导致无法及时退还的，采购人或采购代理机构将不承担相应责任。</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14.证明投标标的的合格性和符合招标文件规定的技术文件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14.1投标人应提交证明文件，证明其投标内容符合招标文件规定。该证明文件是投标文件的一部分。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14.2上款所述的证明文件，可以是文字资料、图纸和数据，它包括：</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（1）货物主要技术指标和性能的详细说明；</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15.投标有效期</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15.1投标应在投标人须知表15.1款中规定的投标有效期内保持有效。投标有效期不满足要求的投标，其投标将被认定为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16.投标文件的签署及规定</w:t>
      </w:r>
    </w:p>
    <w:p>
      <w:pPr>
        <w:adjustRightInd w:val="0"/>
        <w:snapToGrid w:val="0"/>
        <w:spacing w:line="360" w:lineRule="auto"/>
        <w:rPr>
          <w:rFonts w:hint="eastAsia" w:ascii="仿宋" w:hAnsi="仿宋" w:eastAsia="仿宋" w:cs="仿宋"/>
          <w:color w:val="auto"/>
          <w:szCs w:val="21"/>
          <w:highlight w:val="none"/>
        </w:rPr>
      </w:pPr>
      <w:bookmarkStart w:id="65" w:name="_Toc27725_WPSOffice_Level2"/>
      <w:r>
        <w:rPr>
          <w:rFonts w:hint="eastAsia" w:ascii="仿宋" w:hAnsi="仿宋" w:eastAsia="仿宋" w:cs="仿宋"/>
          <w:color w:val="auto"/>
          <w:szCs w:val="21"/>
          <w:highlight w:val="none"/>
        </w:rPr>
        <w:t>16.1投标人应按投标人须知表16.1款中的规定，准备和递交投标文件正本和电子备份文档。</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★16.2辽宁政府采购网网上上传电子文件。网上上传文件为正本文件。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16.3投标文件的正本辽宁政府采购网网上，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pPr>
        <w:pStyle w:val="3"/>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rPr>
        <w:t>五 投标文件的递交</w:t>
      </w:r>
      <w:bookmarkEnd w:id="65"/>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17.电子备份文件的密封和标记</w:t>
      </w:r>
      <w:r>
        <w:rPr>
          <w:rFonts w:hint="eastAsia" w:ascii="仿宋" w:hAnsi="仿宋" w:eastAsia="仿宋" w:cs="仿宋"/>
          <w:b/>
          <w:color w:val="auto"/>
          <w:szCs w:val="21"/>
          <w:highlight w:val="none"/>
        </w:rPr>
        <w:t>（采用加密文件发送至邮箱的供应商不适用）</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17.1投标人应将电子备份文件密封，并进行包封。</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17.2所有包装封皮上均应：</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（1）注明项目名称、项目编号、包号、投标人名称。</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（2）加盖投标人单位公章。</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17.3如果投标人未按上述要求密封，其电子备份文件将被</w:t>
      </w:r>
      <w:r>
        <w:rPr>
          <w:rFonts w:hint="eastAsia" w:ascii="仿宋" w:hAnsi="仿宋" w:eastAsia="仿宋" w:cs="仿宋"/>
          <w:b/>
          <w:bCs/>
          <w:color w:val="auto"/>
          <w:szCs w:val="21"/>
          <w:highlight w:val="none"/>
        </w:rPr>
        <w:t>拒绝接收</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18.投标截止</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18.1投标人应在投标人须知表18.1中规定的递交投标文件截止时间前，将投标文件递交到投标人须知表18.1款中规定的地点。</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19.投标文件的接收、修改与撤回</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19.1在投标截止时间后送达的投标文件，采购人和采购代理机构将</w:t>
      </w:r>
      <w:r>
        <w:rPr>
          <w:rFonts w:hint="eastAsia" w:ascii="仿宋" w:hAnsi="仿宋" w:eastAsia="仿宋" w:cs="仿宋"/>
          <w:b/>
          <w:bCs/>
          <w:color w:val="auto"/>
          <w:szCs w:val="21"/>
          <w:highlight w:val="none"/>
        </w:rPr>
        <w:t>拒绝接收</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19.2采购人或者采购代理机构收到投标文件后，应当如实记载投标文件的送达时间和密封情况。</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19.4在投标截止时间之后，投标人不得对其投标文件做任何修改。</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19.5采购人和采购代理机构对所接收并当众宣读投标内容的投标文件概不退回。</w:t>
      </w:r>
    </w:p>
    <w:p>
      <w:pPr>
        <w:pStyle w:val="3"/>
        <w:rPr>
          <w:rFonts w:hint="eastAsia" w:ascii="仿宋" w:hAnsi="仿宋" w:eastAsia="仿宋" w:cs="仿宋"/>
          <w:color w:val="auto"/>
          <w:sz w:val="32"/>
          <w:szCs w:val="28"/>
          <w:highlight w:val="none"/>
        </w:rPr>
      </w:pPr>
      <w:bookmarkStart w:id="66" w:name="_Toc988_WPSOffice_Level2"/>
      <w:r>
        <w:rPr>
          <w:rFonts w:hint="eastAsia" w:ascii="仿宋" w:hAnsi="仿宋" w:eastAsia="仿宋" w:cs="仿宋"/>
          <w:color w:val="auto"/>
          <w:sz w:val="32"/>
          <w:szCs w:val="28"/>
          <w:highlight w:val="none"/>
        </w:rPr>
        <w:t>六 开标及评标</w:t>
      </w:r>
      <w:bookmarkEnd w:id="66"/>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20.开标</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20.1采购人和采购代理机构将按投标人须知表20.1款中规定的开标时间和地点组织公开开标并邀请所有投标人代表参加。</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投标人不足3家的，不得开标。评标委员会成员不得参加开标活动。</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未宣读投标价格、价格折扣等实质内容，评标时不予承认。</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20.3采购人或采购代理机构将对开标过程进行记录，由参加开标的各投标人代表和相关工作人员签字确认，并存档备查。投标人未参加开标或未签字确认的，视同认可开标结果。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20.4投标人代表对开标过程和开标记录有疑义，以及认为采购人、采购代理机构相关工作人员有需要回避的情形的，应当场提出询问或者回避申请。</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21.组建评标委员会</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22.资格审查</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；通过资格审查的投标人不足3家的，不得评标。</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以联合体形式参加投标的，联合体任何成员存在以上不良信用记录的，联合体投标将被认定为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22.2.2查询及记录方式：采购人或采购代理机构经办人将查询网页打印并存档备查。投标人不良信用记录以采购人或采购代理机构查询结果为准。</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在本招标文件规定的查询时间之后，网站信息发生的任何变更均不再作为评标依据。</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投标人自行提供的与网站信息不一致的其他证明材料亦不作为资格审查依据。</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23.符合性审查</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；通过符合性审查的投标人数量不足3家的，不得作进一步的比较和评价。</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24.投标文件的澄清</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24.2投标人的澄清、说明或补正将作为投标文件的一部分。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24.3投标文件报价出现前后不一致的，按照下列规定修正：</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（1）投标文件中开标一览表内容与投标文件中相应内容不一致的，以开标一览表为准；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（2）大写金额和小写金额不一致的，以大写金额为准；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（3）单价金额小数点或者百分比有明显错位的，以开标一览表的总价为准，并修改单价；</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（4）总价金额与按单价汇总金额不一致的，以单价金额计算结果为准。</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同时出现两种以上不一致的，按照前款规定的顺序修正。修正后的报价经投标人确认后产生约束力，投标人不确认的，其投标将被认定为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rPr>
        <w:t>24.4</w:t>
      </w:r>
      <w:r>
        <w:rPr>
          <w:rFonts w:hint="eastAsia" w:ascii="仿宋" w:hAnsi="仿宋" w:eastAsia="仿宋" w:cs="仿宋"/>
          <w:b/>
          <w:bCs/>
          <w:color w:val="auto"/>
          <w:szCs w:val="21"/>
          <w:highlight w:val="none"/>
        </w:rPr>
        <w:t>评标委员会认为</w:t>
      </w:r>
      <w:r>
        <w:rPr>
          <w:rFonts w:hint="eastAsia" w:ascii="仿宋" w:hAnsi="仿宋" w:eastAsia="仿宋" w:cs="仿宋"/>
          <w:color w:val="auto"/>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color w:val="auto"/>
          <w:szCs w:val="21"/>
          <w:highlight w:val="none"/>
        </w:rPr>
        <w:t>无效投标</w:t>
      </w:r>
      <w:r>
        <w:rPr>
          <w:rFonts w:hint="eastAsia" w:ascii="仿宋" w:hAnsi="仿宋" w:eastAsia="仿宋" w:cs="仿宋"/>
          <w:color w:val="auto"/>
          <w:szCs w:val="21"/>
          <w:highlight w:val="none"/>
        </w:rPr>
        <w:t>处理。提交证明材料的合理时间按第四章 评标方法规定执行。</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25样品及演示</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25.1投标人须知表11.3款中要求投标人提供样品的，按照投标人须知表25.1款中样品的评审方法以及评审标准进行评审。</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25.3演示的评审方法以及评审标准具体内容见投标人须知表25.1款。</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26.投标无效</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实质性要求是指招标文件中带有★号标识内容（包括本级及其下级编号中所有内容）等文字说明的要求。</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如果投标文件没有对招标文件的实质性要求进行响应，将作为</w:t>
      </w:r>
      <w:r>
        <w:rPr>
          <w:rFonts w:hint="eastAsia" w:ascii="仿宋" w:hAnsi="仿宋" w:eastAsia="仿宋" w:cs="仿宋"/>
          <w:b/>
          <w:bCs/>
          <w:color w:val="auto"/>
          <w:szCs w:val="21"/>
          <w:highlight w:val="none"/>
        </w:rPr>
        <w:t>无效投标</w:t>
      </w:r>
      <w:r>
        <w:rPr>
          <w:rFonts w:hint="eastAsia" w:ascii="仿宋" w:hAnsi="仿宋" w:eastAsia="仿宋" w:cs="仿宋"/>
          <w:color w:val="auto"/>
          <w:szCs w:val="21"/>
          <w:highlight w:val="none"/>
        </w:rPr>
        <w:t>处理，投标人不得再对投标文件进行任何修正从而使其投标成为实质上响应的投标。</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评标委员会决定投标的响应性只根据招标文件要求、投标文件内容及财政主管部门指定媒体发布的相关信息。</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26.2如发现下列情况之一的，其投标将被认定为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（1）未按招标文件的规定提交投标保证金的；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（2）未按照招标文件规定要求签署、盖章的；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（3）投标人的报价超过了招标文件中规定的预算金额或者最高限价的；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（4）不具备招标文件中规定的资格要求的；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（5）不符合法律、法规和招标文件中规定的其他实质性要求的。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（6）与其他投标人串通投标，或者与采购人串通投标；</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（8）投标文件含有采购人不能接受的附加条件的；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（9）属于法律、法规和招标文件规定的其他投标无效情形；</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27.比较与评价</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（1）最低评标价法，是指投标文件满足招标文件全部实质性要求，且投标报价最低的投标人为中标候选人的评标方法。</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27.3根据《政府采购促进中小企业发展管理办法》（财库[2020]46号）、《财政部 司法部关于政府采购支持监狱企业发展有关问题的通知》（财库〔2014〕68 号）和《三部门联合发布关于促进残疾人就业政府采购政策的通知》（财库〔2017〕141 号）等的规定，对于非专门面向中小企业的项目，在满足价格扣除条件且在投标文件中提交了《中小企业声明函》，或省级以上监狱管理局、戒毒管理局（含新疆生产建设兵团）出具的属于监狱企业的证明文件的投标人， 其投标报价扣除 10-20%后参与评审。具体详见第四章 评标方法。</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27.5根据财政部、辽宁省财政厅相关规定，对于列入《辽宁省创新产品和服务目录》内的产品、服务实施政府优先采购。具体优先采购办法详见第四章 评标方法。</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28.废标</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出现下列情形之一，将导致项目</w:t>
      </w:r>
      <w:r>
        <w:rPr>
          <w:rFonts w:hint="eastAsia" w:ascii="仿宋" w:hAnsi="仿宋" w:eastAsia="仿宋" w:cs="仿宋"/>
          <w:b/>
          <w:bCs/>
          <w:color w:val="auto"/>
          <w:szCs w:val="21"/>
          <w:highlight w:val="none"/>
        </w:rPr>
        <w:t>废标</w:t>
      </w:r>
      <w:r>
        <w:rPr>
          <w:rFonts w:hint="eastAsia" w:ascii="仿宋" w:hAnsi="仿宋" w:eastAsia="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（1）符合专业条件的投标人或者对招标文件做实质性响应的投标人不足3家；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（2）出现影响采购公正的违法、违规行为的；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（3）投标人的报价均超过了采购预算或最高限价，采购人不能支付的；</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（4）因重大变故，采购任务取消的。</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29.中标候选人的推荐原则及标准</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29.1除第32条规定外，评标委员会将根据评标标准，对实质上响应招标文件的投标人按下列方法进行排序，推荐中标候选人：</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（2）采用综合评分法的，评标结果按评审后得分由高到低顺序排序。得分相同的，按第四章评标办法规定执行。</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29.2评标委员会将根据评标标准，按投标人须知表29.2款中规定的数量推荐中标候选人。</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29.3因推荐中标候选人名单产生其他问题，由评标委员会集体研究处理。</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30.保密原则</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30.1评标将在严格保密的情况下进行。</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30.2有关人员应当遵守评标工作纪律，不得泄露评审文件、评标情况和评标过程中获悉的国家秘密、商业秘密。</w:t>
      </w:r>
    </w:p>
    <w:p>
      <w:pPr>
        <w:pStyle w:val="3"/>
        <w:rPr>
          <w:rFonts w:hint="eastAsia" w:ascii="仿宋" w:hAnsi="仿宋" w:eastAsia="仿宋" w:cs="仿宋"/>
          <w:color w:val="auto"/>
          <w:sz w:val="32"/>
          <w:szCs w:val="28"/>
          <w:highlight w:val="none"/>
        </w:rPr>
      </w:pPr>
      <w:bookmarkStart w:id="67" w:name="_Toc4544_WPSOffice_Level2"/>
      <w:r>
        <w:rPr>
          <w:rFonts w:hint="eastAsia" w:ascii="仿宋" w:hAnsi="仿宋" w:eastAsia="仿宋" w:cs="仿宋"/>
          <w:color w:val="auto"/>
          <w:sz w:val="32"/>
          <w:szCs w:val="28"/>
          <w:highlight w:val="none"/>
        </w:rPr>
        <w:t>七 确定中标</w:t>
      </w:r>
      <w:bookmarkEnd w:id="67"/>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31.确定中标人</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由采购人或者采购人委托评标委员会按照投标人须知表31中规定的方式确定中标人。</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★32.采购任务取消</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因重大变故采购任务取消时，采购人有权拒绝任何供应商中标，且对受影响的投标人不承担任何责任。</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33.中标通知书</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33.1采购人或者采购代理机构应当自中标人确定之日起2个工作日内，在辽宁政府采购网及其地方分网媒体上公告中标结果。同时向中标人发出中标通知书。</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33.2中标通知书是合同的组成部分。</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34.签订合同</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34.1中标人应当自发出中标通知书之日起 30 日内，与采购人签订书面合同。</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34.3 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35.履约保证金</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35.1中标人应按照投标人须知表35.1款规定向采购人缴纳履约保证金。</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36.采购代理服务费</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中标人须按照投标须知表36款规定，向采购代理机构支付采购代理服务费。</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37.廉洁自律规定</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37.1采购代理机构工作人员不得以不正当手段获取政府采购代理业务，不得与采购人、投标人恶意串通操纵政府采购活动。</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37.2采购代理机构工作人员不得接受采购人或者投标人组织的宴请、旅游、娱乐，不得收受礼品、现金、有价证券等，不得向采购人或者投标人报销应当由个人承担的费用。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38.人员回避</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39.质疑与接收</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超出法定质疑期的、重复提出的、分次提出的或内容、形式不符合《政府采购质疑和投诉办法》的，质疑投标人将依法承担不利后果。</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39.3采购代理机构质疑函接收部门、联系电话和通讯地址, 见投标人须知表39.3款。</w:t>
      </w:r>
    </w:p>
    <w:p>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40.履约验收</w:t>
      </w:r>
    </w:p>
    <w:p>
      <w:pPr>
        <w:adjustRightInd w:val="0"/>
        <w:snapToGrid w:val="0"/>
        <w:spacing w:line="360" w:lineRule="auto"/>
        <w:ind w:firstLine="420"/>
        <w:rPr>
          <w:rFonts w:hint="eastAsia" w:ascii="仿宋" w:hAnsi="仿宋" w:eastAsia="仿宋" w:cs="仿宋"/>
          <w:b/>
          <w:color w:val="auto"/>
          <w:highlight w:val="none"/>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 w:hAnsi="仿宋" w:eastAsia="仿宋" w:cs="仿宋"/>
          <w:color w:val="auto"/>
          <w:szCs w:val="21"/>
          <w:highlight w:val="none"/>
        </w:rPr>
        <w:t>本项目采购人及其委托的采购代理机构将严格按照政府采购相关法律法规以及《辽宁省政府采购履约验收管理办法》（辽财采〔2017〕603号）的要求进行验收。</w:t>
      </w:r>
    </w:p>
    <w:p>
      <w:pPr>
        <w:pStyle w:val="2"/>
        <w:adjustRightInd w:val="0"/>
        <w:snapToGrid w:val="0"/>
        <w:spacing w:before="0" w:after="0"/>
        <w:rPr>
          <w:rFonts w:hint="eastAsia" w:ascii="仿宋" w:hAnsi="仿宋" w:eastAsia="仿宋" w:cs="仿宋"/>
          <w:color w:val="auto"/>
          <w:highlight w:val="none"/>
        </w:rPr>
      </w:pPr>
      <w:bookmarkStart w:id="68" w:name="_Toc6403"/>
      <w:bookmarkStart w:id="69" w:name="_Toc17725_WPSOffice_Level1"/>
      <w:r>
        <w:rPr>
          <w:rFonts w:hint="eastAsia" w:ascii="仿宋" w:hAnsi="仿宋" w:eastAsia="仿宋" w:cs="仿宋"/>
          <w:color w:val="auto"/>
          <w:highlight w:val="none"/>
        </w:rPr>
        <w:t>第二章 投标文件内容及格式</w:t>
      </w:r>
      <w:bookmarkEnd w:id="68"/>
      <w:bookmarkEnd w:id="69"/>
    </w:p>
    <w:p>
      <w:pPr>
        <w:spacing w:before="159" w:beforeLines="50"/>
        <w:rPr>
          <w:rFonts w:hint="eastAsia" w:ascii="仿宋" w:hAnsi="仿宋" w:eastAsia="仿宋" w:cs="仿宋"/>
          <w:b/>
          <w:color w:val="auto"/>
          <w:sz w:val="24"/>
          <w:highlight w:val="none"/>
        </w:rPr>
      </w:pPr>
      <w:bookmarkStart w:id="70" w:name="sys_投标文件内容及格式：Block"/>
      <w:bookmarkEnd w:id="70"/>
      <w:bookmarkStart w:id="71" w:name="投标文件内容及格式：Block"/>
      <w:bookmarkEnd w:id="71"/>
      <w:bookmarkStart w:id="72" w:name="_Toc2481_WPSOffice_Level2"/>
      <w:bookmarkStart w:id="73" w:name="_Toc1538_WPSOffice_Level2"/>
      <w:r>
        <w:rPr>
          <w:rFonts w:hint="eastAsia" w:ascii="仿宋" w:hAnsi="仿宋" w:eastAsia="仿宋" w:cs="仿宋"/>
          <w:b/>
          <w:color w:val="auto"/>
          <w:sz w:val="24"/>
          <w:highlight w:val="none"/>
        </w:rPr>
        <w:t>一、投标文件、电子文档的外封面、封口、封皮及目录</w:t>
      </w:r>
      <w:bookmarkEnd w:id="72"/>
      <w:bookmarkEnd w:id="73"/>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76"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内容</w:t>
            </w:r>
          </w:p>
        </w:tc>
        <w:tc>
          <w:tcPr>
            <w:tcW w:w="742"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6976" w:type="dxa"/>
            <w:vAlign w:val="center"/>
          </w:tcPr>
          <w:p>
            <w:pPr>
              <w:widowControl/>
              <w:adjustRightInd w:val="0"/>
              <w:snapToGrid w:val="0"/>
              <w:jc w:val="left"/>
              <w:rPr>
                <w:rFonts w:hint="eastAsia" w:ascii="仿宋" w:hAnsi="仿宋" w:eastAsia="仿宋" w:cs="仿宋"/>
                <w:b/>
                <w:color w:val="auto"/>
                <w:kern w:val="0"/>
                <w:szCs w:val="21"/>
                <w:highlight w:val="none"/>
              </w:rPr>
            </w:pPr>
            <w:r>
              <w:rPr>
                <w:rFonts w:hint="eastAsia" w:ascii="仿宋" w:hAnsi="仿宋" w:eastAsia="仿宋" w:cs="仿宋"/>
                <w:color w:val="auto"/>
                <w:kern w:val="0"/>
                <w:szCs w:val="21"/>
                <w:highlight w:val="none"/>
              </w:rPr>
              <w:t>投标文件、电子文档的外封面及封口</w:t>
            </w:r>
          </w:p>
        </w:tc>
        <w:tc>
          <w:tcPr>
            <w:tcW w:w="742"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6976" w:type="dxa"/>
            <w:vAlign w:val="center"/>
          </w:tcPr>
          <w:p>
            <w:pPr>
              <w:widowControl/>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投标文件的封皮</w:t>
            </w:r>
          </w:p>
        </w:tc>
        <w:tc>
          <w:tcPr>
            <w:tcW w:w="742"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6976" w:type="dxa"/>
            <w:vAlign w:val="center"/>
          </w:tcPr>
          <w:p>
            <w:pPr>
              <w:widowControl/>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投标文件的目录</w:t>
            </w:r>
          </w:p>
        </w:tc>
        <w:tc>
          <w:tcPr>
            <w:tcW w:w="742" w:type="dxa"/>
            <w:vAlign w:val="center"/>
          </w:tcPr>
          <w:p>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r>
    </w:tbl>
    <w:p>
      <w:pPr>
        <w:snapToGrid w:val="0"/>
        <w:spacing w:before="159" w:beforeLines="50"/>
        <w:rPr>
          <w:rFonts w:hint="eastAsia" w:ascii="仿宋" w:hAnsi="仿宋" w:eastAsia="仿宋" w:cs="仿宋"/>
          <w:b/>
          <w:color w:val="auto"/>
          <w:sz w:val="24"/>
          <w:highlight w:val="none"/>
        </w:rPr>
      </w:pPr>
      <w:bookmarkStart w:id="74" w:name="_Toc1266_WPSOffice_Level2"/>
      <w:bookmarkStart w:id="75" w:name="_Toc31052_WPSOffice_Level2"/>
      <w:r>
        <w:rPr>
          <w:rFonts w:hint="eastAsia" w:ascii="仿宋" w:hAnsi="仿宋" w:eastAsia="仿宋" w:cs="仿宋"/>
          <w:b/>
          <w:color w:val="auto"/>
          <w:sz w:val="24"/>
          <w:highlight w:val="none"/>
        </w:rPr>
        <w:t>二、资格证明材料</w:t>
      </w:r>
      <w:bookmarkEnd w:id="74"/>
      <w:bookmarkEnd w:id="75"/>
      <w:r>
        <w:rPr>
          <w:rFonts w:hint="eastAsia" w:ascii="仿宋" w:hAnsi="仿宋" w:eastAsia="仿宋" w:cs="仿宋"/>
          <w:b/>
          <w:color w:val="auto"/>
          <w:sz w:val="24"/>
          <w:highlight w:val="none"/>
        </w:rPr>
        <w:t>（有一项不符合要求，不能进入下一阶段评审）</w:t>
      </w:r>
    </w:p>
    <w:tbl>
      <w:tblPr>
        <w:tblStyle w:val="28"/>
        <w:tblW w:w="0" w:type="auto"/>
        <w:jc w:val="center"/>
        <w:tblLayout w:type="fixed"/>
        <w:tblCellMar>
          <w:top w:w="0" w:type="dxa"/>
          <w:left w:w="0" w:type="dxa"/>
          <w:bottom w:w="0" w:type="dxa"/>
          <w:right w:w="0" w:type="dxa"/>
        </w:tblCellMar>
      </w:tblPr>
      <w:tblGrid>
        <w:gridCol w:w="677"/>
        <w:gridCol w:w="7052"/>
        <w:gridCol w:w="761"/>
      </w:tblGrid>
      <w:tr>
        <w:tblPrEx>
          <w:tblCellMar>
            <w:top w:w="0" w:type="dxa"/>
            <w:left w:w="0" w:type="dxa"/>
            <w:bottom w:w="0" w:type="dxa"/>
            <w:right w:w="0" w:type="dxa"/>
          </w:tblCellMar>
        </w:tblPrEx>
        <w:trPr>
          <w:trHeight w:val="494" w:hRule="atLeast"/>
          <w:tblHeader/>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bookmarkStart w:id="76" w:name="sys_资格性证明材料：Document"/>
            <w:bookmarkStart w:id="77" w:name="资格性证明材料：Document"/>
            <w:r>
              <w:rPr>
                <w:rFonts w:hint="eastAsia" w:ascii="仿宋" w:hAnsi="仿宋" w:eastAsia="仿宋" w:cs="仿宋"/>
                <w:color w:val="auto"/>
                <w:szCs w:val="21"/>
                <w:highlight w:val="none"/>
              </w:rPr>
              <w:t>序号</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资格证明材料</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w:t>
            </w:r>
          </w:p>
        </w:tc>
      </w:tr>
      <w:tr>
        <w:tblPrEx>
          <w:tblCellMar>
            <w:top w:w="0" w:type="dxa"/>
            <w:left w:w="0" w:type="dxa"/>
            <w:bottom w:w="0" w:type="dxa"/>
            <w:right w:w="0" w:type="dxa"/>
          </w:tblCellMar>
        </w:tblPrEx>
        <w:trPr>
          <w:trHeight w:val="723"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营业执照或事业单位法人证书或执业许可证等证明文件复印件或自然人的身份证明复印件（自然人身份证明仅在自然人作为投标主体时适用）</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p>
        </w:tc>
      </w:tr>
      <w:tr>
        <w:tblPrEx>
          <w:tblCellMar>
            <w:top w:w="0" w:type="dxa"/>
            <w:left w:w="0" w:type="dxa"/>
            <w:bottom w:w="0" w:type="dxa"/>
            <w:right w:w="0" w:type="dxa"/>
          </w:tblCellMar>
        </w:tblPrEx>
        <w:trPr>
          <w:trHeight w:val="494"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法定代表人（或非法人组织负责人）身份证明书（自然人投标的无需提供）</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r>
      <w:tr>
        <w:tblPrEx>
          <w:tblCellMar>
            <w:top w:w="0" w:type="dxa"/>
            <w:left w:w="0" w:type="dxa"/>
            <w:bottom w:w="0" w:type="dxa"/>
            <w:right w:w="0" w:type="dxa"/>
          </w:tblCellMar>
        </w:tblPrEx>
        <w:trPr>
          <w:trHeight w:val="494"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法定代表人（或非法人组织负责人）授权委托书（授权委托人参加投标的须提供）</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r>
      <w:tr>
        <w:tblPrEx>
          <w:tblCellMar>
            <w:top w:w="0" w:type="dxa"/>
            <w:left w:w="0" w:type="dxa"/>
            <w:bottom w:w="0" w:type="dxa"/>
            <w:right w:w="0" w:type="dxa"/>
          </w:tblCellMar>
        </w:tblPrEx>
        <w:trPr>
          <w:trHeight w:val="485"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具有良好的商业信誉和健全的财务会计制度的承诺函</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r>
      <w:tr>
        <w:tblPrEx>
          <w:tblCellMar>
            <w:top w:w="0" w:type="dxa"/>
            <w:left w:w="0" w:type="dxa"/>
            <w:bottom w:w="0" w:type="dxa"/>
            <w:right w:w="0" w:type="dxa"/>
          </w:tblCellMar>
        </w:tblPrEx>
        <w:trPr>
          <w:trHeight w:val="961"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开标时间前六个月内任一个月的依法缴纳税收的缴款凭据复印件</w:t>
            </w:r>
          </w:p>
          <w:p>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（注：依法免税的投标人，应提供相关证明材料，包括相关法规要求原文及加盖单位公章的情况说明）</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p>
        </w:tc>
      </w:tr>
      <w:tr>
        <w:tblPrEx>
          <w:tblCellMar>
            <w:top w:w="0" w:type="dxa"/>
            <w:left w:w="0" w:type="dxa"/>
            <w:bottom w:w="0" w:type="dxa"/>
            <w:right w:w="0" w:type="dxa"/>
          </w:tblCellMar>
        </w:tblPrEx>
        <w:trPr>
          <w:trHeight w:val="961"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p>
        </w:tc>
      </w:tr>
      <w:tr>
        <w:tblPrEx>
          <w:tblCellMar>
            <w:top w:w="0" w:type="dxa"/>
            <w:left w:w="0" w:type="dxa"/>
            <w:bottom w:w="0" w:type="dxa"/>
            <w:right w:w="0" w:type="dxa"/>
          </w:tblCellMar>
        </w:tblPrEx>
        <w:trPr>
          <w:trHeight w:val="421"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具备履行合同所必需的设备和专业技术能力声明函</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r>
      <w:tr>
        <w:tblPrEx>
          <w:tblCellMar>
            <w:top w:w="0" w:type="dxa"/>
            <w:left w:w="0" w:type="dxa"/>
            <w:bottom w:w="0" w:type="dxa"/>
            <w:right w:w="0" w:type="dxa"/>
          </w:tblCellMar>
        </w:tblPrEx>
        <w:trPr>
          <w:trHeight w:val="498"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参加政府采购活动前3年内在经营活动中没有重大违法记录的书面声明</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r>
      <w:tr>
        <w:tblPrEx>
          <w:tblCellMar>
            <w:top w:w="0" w:type="dxa"/>
            <w:left w:w="0" w:type="dxa"/>
            <w:bottom w:w="0" w:type="dxa"/>
            <w:right w:w="0" w:type="dxa"/>
          </w:tblCellMar>
        </w:tblPrEx>
        <w:trPr>
          <w:trHeight w:val="723" w:hRule="atLeast"/>
          <w:jc w:val="center"/>
        </w:trPr>
        <w:tc>
          <w:tcPr>
            <w:tcW w:w="6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9</w:t>
            </w:r>
          </w:p>
        </w:tc>
        <w:tc>
          <w:tcPr>
            <w:tcW w:w="7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信用记录（采购人或采购代理机构将在招标文件规定的审查期间内进行查询）</w:t>
            </w:r>
          </w:p>
        </w:tc>
        <w:tc>
          <w:tcPr>
            <w:tcW w:w="7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 w:hAnsi="仿宋" w:eastAsia="仿宋" w:cs="仿宋"/>
                <w:color w:val="auto"/>
                <w:szCs w:val="21"/>
                <w:highlight w:val="none"/>
              </w:rPr>
            </w:pPr>
          </w:p>
        </w:tc>
      </w:tr>
    </w:tbl>
    <w:p>
      <w:pPr>
        <w:snapToGrid w:val="0"/>
        <w:spacing w:before="159" w:beforeLines="50"/>
        <w:rPr>
          <w:rFonts w:hint="eastAsia" w:ascii="仿宋" w:hAnsi="仿宋" w:eastAsia="仿宋" w:cs="仿宋"/>
          <w:b/>
          <w:color w:val="auto"/>
          <w:sz w:val="24"/>
          <w:highlight w:val="none"/>
        </w:rPr>
      </w:pPr>
      <w:bookmarkStart w:id="78" w:name="_Toc25206_WPSOffice_Level2"/>
      <w:bookmarkStart w:id="79" w:name="_Toc22359_WPSOffice_Level2"/>
      <w:r>
        <w:rPr>
          <w:rFonts w:hint="eastAsia" w:ascii="仿宋" w:hAnsi="仿宋" w:eastAsia="仿宋" w:cs="仿宋"/>
          <w:b/>
          <w:color w:val="auto"/>
          <w:sz w:val="24"/>
          <w:highlight w:val="none"/>
        </w:rPr>
        <w:t>三、符合性证明材料</w:t>
      </w:r>
      <w:bookmarkEnd w:id="78"/>
      <w:bookmarkEnd w:id="79"/>
      <w:r>
        <w:rPr>
          <w:rFonts w:hint="eastAsia" w:ascii="仿宋" w:hAnsi="仿宋" w:eastAsia="仿宋" w:cs="仿宋"/>
          <w:b/>
          <w:color w:val="auto"/>
          <w:sz w:val="24"/>
          <w:highlight w:val="none"/>
        </w:rPr>
        <w:t>（有一项不符合要求，不能进入下一阶段评审）</w:t>
      </w:r>
    </w:p>
    <w:bookmarkEnd w:id="76"/>
    <w:bookmarkEnd w:id="77"/>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8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符合性证明材料</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6986" w:type="dxa"/>
            <w:vAlign w:val="center"/>
          </w:tcPr>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投标函</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6986" w:type="dxa"/>
            <w:vAlign w:val="center"/>
          </w:tcPr>
          <w:p>
            <w:pPr>
              <w:adjustRightInd w:val="0"/>
              <w:snapToGrid w:val="0"/>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递交投标保证金证明材料复印件（以保函形式递交的保证金，保函原件应放入正本中）</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6986" w:type="dxa"/>
            <w:vAlign w:val="center"/>
          </w:tcPr>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开标一览表</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6986" w:type="dxa"/>
            <w:vAlign w:val="center"/>
          </w:tcPr>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分项报价表</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6986" w:type="dxa"/>
            <w:vAlign w:val="center"/>
          </w:tcPr>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技术规格偏离表</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6986" w:type="dxa"/>
            <w:vAlign w:val="center"/>
          </w:tcPr>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商务条款偏离表</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6986" w:type="dxa"/>
            <w:vAlign w:val="center"/>
          </w:tcPr>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投标人关联单位说明</w:t>
            </w:r>
          </w:p>
        </w:tc>
        <w:tc>
          <w:tcPr>
            <w:tcW w:w="756" w:type="dxa"/>
            <w:vAlign w:val="center"/>
          </w:tcPr>
          <w:p>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667" w:type="dxa"/>
            <w:vAlign w:val="center"/>
          </w:tcPr>
          <w:p>
            <w:pPr>
              <w:spacing w:line="360" w:lineRule="exact"/>
              <w:jc w:val="center"/>
              <w:rPr>
                <w:rFonts w:hint="eastAsia" w:ascii="仿宋" w:hAnsi="仿宋" w:eastAsia="仿宋" w:cs="仿宋"/>
                <w:color w:val="auto"/>
                <w:kern w:val="0"/>
                <w:szCs w:val="21"/>
                <w:highlight w:val="none"/>
              </w:rPr>
            </w:pPr>
            <w:bookmarkStart w:id="80" w:name="_Toc24432_WPSOffice_Level2"/>
            <w:bookmarkStart w:id="81" w:name="_Toc27769_WPSOffice_Level2"/>
            <w:r>
              <w:rPr>
                <w:rFonts w:hint="eastAsia" w:ascii="仿宋" w:hAnsi="仿宋" w:eastAsia="仿宋" w:cs="仿宋"/>
                <w:color w:val="auto"/>
                <w:kern w:val="0"/>
                <w:szCs w:val="21"/>
                <w:highlight w:val="none"/>
              </w:rPr>
              <w:t>8</w:t>
            </w:r>
          </w:p>
        </w:tc>
        <w:tc>
          <w:tcPr>
            <w:tcW w:w="6986" w:type="dxa"/>
            <w:vAlign w:val="center"/>
          </w:tcPr>
          <w:p>
            <w:pPr>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电子文件和电子备份文件一致性承诺函</w:t>
            </w:r>
          </w:p>
        </w:tc>
        <w:tc>
          <w:tcPr>
            <w:tcW w:w="756" w:type="dxa"/>
            <w:vAlign w:val="center"/>
          </w:tcPr>
          <w:p>
            <w:pPr>
              <w:spacing w:line="36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667" w:type="dxa"/>
            <w:vAlign w:val="center"/>
          </w:tcPr>
          <w:p>
            <w:pPr>
              <w:spacing w:line="360" w:lineRule="exact"/>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9</w:t>
            </w:r>
          </w:p>
        </w:tc>
        <w:tc>
          <w:tcPr>
            <w:tcW w:w="6986" w:type="dxa"/>
            <w:vAlign w:val="center"/>
          </w:tcPr>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其他符合性证明材料：</w:t>
            </w:r>
          </w:p>
          <w:p>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货物主要技术指标和性能的详细说明（产品技术说明书、官网技术参数截图、技术白皮书、产品彩页等文字资料、图纸和数据均可）</w:t>
            </w:r>
          </w:p>
        </w:tc>
        <w:tc>
          <w:tcPr>
            <w:tcW w:w="756" w:type="dxa"/>
            <w:vAlign w:val="center"/>
          </w:tcPr>
          <w:p>
            <w:pPr>
              <w:spacing w:line="360" w:lineRule="exact"/>
              <w:jc w:val="center"/>
              <w:rPr>
                <w:rFonts w:hint="eastAsia" w:ascii="仿宋" w:hAnsi="仿宋" w:eastAsia="仿宋" w:cs="仿宋"/>
                <w:color w:val="auto"/>
                <w:kern w:val="0"/>
                <w:szCs w:val="21"/>
                <w:highlight w:val="none"/>
              </w:rPr>
            </w:pPr>
          </w:p>
        </w:tc>
      </w:tr>
    </w:tbl>
    <w:p>
      <w:pPr>
        <w:snapToGrid w:val="0"/>
        <w:spacing w:before="159" w:beforeLines="5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四、其他材料</w:t>
      </w:r>
      <w:bookmarkEnd w:id="80"/>
      <w:bookmarkEnd w:id="81"/>
      <w:r>
        <w:rPr>
          <w:rFonts w:hint="eastAsia" w:ascii="仿宋" w:hAnsi="仿宋" w:eastAsia="仿宋" w:cs="仿宋"/>
          <w:b/>
          <w:color w:val="auto"/>
          <w:sz w:val="24"/>
          <w:highlight w:val="none"/>
        </w:rPr>
        <w:t>（如有，请提供；如未提供，投标文件不作无效处理）</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hint="eastAsia" w:ascii="仿宋" w:hAnsi="仿宋" w:eastAsia="仿宋" w:cs="仿宋"/>
                <w:color w:val="auto"/>
                <w:kern w:val="0"/>
                <w:highlight w:val="none"/>
              </w:rPr>
            </w:pPr>
            <w:bookmarkStart w:id="82" w:name="_Toc23127_WPSOffice_Level2"/>
            <w:bookmarkStart w:id="83" w:name="_Toc24011_WPSOffice_Level2"/>
            <w:r>
              <w:rPr>
                <w:rFonts w:hint="eastAsia" w:ascii="仿宋" w:hAnsi="仿宋" w:eastAsia="仿宋" w:cs="仿宋"/>
                <w:color w:val="auto"/>
                <w:kern w:val="0"/>
                <w:highlight w:val="none"/>
              </w:rPr>
              <w:t>序号</w:t>
            </w:r>
          </w:p>
        </w:tc>
        <w:tc>
          <w:tcPr>
            <w:tcW w:w="6985" w:type="dxa"/>
            <w:vAlign w:val="center"/>
          </w:tcPr>
          <w:p>
            <w:pPr>
              <w:adjustRightInd w:val="0"/>
              <w:snapToGrid w:val="0"/>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其他材料</w:t>
            </w:r>
          </w:p>
        </w:tc>
        <w:tc>
          <w:tcPr>
            <w:tcW w:w="756" w:type="dxa"/>
            <w:vAlign w:val="center"/>
          </w:tcPr>
          <w:p>
            <w:pPr>
              <w:adjustRightInd w:val="0"/>
              <w:snapToGrid w:val="0"/>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hint="eastAsia" w:ascii="仿宋" w:hAnsi="仿宋" w:eastAsia="仿宋" w:cs="仿宋"/>
                <w:color w:val="auto"/>
                <w:kern w:val="0"/>
                <w:highlight w:val="none"/>
                <w:lang w:eastAsia="zh-CN"/>
              </w:rPr>
            </w:pPr>
            <w:r>
              <w:rPr>
                <w:rFonts w:hint="eastAsia" w:ascii="仿宋" w:hAnsi="仿宋" w:eastAsia="仿宋" w:cs="仿宋"/>
                <w:color w:val="auto"/>
                <w:kern w:val="0"/>
                <w:highlight w:val="none"/>
                <w:lang w:val="en-US" w:eastAsia="zh-CN"/>
              </w:rPr>
              <w:t>1</w:t>
            </w:r>
          </w:p>
        </w:tc>
        <w:tc>
          <w:tcPr>
            <w:tcW w:w="6985" w:type="dxa"/>
            <w:vAlign w:val="center"/>
          </w:tcPr>
          <w:p>
            <w:pPr>
              <w:adjustRightInd w:val="0"/>
              <w:snapToGrid w:val="0"/>
              <w:rPr>
                <w:rFonts w:hint="eastAsia" w:ascii="仿宋" w:hAnsi="仿宋" w:eastAsia="仿宋" w:cs="仿宋"/>
                <w:color w:val="auto"/>
                <w:kern w:val="0"/>
                <w:sz w:val="21"/>
                <w:szCs w:val="21"/>
                <w:lang w:val="en-US" w:eastAsia="zh-CN" w:bidi="ar-SA"/>
              </w:rPr>
            </w:pPr>
            <w:r>
              <w:rPr>
                <w:rStyle w:val="83"/>
                <w:rFonts w:hint="eastAsia" w:ascii="仿宋" w:hAnsi="仿宋" w:eastAsia="仿宋" w:cs="仿宋"/>
                <w:color w:val="auto"/>
                <w:szCs w:val="21"/>
              </w:rPr>
              <w:t>中小企业声明函</w:t>
            </w:r>
          </w:p>
        </w:tc>
        <w:tc>
          <w:tcPr>
            <w:tcW w:w="756" w:type="dxa"/>
            <w:vAlign w:val="center"/>
          </w:tcPr>
          <w:p>
            <w:pPr>
              <w:adjustRightInd w:val="0"/>
              <w:snapToGrid w:val="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68" w:type="dxa"/>
            <w:vAlign w:val="center"/>
          </w:tcPr>
          <w:p>
            <w:pPr>
              <w:adjustRightInd w:val="0"/>
              <w:snapToGrid w:val="0"/>
              <w:jc w:val="center"/>
              <w:rPr>
                <w:rFonts w:hint="eastAsia" w:ascii="仿宋" w:hAnsi="仿宋" w:eastAsia="仿宋" w:cs="仿宋"/>
                <w:color w:val="auto"/>
                <w:kern w:val="0"/>
                <w:highlight w:val="none"/>
                <w:lang w:eastAsia="zh-CN"/>
              </w:rPr>
            </w:pPr>
            <w:r>
              <w:rPr>
                <w:rFonts w:hint="eastAsia" w:ascii="仿宋" w:hAnsi="仿宋" w:eastAsia="仿宋" w:cs="仿宋"/>
                <w:color w:val="auto"/>
                <w:kern w:val="0"/>
                <w:highlight w:val="none"/>
                <w:lang w:val="en-US" w:eastAsia="zh-CN"/>
              </w:rPr>
              <w:t>2</w:t>
            </w:r>
          </w:p>
        </w:tc>
        <w:tc>
          <w:tcPr>
            <w:tcW w:w="6985" w:type="dxa"/>
            <w:vAlign w:val="center"/>
          </w:tcPr>
          <w:p>
            <w:pPr>
              <w:adjustRightInd w:val="0"/>
              <w:snapToGrid w:val="0"/>
              <w:rPr>
                <w:rFonts w:hint="eastAsia" w:ascii="仿宋" w:hAnsi="仿宋" w:eastAsia="仿宋" w:cs="仿宋"/>
                <w:color w:val="auto"/>
                <w:kern w:val="0"/>
                <w:sz w:val="21"/>
                <w:szCs w:val="21"/>
                <w:lang w:val="en-US" w:eastAsia="zh-CN" w:bidi="ar-SA"/>
              </w:rPr>
            </w:pPr>
            <w:r>
              <w:rPr>
                <w:rStyle w:val="83"/>
                <w:rFonts w:hint="eastAsia" w:ascii="仿宋" w:hAnsi="仿宋" w:eastAsia="仿宋" w:cs="仿宋"/>
                <w:color w:val="auto"/>
                <w:szCs w:val="21"/>
              </w:rPr>
              <w:t>监狱企业证明材料</w:t>
            </w:r>
          </w:p>
        </w:tc>
        <w:tc>
          <w:tcPr>
            <w:tcW w:w="756" w:type="dxa"/>
            <w:vAlign w:val="center"/>
          </w:tcPr>
          <w:p>
            <w:pPr>
              <w:adjustRightInd w:val="0"/>
              <w:snapToGrid w:val="0"/>
              <w:jc w:val="center"/>
              <w:rPr>
                <w:rFonts w:hint="eastAsia" w:ascii="仿宋" w:hAnsi="仿宋" w:eastAsia="仿宋" w:cs="仿宋"/>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668" w:type="dxa"/>
            <w:vAlign w:val="center"/>
          </w:tcPr>
          <w:p>
            <w:pPr>
              <w:adjustRightInd w:val="0"/>
              <w:snapToGrid w:val="0"/>
              <w:jc w:val="center"/>
              <w:rPr>
                <w:rFonts w:hint="eastAsia"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3</w:t>
            </w:r>
          </w:p>
        </w:tc>
        <w:tc>
          <w:tcPr>
            <w:tcW w:w="6985" w:type="dxa"/>
            <w:vAlign w:val="center"/>
          </w:tcPr>
          <w:p>
            <w:pPr>
              <w:adjustRightInd w:val="0"/>
              <w:snapToGrid w:val="0"/>
              <w:rPr>
                <w:rFonts w:hint="eastAsia" w:ascii="仿宋" w:hAnsi="仿宋" w:eastAsia="仿宋" w:cs="仿宋"/>
                <w:color w:val="auto"/>
                <w:kern w:val="0"/>
                <w:sz w:val="21"/>
                <w:szCs w:val="21"/>
                <w:lang w:val="en-US" w:eastAsia="zh-CN" w:bidi="ar-SA"/>
              </w:rPr>
            </w:pPr>
            <w:r>
              <w:rPr>
                <w:rStyle w:val="83"/>
                <w:rFonts w:hint="eastAsia" w:ascii="仿宋" w:hAnsi="仿宋" w:eastAsia="仿宋" w:cs="仿宋"/>
                <w:color w:val="auto"/>
                <w:szCs w:val="21"/>
              </w:rPr>
              <w:t>残疾人福利性单位声明函</w:t>
            </w:r>
          </w:p>
        </w:tc>
        <w:tc>
          <w:tcPr>
            <w:tcW w:w="756" w:type="dxa"/>
            <w:vAlign w:val="center"/>
          </w:tcPr>
          <w:p>
            <w:pPr>
              <w:adjustRightInd w:val="0"/>
              <w:snapToGrid w:val="0"/>
              <w:jc w:val="center"/>
              <w:rPr>
                <w:rFonts w:hint="eastAsia"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pPr>
              <w:adjustRightInd w:val="0"/>
              <w:snapToGrid w:val="0"/>
              <w:jc w:val="center"/>
              <w:rPr>
                <w:rFonts w:hint="eastAsia"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4</w:t>
            </w:r>
          </w:p>
        </w:tc>
        <w:tc>
          <w:tcPr>
            <w:tcW w:w="6985" w:type="dxa"/>
            <w:vAlign w:val="center"/>
          </w:tcPr>
          <w:p>
            <w:pPr>
              <w:adjustRightInd w:val="0"/>
              <w:snapToGrid w:val="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0"/>
                <w:szCs w:val="21"/>
              </w:rPr>
              <w:t>《品目清单》、国家确定的认证机构出具的、处于有效期之内的《节能产品、环境标志产品认证证书》（非政府强制采购的节能产品可以提供）</w:t>
            </w:r>
          </w:p>
        </w:tc>
        <w:tc>
          <w:tcPr>
            <w:tcW w:w="756" w:type="dxa"/>
            <w:vAlign w:val="center"/>
          </w:tcPr>
          <w:p>
            <w:pPr>
              <w:adjustRightInd w:val="0"/>
              <w:snapToGrid w:val="0"/>
              <w:jc w:val="center"/>
              <w:rPr>
                <w:rFonts w:hint="eastAsia" w:ascii="仿宋" w:hAnsi="仿宋" w:eastAsia="仿宋" w:cs="仿宋"/>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pPr>
              <w:adjustRightInd w:val="0"/>
              <w:snapToGrid w:val="0"/>
              <w:jc w:val="center"/>
              <w:rPr>
                <w:rFonts w:hint="eastAsia"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5</w:t>
            </w:r>
          </w:p>
        </w:tc>
        <w:tc>
          <w:tcPr>
            <w:tcW w:w="6985" w:type="dxa"/>
            <w:vAlign w:val="center"/>
          </w:tcPr>
          <w:p>
            <w:pPr>
              <w:adjustRightInd w:val="0"/>
              <w:snapToGrid w:val="0"/>
              <w:ind w:left="25" w:leftChars="12"/>
              <w:rPr>
                <w:rFonts w:hint="eastAsia" w:ascii="仿宋" w:hAnsi="仿宋" w:eastAsia="仿宋" w:cs="仿宋"/>
                <w:color w:val="auto"/>
                <w:szCs w:val="21"/>
              </w:rPr>
            </w:pPr>
            <w:r>
              <w:rPr>
                <w:rFonts w:hint="eastAsia" w:ascii="仿宋" w:hAnsi="仿宋" w:eastAsia="仿宋" w:cs="仿宋"/>
                <w:color w:val="auto"/>
                <w:szCs w:val="21"/>
              </w:rPr>
              <w:t>列入《辽宁省创新产品和服务目录》内的产品、服务的证明材料（如适用）</w:t>
            </w:r>
          </w:p>
          <w:p>
            <w:pPr>
              <w:adjustRightInd w:val="0"/>
              <w:snapToGrid w:val="0"/>
              <w:rPr>
                <w:rFonts w:hint="eastAsia" w:ascii="仿宋" w:hAnsi="仿宋" w:eastAsia="仿宋" w:cs="仿宋"/>
                <w:strike/>
                <w:color w:val="auto"/>
                <w:kern w:val="0"/>
                <w:sz w:val="21"/>
                <w:szCs w:val="24"/>
                <w:lang w:val="en-US" w:eastAsia="zh-CN" w:bidi="ar-SA"/>
              </w:rPr>
            </w:pPr>
            <w:r>
              <w:rPr>
                <w:rFonts w:hint="eastAsia" w:ascii="仿宋" w:hAnsi="仿宋" w:eastAsia="仿宋" w:cs="仿宋"/>
                <w:color w:val="auto"/>
                <w:szCs w:val="21"/>
              </w:rPr>
              <w:t>（此项要求可视实际情况设置在符合性证明材料或其他材料中）</w:t>
            </w:r>
          </w:p>
        </w:tc>
        <w:tc>
          <w:tcPr>
            <w:tcW w:w="756" w:type="dxa"/>
            <w:vAlign w:val="center"/>
          </w:tcPr>
          <w:p>
            <w:pPr>
              <w:adjustRightInd w:val="0"/>
              <w:snapToGrid w:val="0"/>
              <w:jc w:val="center"/>
              <w:rPr>
                <w:rFonts w:hint="eastAsia" w:ascii="仿宋" w:hAnsi="仿宋" w:eastAsia="仿宋" w:cs="仿宋"/>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pPr>
              <w:adjustRightInd w:val="0"/>
              <w:snapToGrid w:val="0"/>
              <w:jc w:val="center"/>
              <w:rPr>
                <w:rFonts w:hint="eastAsia" w:ascii="仿宋" w:hAnsi="仿宋" w:eastAsia="仿宋" w:cs="仿宋"/>
                <w:color w:val="auto"/>
                <w:kern w:val="0"/>
                <w:highlight w:val="none"/>
              </w:rPr>
            </w:pPr>
          </w:p>
        </w:tc>
        <w:tc>
          <w:tcPr>
            <w:tcW w:w="6985" w:type="dxa"/>
            <w:vAlign w:val="center"/>
          </w:tcPr>
          <w:p>
            <w:pPr>
              <w:pStyle w:val="64"/>
              <w:adjustRightInd w:val="0"/>
              <w:snapToGrid w:val="0"/>
              <w:ind w:left="25" w:leftChars="12" w:firstLine="0" w:firstLineChars="0"/>
              <w:rPr>
                <w:rFonts w:hint="eastAsia" w:ascii="仿宋" w:hAnsi="仿宋" w:eastAsia="仿宋" w:cs="仿宋"/>
                <w:color w:val="auto"/>
                <w:kern w:val="0"/>
                <w:highlight w:val="none"/>
              </w:rPr>
            </w:pPr>
            <w:r>
              <w:rPr>
                <w:rFonts w:hint="eastAsia" w:ascii="仿宋" w:hAnsi="仿宋" w:eastAsia="仿宋" w:cs="仿宋"/>
                <w:color w:val="auto"/>
                <w:kern w:val="0"/>
                <w:highlight w:val="none"/>
              </w:rPr>
              <w:t>......</w:t>
            </w:r>
          </w:p>
        </w:tc>
        <w:tc>
          <w:tcPr>
            <w:tcW w:w="756" w:type="dxa"/>
            <w:vAlign w:val="center"/>
          </w:tcPr>
          <w:p>
            <w:pPr>
              <w:adjustRightInd w:val="0"/>
              <w:snapToGrid w:val="0"/>
              <w:jc w:val="center"/>
              <w:rPr>
                <w:rFonts w:hint="eastAsia" w:ascii="仿宋" w:hAnsi="仿宋" w:eastAsia="仿宋" w:cs="仿宋"/>
                <w:color w:val="auto"/>
                <w:kern w:val="0"/>
                <w:highlight w:val="none"/>
              </w:rPr>
            </w:pPr>
          </w:p>
        </w:tc>
      </w:tr>
    </w:tbl>
    <w:p>
      <w:pPr>
        <w:adjustRightInd w:val="0"/>
        <w:snapToGrid w:val="0"/>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重要提示：</w:t>
      </w:r>
      <w:bookmarkEnd w:id="82"/>
      <w:bookmarkEnd w:id="83"/>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1、投标人提供的证明材料，除需要投标人填报或有特殊说明外，均须按要求提供。</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2、投标人在编制投标文件时，对于给定格式的文件内容，必须按照给定的标准格式进行填报；对于没有给定标准格式的文件内容，可以由投标人自行设计。</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4、</w:t>
      </w:r>
      <w:r>
        <w:rPr>
          <w:rFonts w:hint="eastAsia" w:ascii="仿宋" w:hAnsi="仿宋" w:eastAsia="仿宋" w:cs="仿宋"/>
          <w:b/>
          <w:bCs/>
          <w:color w:val="auto"/>
          <w:szCs w:val="21"/>
          <w:highlight w:val="none"/>
        </w:rPr>
        <w:t>“资格证明材料”</w:t>
      </w:r>
      <w:r>
        <w:rPr>
          <w:rFonts w:hint="eastAsia" w:ascii="仿宋" w:hAnsi="仿宋" w:eastAsia="仿宋" w:cs="仿宋"/>
          <w:color w:val="auto"/>
          <w:highlight w:val="none"/>
        </w:rPr>
        <w:t>所列内容即为采购项目的资格审查条件，有一项不符合要求，不能进入下一阶段评审。</w:t>
      </w: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b/>
          <w:bCs/>
          <w:color w:val="auto"/>
          <w:szCs w:val="21"/>
          <w:highlight w:val="none"/>
        </w:rPr>
        <w:t>“符合性证明材料”</w:t>
      </w:r>
      <w:r>
        <w:rPr>
          <w:rFonts w:hint="eastAsia" w:ascii="仿宋" w:hAnsi="仿宋" w:eastAsia="仿宋" w:cs="仿宋"/>
          <w:color w:val="auto"/>
          <w:highlight w:val="none"/>
        </w:rPr>
        <w:t>所列内容即为采购项目的符合性审查条件，有一项不符合要求，不能进入下一阶段评审。</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highlight w:val="none"/>
        </w:rPr>
        <w:t>6、</w:t>
      </w:r>
      <w:r>
        <w:rPr>
          <w:rFonts w:hint="eastAsia" w:ascii="仿宋" w:hAnsi="仿宋" w:eastAsia="仿宋" w:cs="仿宋"/>
          <w:color w:val="auto"/>
          <w:szCs w:val="21"/>
          <w:highlight w:val="none"/>
        </w:rPr>
        <w:t>“其他材料”</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kern w:val="0"/>
          <w:szCs w:val="21"/>
          <w:highlight w:val="none"/>
        </w:rPr>
        <w:t>综合评分法：</w:t>
      </w:r>
      <w:r>
        <w:rPr>
          <w:rFonts w:hint="eastAsia" w:ascii="仿宋" w:hAnsi="仿宋" w:eastAsia="仿宋" w:cs="仿宋"/>
          <w:color w:val="auto"/>
          <w:szCs w:val="21"/>
          <w:highlight w:val="none"/>
        </w:rPr>
        <w:t>投标人可就</w:t>
      </w:r>
      <w:r>
        <w:rPr>
          <w:rFonts w:hint="eastAsia" w:ascii="仿宋" w:hAnsi="仿宋" w:eastAsia="仿宋" w:cs="仿宋"/>
          <w:color w:val="auto"/>
          <w:kern w:val="0"/>
          <w:szCs w:val="21"/>
          <w:highlight w:val="none"/>
        </w:rPr>
        <w:t>招标文件要求以及评分细则中各项要求提供相应材料。</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kern w:val="0"/>
          <w:szCs w:val="21"/>
          <w:highlight w:val="none"/>
        </w:rPr>
        <w:t>最低评标价法：</w:t>
      </w:r>
      <w:r>
        <w:rPr>
          <w:rFonts w:hint="eastAsia" w:ascii="仿宋" w:hAnsi="仿宋" w:eastAsia="仿宋" w:cs="仿宋"/>
          <w:color w:val="auto"/>
          <w:szCs w:val="21"/>
          <w:highlight w:val="none"/>
        </w:rPr>
        <w:t>投标人可就</w:t>
      </w:r>
      <w:r>
        <w:rPr>
          <w:rFonts w:hint="eastAsia" w:ascii="仿宋" w:hAnsi="仿宋" w:eastAsia="仿宋" w:cs="仿宋"/>
          <w:color w:val="auto"/>
          <w:kern w:val="0"/>
          <w:szCs w:val="21"/>
          <w:highlight w:val="none"/>
        </w:rPr>
        <w:t>招标文件要求提供相应材料。</w:t>
      </w:r>
    </w:p>
    <w:p>
      <w:pPr>
        <w:pStyle w:val="3"/>
        <w:adjustRightInd w:val="0"/>
        <w:snapToGrid w:val="0"/>
        <w:spacing w:before="0" w:after="0" w:line="240" w:lineRule="auto"/>
        <w:jc w:val="left"/>
        <w:rPr>
          <w:rFonts w:hint="eastAsia" w:ascii="仿宋" w:hAnsi="仿宋" w:eastAsia="仿宋" w:cs="仿宋"/>
          <w:color w:val="auto"/>
          <w:szCs w:val="28"/>
          <w:highlight w:val="none"/>
        </w:rPr>
      </w:pPr>
    </w:p>
    <w:p>
      <w:pPr>
        <w:pStyle w:val="3"/>
        <w:adjustRightInd w:val="0"/>
        <w:snapToGrid w:val="0"/>
        <w:spacing w:before="0" w:after="0" w:line="240" w:lineRule="auto"/>
        <w:jc w:val="left"/>
        <w:rPr>
          <w:rFonts w:hint="eastAsia" w:ascii="仿宋" w:hAnsi="仿宋" w:eastAsia="仿宋" w:cs="仿宋"/>
          <w:color w:val="auto"/>
          <w:szCs w:val="28"/>
          <w:highlight w:val="none"/>
        </w:rPr>
      </w:pP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格式1</w:t>
      </w:r>
    </w:p>
    <w:p>
      <w:pPr>
        <w:jc w:val="center"/>
        <w:rPr>
          <w:rFonts w:hint="eastAsia" w:ascii="仿宋" w:hAnsi="仿宋" w:eastAsia="仿宋" w:cs="仿宋"/>
          <w:b/>
          <w:bCs/>
          <w:color w:val="auto"/>
          <w:sz w:val="32"/>
          <w:szCs w:val="32"/>
          <w:highlight w:val="none"/>
        </w:rPr>
      </w:pPr>
      <w:bookmarkStart w:id="84" w:name="_Toc26322_WPSOffice_Level2"/>
      <w:bookmarkStart w:id="85" w:name="_Toc21090_WPSOffice_Level2"/>
      <w:r>
        <w:rPr>
          <w:rFonts w:hint="eastAsia" w:ascii="仿宋" w:hAnsi="仿宋" w:eastAsia="仿宋" w:cs="仿宋"/>
          <w:b/>
          <w:bCs/>
          <w:color w:val="auto"/>
          <w:sz w:val="32"/>
          <w:szCs w:val="32"/>
          <w:highlight w:val="none"/>
        </w:rPr>
        <w:t>投标文件、电子文档外封面、封口格式</w:t>
      </w:r>
      <w:bookmarkEnd w:id="84"/>
      <w:bookmarkEnd w:id="85"/>
    </w:p>
    <w:p>
      <w:pPr>
        <w:rPr>
          <w:rFonts w:hint="eastAsia" w:ascii="仿宋" w:hAnsi="仿宋" w:eastAsia="仿宋" w:cs="仿宋"/>
          <w:color w:val="auto"/>
          <w:highlight w:val="none"/>
        </w:rPr>
      </w:pPr>
      <w:r>
        <w:rPr>
          <w:rFonts w:hint="eastAsia" w:ascii="仿宋" w:hAnsi="仿宋" w:eastAsia="仿宋" w:cs="仿宋"/>
          <w:color w:val="auto"/>
          <w:sz w:val="28"/>
          <w:szCs w:val="28"/>
          <w:highlight w:val="none"/>
        </w:rPr>
        <w:t>封面格式：</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hint="eastAsia" w:ascii="仿宋" w:hAnsi="仿宋" w:eastAsia="仿宋" w:cs="仿宋"/>
                <w:b/>
                <w:bCs/>
                <w:color w:val="auto"/>
                <w:highlight w:val="none"/>
              </w:rPr>
            </w:pPr>
          </w:p>
          <w:p>
            <w:pPr>
              <w:jc w:val="center"/>
              <w:rPr>
                <w:rFonts w:hint="eastAsia" w:ascii="仿宋" w:hAnsi="仿宋" w:eastAsia="仿宋" w:cs="仿宋"/>
                <w:b/>
                <w:bCs/>
                <w:color w:val="auto"/>
                <w:highlight w:val="none"/>
              </w:rPr>
            </w:pPr>
          </w:p>
          <w:p>
            <w:pPr>
              <w:jc w:val="center"/>
              <w:rPr>
                <w:rFonts w:hint="eastAsia" w:ascii="仿宋" w:hAnsi="仿宋" w:eastAsia="仿宋" w:cs="仿宋"/>
                <w:b/>
                <w:bCs/>
                <w:color w:val="auto"/>
                <w:highlight w:val="none"/>
              </w:rPr>
            </w:pPr>
          </w:p>
          <w:p>
            <w:pPr>
              <w:jc w:val="center"/>
              <w:rPr>
                <w:rFonts w:hint="eastAsia" w:ascii="仿宋" w:hAnsi="仿宋" w:eastAsia="仿宋" w:cs="仿宋"/>
                <w:b/>
                <w:bCs/>
                <w:color w:val="auto"/>
                <w:highlight w:val="none"/>
              </w:rPr>
            </w:pPr>
          </w:p>
          <w:p>
            <w:pPr>
              <w:jc w:val="center"/>
              <w:rPr>
                <w:rFonts w:hint="eastAsia" w:ascii="仿宋" w:hAnsi="仿宋" w:eastAsia="仿宋" w:cs="仿宋"/>
                <w:b/>
                <w:bCs/>
                <w:color w:val="auto"/>
                <w:highlight w:val="none"/>
              </w:rPr>
            </w:pPr>
          </w:p>
          <w:p>
            <w:pPr>
              <w:jc w:val="center"/>
              <w:rPr>
                <w:rFonts w:hint="eastAsia" w:ascii="仿宋" w:hAnsi="仿宋" w:eastAsia="仿宋" w:cs="仿宋"/>
                <w:b/>
                <w:bCs/>
                <w:color w:val="auto"/>
                <w:highlight w:val="none"/>
              </w:rPr>
            </w:pPr>
            <w:r>
              <w:rPr>
                <w:rFonts w:hint="eastAsia" w:ascii="仿宋" w:hAnsi="仿宋" w:eastAsia="仿宋" w:cs="仿宋"/>
                <w:b/>
                <w:bCs/>
                <w:color w:val="auto"/>
                <w:sz w:val="44"/>
                <w:szCs w:val="52"/>
                <w:highlight w:val="none"/>
              </w:rPr>
              <w:t>投标文件/电子文档</w:t>
            </w: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r>
              <w:rPr>
                <w:rFonts w:hint="eastAsia" w:ascii="仿宋" w:hAnsi="仿宋" w:eastAsia="仿宋" w:cs="仿宋"/>
                <w:color w:val="auto"/>
                <w:highlight w:val="none"/>
              </w:rPr>
              <w:t>所投包号：第  包</w:t>
            </w: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r>
              <w:rPr>
                <w:rFonts w:hint="eastAsia" w:ascii="仿宋" w:hAnsi="仿宋" w:eastAsia="仿宋" w:cs="仿宋"/>
                <w:color w:val="auto"/>
                <w:highlight w:val="none"/>
              </w:rPr>
              <w:t>项目名称：</w:t>
            </w:r>
          </w:p>
          <w:p>
            <w:pPr>
              <w:jc w:val="left"/>
              <w:rPr>
                <w:rFonts w:hint="eastAsia" w:ascii="仿宋" w:hAnsi="仿宋" w:eastAsia="仿宋" w:cs="仿宋"/>
                <w:color w:val="auto"/>
                <w:highlight w:val="none"/>
              </w:rPr>
            </w:pPr>
          </w:p>
          <w:p>
            <w:pPr>
              <w:jc w:val="left"/>
              <w:rPr>
                <w:rFonts w:hint="eastAsia" w:ascii="仿宋" w:hAnsi="仿宋" w:eastAsia="仿宋" w:cs="仿宋"/>
                <w:color w:val="auto"/>
                <w:highlight w:val="none"/>
              </w:rPr>
            </w:pPr>
            <w:r>
              <w:rPr>
                <w:rFonts w:hint="eastAsia" w:ascii="仿宋" w:hAnsi="仿宋" w:eastAsia="仿宋" w:cs="仿宋"/>
                <w:color w:val="auto"/>
                <w:highlight w:val="none"/>
              </w:rPr>
              <w:t>项目编号：</w:t>
            </w:r>
          </w:p>
          <w:p>
            <w:pPr>
              <w:jc w:val="center"/>
              <w:rPr>
                <w:rFonts w:hint="eastAsia" w:ascii="仿宋" w:hAnsi="仿宋" w:eastAsia="仿宋" w:cs="仿宋"/>
                <w:color w:val="auto"/>
                <w:highlight w:val="none"/>
              </w:rPr>
            </w:pPr>
          </w:p>
          <w:p>
            <w:pPr>
              <w:jc w:val="center"/>
              <w:rPr>
                <w:rFonts w:hint="eastAsia" w:ascii="仿宋" w:hAnsi="仿宋" w:eastAsia="仿宋" w:cs="仿宋"/>
                <w:color w:val="auto"/>
                <w:highlight w:val="none"/>
              </w:rPr>
            </w:pPr>
          </w:p>
          <w:p>
            <w:pPr>
              <w:jc w:val="center"/>
              <w:rPr>
                <w:rFonts w:hint="eastAsia" w:ascii="仿宋" w:hAnsi="仿宋" w:eastAsia="仿宋" w:cs="仿宋"/>
                <w:color w:val="auto"/>
                <w:highlight w:val="none"/>
              </w:rPr>
            </w:pPr>
          </w:p>
          <w:p>
            <w:pPr>
              <w:jc w:val="left"/>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tc>
      </w:tr>
    </w:tbl>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sz w:val="24"/>
          <w:szCs w:val="32"/>
          <w:highlight w:val="none"/>
        </w:rPr>
        <w:t>封口格式：</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——于   年  月  日   时之前不准启封（公章）——</w:t>
            </w:r>
          </w:p>
        </w:tc>
      </w:tr>
    </w:tbl>
    <w:p>
      <w:pPr>
        <w:rPr>
          <w:rFonts w:hint="eastAsia" w:ascii="仿宋" w:hAnsi="仿宋" w:eastAsia="仿宋" w:cs="仿宋"/>
          <w:color w:val="auto"/>
          <w:highlight w:val="none"/>
        </w:rPr>
      </w:pPr>
    </w:p>
    <w:p>
      <w:pPr>
        <w:rPr>
          <w:rFonts w:hint="eastAsia" w:ascii="仿宋" w:hAnsi="仿宋" w:eastAsia="仿宋" w:cs="仿宋"/>
          <w:color w:val="auto"/>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格式2</w:t>
      </w:r>
    </w:p>
    <w:p>
      <w:pPr>
        <w:jc w:val="center"/>
        <w:rPr>
          <w:rFonts w:hint="eastAsia" w:ascii="仿宋" w:hAnsi="仿宋" w:eastAsia="仿宋" w:cs="仿宋"/>
          <w:b/>
          <w:bCs/>
          <w:color w:val="auto"/>
          <w:sz w:val="32"/>
          <w:szCs w:val="32"/>
          <w:highlight w:val="none"/>
        </w:rPr>
      </w:pPr>
      <w:r>
        <w:rPr>
          <w:rFonts w:hint="eastAsia" w:ascii="仿宋" w:hAnsi="仿宋" w:eastAsia="仿宋" w:cs="仿宋"/>
          <w:color w:val="auto"/>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1XXs+2QAAAAoBAAAPAAAAAAAA&#10;AAEAIAAAACIAAABkcnMvZG93bnJldi54bWxQSwECFAAUAAAACACHTuJA6Ns0ShECAABEBAAADgAA&#10;AAAAAAABACAAAAAoAQAAZHJzL2Uyb0RvYy54bWxQSwUGAAAAAAYABgBZAQAAqwU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eastAsia="仿宋" w:cs="仿宋"/>
          <w:b/>
          <w:bCs/>
          <w:color w:val="auto"/>
          <w:sz w:val="32"/>
          <w:szCs w:val="32"/>
          <w:highlight w:val="none"/>
        </w:rPr>
        <w:t>投标文件的封皮</w:t>
      </w: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投  标  文  件</w:t>
      </w: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所投包号：第  包</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投标人名称 ：</w:t>
      </w:r>
    </w:p>
    <w:p>
      <w:pPr>
        <w:rPr>
          <w:rFonts w:hint="eastAsia" w:ascii="仿宋" w:hAnsi="仿宋" w:eastAsia="仿宋" w:cs="仿宋"/>
          <w:color w:val="auto"/>
          <w:szCs w:val="28"/>
          <w:highlight w:val="none"/>
        </w:rPr>
      </w:pPr>
      <w:r>
        <w:rPr>
          <w:rFonts w:hint="eastAsia" w:ascii="仿宋" w:hAnsi="仿宋" w:eastAsia="仿宋" w:cs="仿宋"/>
          <w:color w:val="auto"/>
          <w:sz w:val="28"/>
          <w:szCs w:val="28"/>
          <w:highlight w:val="none"/>
        </w:rPr>
        <w:br w:type="page"/>
      </w:r>
      <w:r>
        <w:rPr>
          <w:rFonts w:hint="eastAsia" w:ascii="仿宋" w:hAnsi="仿宋" w:eastAsia="仿宋" w:cs="仿宋"/>
          <w:b/>
          <w:color w:val="auto"/>
          <w:sz w:val="28"/>
          <w:szCs w:val="28"/>
          <w:highlight w:val="none"/>
        </w:rPr>
        <w:t>格式3</w:t>
      </w:r>
    </w:p>
    <w:p>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86" w:name="_Toc21414_WPSOffice_Level2"/>
      <w:bookmarkStart w:id="87" w:name="_Toc2304_WPSOffice_Level2"/>
      <w:r>
        <w:rPr>
          <w:rFonts w:hint="eastAsia" w:ascii="仿宋" w:hAnsi="仿宋" w:eastAsia="仿宋" w:cs="仿宋"/>
          <w:b/>
          <w:color w:val="auto"/>
          <w:sz w:val="32"/>
          <w:szCs w:val="32"/>
          <w:highlight w:val="none"/>
        </w:rPr>
        <w:t>目  录</w:t>
      </w:r>
      <w:bookmarkEnd w:id="86"/>
      <w:bookmarkEnd w:id="87"/>
    </w:p>
    <w:p>
      <w:pPr>
        <w:rPr>
          <w:rFonts w:hint="eastAsia" w:ascii="仿宋" w:hAnsi="仿宋" w:eastAsia="仿宋" w:cs="仿宋"/>
          <w:color w:val="auto"/>
          <w:highlight w:val="none"/>
        </w:rPr>
      </w:pPr>
      <w:bookmarkStart w:id="88" w:name="_Toc30940_WPSOffice_Level2"/>
      <w:bookmarkStart w:id="89" w:name="_Toc7636_WPSOffice_Level2"/>
      <w:r>
        <w:rPr>
          <w:rFonts w:hint="eastAsia" w:ascii="仿宋" w:hAnsi="仿宋" w:eastAsia="仿宋" w:cs="仿宋"/>
          <w:color w:val="auto"/>
          <w:highlight w:val="none"/>
        </w:rPr>
        <w:t>一、资格证明材料</w:t>
      </w:r>
      <w:bookmarkEnd w:id="88"/>
      <w:bookmarkEnd w:id="89"/>
    </w:p>
    <w:p>
      <w:pPr>
        <w:rPr>
          <w:rFonts w:hint="eastAsia" w:ascii="仿宋" w:hAnsi="仿宋" w:eastAsia="仿宋" w:cs="仿宋"/>
          <w:color w:val="auto"/>
          <w:highlight w:val="none"/>
        </w:rPr>
      </w:pPr>
      <w:r>
        <w:rPr>
          <w:rFonts w:hint="eastAsia" w:ascii="仿宋" w:hAnsi="仿宋" w:eastAsia="仿宋" w:cs="仿宋"/>
          <w:color w:val="auto"/>
          <w:highlight w:val="none"/>
        </w:rPr>
        <w:t>……</w:t>
      </w:r>
    </w:p>
    <w:p>
      <w:pPr>
        <w:rPr>
          <w:rFonts w:hint="eastAsia" w:ascii="仿宋" w:hAnsi="仿宋" w:eastAsia="仿宋" w:cs="仿宋"/>
          <w:color w:val="auto"/>
          <w:highlight w:val="none"/>
        </w:rPr>
      </w:pPr>
      <w:bookmarkStart w:id="90" w:name="_Toc31702_WPSOffice_Level2"/>
      <w:bookmarkStart w:id="91" w:name="_Toc13950_WPSOffice_Level2"/>
      <w:r>
        <w:rPr>
          <w:rFonts w:hint="eastAsia" w:ascii="仿宋" w:hAnsi="仿宋" w:eastAsia="仿宋" w:cs="仿宋"/>
          <w:color w:val="auto"/>
          <w:highlight w:val="none"/>
        </w:rPr>
        <w:t>二、符合性证明材料</w:t>
      </w:r>
      <w:bookmarkEnd w:id="90"/>
      <w:bookmarkEnd w:id="91"/>
    </w:p>
    <w:p>
      <w:pPr>
        <w:rPr>
          <w:rFonts w:hint="eastAsia" w:ascii="仿宋" w:hAnsi="仿宋" w:eastAsia="仿宋" w:cs="仿宋"/>
          <w:color w:val="auto"/>
          <w:highlight w:val="none"/>
        </w:rPr>
      </w:pPr>
      <w:r>
        <w:rPr>
          <w:rFonts w:hint="eastAsia" w:ascii="仿宋" w:hAnsi="仿宋" w:eastAsia="仿宋" w:cs="仿宋"/>
          <w:color w:val="auto"/>
          <w:highlight w:val="none"/>
        </w:rPr>
        <w:t>……</w:t>
      </w:r>
    </w:p>
    <w:p>
      <w:pPr>
        <w:rPr>
          <w:rFonts w:hint="eastAsia" w:ascii="仿宋" w:hAnsi="仿宋" w:eastAsia="仿宋" w:cs="仿宋"/>
          <w:color w:val="auto"/>
          <w:highlight w:val="none"/>
        </w:rPr>
      </w:pPr>
      <w:bookmarkStart w:id="92" w:name="_Toc9090_WPSOffice_Level2"/>
      <w:bookmarkStart w:id="93" w:name="_Toc14854_WPSOffice_Level2"/>
      <w:r>
        <w:rPr>
          <w:rFonts w:hint="eastAsia" w:ascii="仿宋" w:hAnsi="仿宋" w:eastAsia="仿宋" w:cs="仿宋"/>
          <w:color w:val="auto"/>
          <w:highlight w:val="none"/>
        </w:rPr>
        <w:t>三、其它材料</w:t>
      </w:r>
      <w:bookmarkEnd w:id="92"/>
      <w:bookmarkEnd w:id="93"/>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其授权委托人(签字或盖章)：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Cs w:val="28"/>
          <w:highlight w:val="none"/>
        </w:rPr>
        <w:t>格式4</w:t>
      </w:r>
    </w:p>
    <w:p>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94" w:name="_Toc3401_WPSOffice_Level2"/>
      <w:bookmarkStart w:id="95" w:name="_Toc16924_WPSOffice_Level2"/>
      <w:r>
        <w:rPr>
          <w:rFonts w:hint="eastAsia" w:ascii="仿宋" w:hAnsi="仿宋" w:eastAsia="仿宋" w:cs="仿宋"/>
          <w:b/>
          <w:color w:val="auto"/>
          <w:sz w:val="32"/>
          <w:szCs w:val="32"/>
          <w:highlight w:val="none"/>
        </w:rPr>
        <w:t>法定代表人（或非法人组织负责人）身份证明书</w:t>
      </w:r>
      <w:bookmarkEnd w:id="94"/>
      <w:bookmarkEnd w:id="95"/>
    </w:p>
    <w:p>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姓名：，性别：，出生日期：，现任职务：，系（投标人名称）的法定代表人（或非法人组织负责人）。</w:t>
      </w: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特此证明。</w:t>
      </w: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（※法定代表人（或非法人组织负责人）身份证正、反面复印件※）</w:t>
            </w:r>
          </w:p>
        </w:tc>
      </w:tr>
    </w:tbl>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spacing w:line="48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投标人名称（加盖单位公章）：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rPr>
          <w:rFonts w:hint="eastAsia" w:ascii="仿宋" w:hAnsi="仿宋" w:eastAsia="仿宋" w:cs="仿宋"/>
          <w:color w:val="auto"/>
          <w:highlight w:val="none"/>
        </w:rPr>
      </w:pP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Cs w:val="28"/>
          <w:highlight w:val="none"/>
        </w:rPr>
        <w:t>格式5</w:t>
      </w:r>
      <w:bookmarkStart w:id="96" w:name="_Toc21833_WPSOffice_Level2"/>
      <w:bookmarkStart w:id="97" w:name="_Toc122_WPSOffice_Level2"/>
    </w:p>
    <w:p>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法定代表人（或非法人组织负责人）授权委托书</w:t>
      </w:r>
      <w:bookmarkEnd w:id="96"/>
      <w:bookmarkEnd w:id="97"/>
    </w:p>
    <w:p>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单位名称：</w:t>
      </w:r>
    </w:p>
    <w:p>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法定代表人（或非法人组织负责人）姓名： 身份证号码：</w:t>
      </w:r>
    </w:p>
    <w:p>
      <w:pPr>
        <w:tabs>
          <w:tab w:val="left" w:pos="5205"/>
        </w:tabs>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住所地：</w:t>
      </w:r>
      <w:r>
        <w:rPr>
          <w:rFonts w:hint="eastAsia" w:ascii="仿宋" w:hAnsi="仿宋" w:eastAsia="仿宋" w:cs="仿宋"/>
          <w:color w:val="auto"/>
          <w:szCs w:val="21"/>
          <w:highlight w:val="none"/>
          <w:u w:val="single"/>
        </w:rPr>
        <w:tab/>
      </w:r>
    </w:p>
    <w:p>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人姓名：                   身份证号码：</w:t>
      </w:r>
    </w:p>
    <w:p>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工作单位：</w:t>
      </w:r>
    </w:p>
    <w:p>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住址：                   电话：</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现委托就</w:t>
      </w:r>
      <w:r>
        <w:rPr>
          <w:rFonts w:hint="eastAsia" w:ascii="仿宋" w:hAnsi="仿宋" w:eastAsia="仿宋" w:cs="仿宋"/>
          <w:color w:val="auto"/>
          <w:szCs w:val="21"/>
          <w:highlight w:val="none"/>
          <w:u w:val="single"/>
        </w:rPr>
        <w:t>（项目编号、项目名称、包号）</w:t>
      </w:r>
      <w:r>
        <w:rPr>
          <w:rFonts w:hint="eastAsia" w:ascii="仿宋" w:hAnsi="仿宋" w:eastAsia="仿宋" w:cs="仿宋"/>
          <w:color w:val="auto"/>
          <w:szCs w:val="21"/>
          <w:highlight w:val="none"/>
        </w:rPr>
        <w:t>投标中，以我单位名义处理一切与之有关的事务。</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本授权书于年月日签字或盖章生效，无转委托，特此声明。</w:t>
      </w:r>
    </w:p>
    <w:p>
      <w:pPr>
        <w:spacing w:line="360" w:lineRule="auto"/>
        <w:rPr>
          <w:rFonts w:hint="eastAsia" w:ascii="仿宋" w:hAnsi="仿宋" w:eastAsia="仿宋" w:cs="仿宋"/>
          <w:color w:val="auto"/>
          <w:szCs w:val="21"/>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人身份证正、反面复印件※）</w:t>
            </w:r>
          </w:p>
        </w:tc>
      </w:tr>
    </w:tbl>
    <w:p>
      <w:pPr>
        <w:spacing w:line="360" w:lineRule="auto"/>
        <w:rPr>
          <w:rFonts w:hint="eastAsia" w:ascii="仿宋" w:hAnsi="仿宋" w:eastAsia="仿宋" w:cs="仿宋"/>
          <w:color w:val="auto"/>
          <w:szCs w:val="21"/>
          <w:highlight w:val="none"/>
        </w:rPr>
      </w:pP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委托人（加盖单位公章）：</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法定代表人（或非法人组织负责人）（签字或盖章）：</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人（签字或盖章）：</w:t>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详细通讯地址：      邮政编码 ：</w:t>
      </w:r>
    </w:p>
    <w:p>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传        真：      电     话：</w:t>
      </w:r>
    </w:p>
    <w:p>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        期:</w:t>
      </w:r>
    </w:p>
    <w:p>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格式6</w:t>
      </w:r>
    </w:p>
    <w:p>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具有良好的商业信誉和健全的财务会计制度的承诺函</w:t>
      </w:r>
    </w:p>
    <w:p>
      <w:pPr>
        <w:spacing w:before="319" w:beforeLines="100" w:after="319" w:afterLines="100" w:line="480" w:lineRule="exact"/>
        <w:ind w:right="630" w:rightChars="3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（格式自拟）</w:t>
      </w: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p>
    <w:p>
      <w:pPr>
        <w:adjustRightInd w:val="0"/>
        <w:snapToGrid w:val="0"/>
        <w:spacing w:line="360" w:lineRule="auto"/>
        <w:ind w:right="105" w:rightChars="50"/>
        <w:jc w:val="left"/>
        <w:rPr>
          <w:rFonts w:hint="eastAsia" w:ascii="仿宋" w:hAnsi="仿宋" w:eastAsia="仿宋" w:cs="仿宋"/>
          <w:color w:val="auto"/>
          <w:highlight w:val="none"/>
          <w:u w:val="single"/>
        </w:rPr>
      </w:pPr>
      <w:r>
        <w:rPr>
          <w:rFonts w:hint="eastAsia" w:ascii="仿宋" w:hAnsi="仿宋" w:eastAsia="仿宋" w:cs="仿宋"/>
          <w:color w:val="auto"/>
          <w:highlight w:val="none"/>
        </w:rPr>
        <w:t>日期：</w:t>
      </w:r>
    </w:p>
    <w:p>
      <w:pPr>
        <w:adjustRightInd w:val="0"/>
        <w:snapToGrid w:val="0"/>
        <w:spacing w:line="360" w:lineRule="auto"/>
        <w:ind w:right="105" w:rightChars="50"/>
        <w:jc w:val="left"/>
        <w:rPr>
          <w:rFonts w:hint="eastAsia" w:ascii="仿宋" w:hAnsi="仿宋" w:eastAsia="仿宋" w:cs="仿宋"/>
          <w:color w:val="auto"/>
          <w:highlight w:val="none"/>
          <w:u w:val="single"/>
        </w:rPr>
      </w:pPr>
    </w:p>
    <w:p>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格式7</w:t>
      </w:r>
    </w:p>
    <w:p>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98" w:name="_Toc12037_WPSOffice_Level2"/>
      <w:bookmarkStart w:id="99" w:name="_Toc23728_WPSOffice_Level2"/>
      <w:r>
        <w:rPr>
          <w:rFonts w:hint="eastAsia" w:ascii="仿宋" w:hAnsi="仿宋" w:eastAsia="仿宋" w:cs="仿宋"/>
          <w:b/>
          <w:color w:val="auto"/>
          <w:sz w:val="32"/>
          <w:szCs w:val="32"/>
          <w:highlight w:val="none"/>
        </w:rPr>
        <w:t>具备履行合同所必需的设备和专业技术能力声明函</w:t>
      </w:r>
      <w:bookmarkEnd w:id="98"/>
      <w:bookmarkEnd w:id="99"/>
    </w:p>
    <w:p>
      <w:pPr>
        <w:spacing w:before="319" w:beforeLines="100" w:after="319" w:afterLines="100" w:line="480" w:lineRule="exact"/>
        <w:ind w:right="630" w:rightChars="300"/>
        <w:jc w:val="center"/>
        <w:rPr>
          <w:rFonts w:hint="eastAsia" w:ascii="仿宋" w:hAnsi="仿宋" w:eastAsia="仿宋" w:cs="仿宋"/>
          <w:color w:val="auto"/>
          <w:sz w:val="28"/>
          <w:szCs w:val="28"/>
          <w:highlight w:val="none"/>
        </w:rPr>
      </w:pPr>
      <w:bookmarkStart w:id="100" w:name="_Toc28831_WPSOffice_Level2"/>
      <w:bookmarkStart w:id="101" w:name="_Toc1917_WPSOffice_Level2"/>
      <w:r>
        <w:rPr>
          <w:rFonts w:hint="eastAsia" w:ascii="仿宋" w:hAnsi="仿宋" w:eastAsia="仿宋" w:cs="仿宋"/>
          <w:color w:val="auto"/>
          <w:sz w:val="28"/>
          <w:szCs w:val="28"/>
          <w:highlight w:val="none"/>
        </w:rPr>
        <w:t>（格式自拟）</w:t>
      </w:r>
      <w:bookmarkEnd w:id="100"/>
      <w:bookmarkEnd w:id="101"/>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p>
    <w:p>
      <w:pPr>
        <w:adjustRightInd w:val="0"/>
        <w:snapToGrid w:val="0"/>
        <w:spacing w:line="360" w:lineRule="auto"/>
        <w:ind w:right="105" w:rightChars="50"/>
        <w:jc w:val="left"/>
        <w:rPr>
          <w:rFonts w:hint="eastAsia" w:ascii="仿宋" w:hAnsi="仿宋" w:eastAsia="仿宋" w:cs="仿宋"/>
          <w:color w:val="auto"/>
          <w:highlight w:val="none"/>
          <w:u w:val="single"/>
        </w:rPr>
      </w:pPr>
      <w:r>
        <w:rPr>
          <w:rFonts w:hint="eastAsia" w:ascii="仿宋" w:hAnsi="仿宋" w:eastAsia="仿宋" w:cs="仿宋"/>
          <w:color w:val="auto"/>
          <w:highlight w:val="none"/>
        </w:rPr>
        <w:t>日期：</w:t>
      </w:r>
    </w:p>
    <w:p>
      <w:pPr>
        <w:adjustRightInd w:val="0"/>
        <w:snapToGrid w:val="0"/>
        <w:spacing w:line="360" w:lineRule="auto"/>
        <w:ind w:right="105" w:rightChars="50"/>
        <w:jc w:val="left"/>
        <w:rPr>
          <w:rFonts w:hint="eastAsia" w:ascii="仿宋" w:hAnsi="仿宋" w:eastAsia="仿宋" w:cs="仿宋"/>
          <w:color w:val="auto"/>
          <w:highlight w:val="none"/>
          <w:u w:val="single"/>
        </w:rPr>
      </w:pPr>
    </w:p>
    <w:p>
      <w:pPr>
        <w:adjustRightInd w:val="0"/>
        <w:snapToGrid w:val="0"/>
        <w:spacing w:line="360" w:lineRule="auto"/>
        <w:ind w:right="105" w:rightChars="50"/>
        <w:jc w:val="left"/>
        <w:rPr>
          <w:rFonts w:hint="eastAsia" w:ascii="仿宋" w:hAnsi="仿宋" w:eastAsia="仿宋" w:cs="仿宋"/>
          <w:b/>
          <w:color w:val="auto"/>
          <w:sz w:val="28"/>
          <w:szCs w:val="28"/>
          <w:highlight w:val="none"/>
        </w:rPr>
      </w:pPr>
    </w:p>
    <w:p>
      <w:pPr>
        <w:widowControl/>
        <w:jc w:val="left"/>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br w:type="page"/>
      </w:r>
    </w:p>
    <w:p>
      <w:pPr>
        <w:pStyle w:val="3"/>
        <w:adjustRightInd w:val="0"/>
        <w:snapToGrid w:val="0"/>
        <w:spacing w:before="0" w:after="0" w:line="240" w:lineRule="auto"/>
        <w:jc w:val="left"/>
        <w:rPr>
          <w:rFonts w:hint="eastAsia" w:ascii="仿宋" w:hAnsi="仿宋" w:eastAsia="仿宋" w:cs="仿宋"/>
          <w:color w:val="auto"/>
          <w:highlight w:val="none"/>
        </w:rPr>
      </w:pPr>
      <w:r>
        <w:rPr>
          <w:rFonts w:hint="eastAsia" w:ascii="仿宋" w:hAnsi="仿宋" w:eastAsia="仿宋" w:cs="仿宋"/>
          <w:color w:val="auto"/>
          <w:szCs w:val="28"/>
          <w:highlight w:val="none"/>
        </w:rPr>
        <w:t>格式8</w:t>
      </w:r>
    </w:p>
    <w:p>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102" w:name="_Toc11967_WPSOffice_Level2"/>
      <w:bookmarkStart w:id="103" w:name="_Toc7498_WPSOffice_Level2"/>
      <w:r>
        <w:rPr>
          <w:rFonts w:hint="eastAsia" w:ascii="仿宋" w:hAnsi="仿宋" w:eastAsia="仿宋" w:cs="仿宋"/>
          <w:b/>
          <w:color w:val="auto"/>
          <w:sz w:val="32"/>
          <w:szCs w:val="32"/>
          <w:highlight w:val="none"/>
        </w:rPr>
        <w:t>参加政府采购活动前3年内在经营活动中没有重大违法记录的书面声明</w:t>
      </w:r>
      <w:bookmarkEnd w:id="102"/>
      <w:bookmarkEnd w:id="103"/>
    </w:p>
    <w:p>
      <w:pPr>
        <w:spacing w:line="360" w:lineRule="auto"/>
        <w:ind w:right="630" w:rightChars="300"/>
        <w:rPr>
          <w:rFonts w:hint="eastAsia" w:ascii="仿宋" w:hAnsi="仿宋" w:eastAsia="仿宋" w:cs="仿宋"/>
          <w:b/>
          <w:color w:val="auto"/>
          <w:szCs w:val="21"/>
          <w:highlight w:val="none"/>
        </w:rPr>
      </w:pPr>
      <w:r>
        <w:rPr>
          <w:rFonts w:hint="eastAsia" w:ascii="仿宋" w:hAnsi="仿宋" w:eastAsia="仿宋" w:cs="仿宋"/>
          <w:b/>
          <w:color w:val="auto"/>
          <w:szCs w:val="21"/>
          <w:highlight w:val="none"/>
          <w:u w:val="single"/>
        </w:rPr>
        <w:t xml:space="preserve">（采购人或采购代理机构名称） </w:t>
      </w:r>
      <w:r>
        <w:rPr>
          <w:rFonts w:hint="eastAsia" w:ascii="仿宋" w:hAnsi="仿宋" w:eastAsia="仿宋" w:cs="仿宋"/>
          <w:b/>
          <w:color w:val="auto"/>
          <w:szCs w:val="21"/>
          <w:highlight w:val="none"/>
        </w:rPr>
        <w:t xml:space="preserve"> ：</w:t>
      </w:r>
    </w:p>
    <w:p>
      <w:pPr>
        <w:spacing w:line="360" w:lineRule="auto"/>
        <w:ind w:right="-21" w:rightChars="-10" w:firstLine="493" w:firstLineChars="235"/>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如发现我单位提供的声明函不实时，我单位将按照《政府采购法》有关提供虚假材料的规定，接受处罚。</w:t>
      </w:r>
    </w:p>
    <w:p>
      <w:pPr>
        <w:spacing w:line="360" w:lineRule="auto"/>
        <w:ind w:right="1050" w:rightChars="50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特此声明。</w:t>
      </w:r>
    </w:p>
    <w:p>
      <w:pPr>
        <w:spacing w:line="500" w:lineRule="exact"/>
        <w:ind w:right="1050" w:rightChars="500"/>
        <w:rPr>
          <w:rFonts w:hint="eastAsia" w:ascii="仿宋" w:hAnsi="仿宋" w:eastAsia="仿宋" w:cs="仿宋"/>
          <w:color w:val="auto"/>
          <w:szCs w:val="21"/>
          <w:highlight w:val="none"/>
        </w:rPr>
      </w:pPr>
    </w:p>
    <w:p>
      <w:pPr>
        <w:spacing w:before="159" w:beforeLines="50" w:after="159" w:afterLines="50" w:line="400" w:lineRule="exact"/>
        <w:ind w:right="1050" w:rightChars="500"/>
        <w:rPr>
          <w:rFonts w:hint="eastAsia" w:ascii="仿宋" w:hAnsi="仿宋" w:eastAsia="仿宋" w:cs="仿宋"/>
          <w:color w:val="auto"/>
          <w:szCs w:val="21"/>
          <w:highlight w:val="none"/>
        </w:rPr>
      </w:pPr>
    </w:p>
    <w:p>
      <w:pPr>
        <w:spacing w:before="159" w:beforeLines="50" w:after="159" w:afterLines="50" w:line="400" w:lineRule="exact"/>
        <w:ind w:right="1050" w:rightChars="500"/>
        <w:rPr>
          <w:rFonts w:hint="eastAsia" w:ascii="仿宋" w:hAnsi="仿宋" w:eastAsia="仿宋" w:cs="仿宋"/>
          <w:color w:val="auto"/>
          <w:szCs w:val="21"/>
          <w:highlight w:val="none"/>
        </w:rPr>
      </w:pPr>
    </w:p>
    <w:p>
      <w:pPr>
        <w:spacing w:before="159" w:beforeLines="50" w:after="159" w:afterLines="50" w:line="400" w:lineRule="exact"/>
        <w:ind w:right="1050" w:rightChars="500"/>
        <w:rPr>
          <w:rFonts w:hint="eastAsia" w:ascii="仿宋" w:hAnsi="仿宋" w:eastAsia="仿宋" w:cs="仿宋"/>
          <w:color w:val="auto"/>
          <w:szCs w:val="21"/>
          <w:highlight w:val="none"/>
        </w:rPr>
      </w:pPr>
    </w:p>
    <w:p>
      <w:pPr>
        <w:spacing w:line="360" w:lineRule="exact"/>
        <w:ind w:right="1050" w:rightChars="500"/>
        <w:rPr>
          <w:rFonts w:hint="eastAsia" w:ascii="仿宋" w:hAnsi="仿宋" w:eastAsia="仿宋" w:cs="仿宋"/>
          <w:color w:val="auto"/>
          <w:szCs w:val="21"/>
          <w:highlight w:val="none"/>
        </w:rPr>
      </w:pP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格式9</w:t>
      </w:r>
    </w:p>
    <w:p>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104" w:name="_Toc14782_WPSOffice_Level2"/>
      <w:bookmarkStart w:id="105" w:name="_Toc24841_WPSOffice_Level2"/>
      <w:r>
        <w:rPr>
          <w:rFonts w:hint="eastAsia" w:ascii="仿宋" w:hAnsi="仿宋" w:eastAsia="仿宋" w:cs="仿宋"/>
          <w:b/>
          <w:color w:val="auto"/>
          <w:sz w:val="32"/>
          <w:szCs w:val="32"/>
          <w:highlight w:val="none"/>
        </w:rPr>
        <w:t>投标函</w:t>
      </w:r>
      <w:bookmarkEnd w:id="104"/>
      <w:bookmarkEnd w:id="105"/>
    </w:p>
    <w:p>
      <w:pPr>
        <w:adjustRightInd w:val="0"/>
        <w:snapToGrid w:val="0"/>
        <w:spacing w:line="360" w:lineRule="auto"/>
        <w:ind w:right="630" w:rightChars="3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（采购人或采购代理机构）：</w:t>
      </w:r>
    </w:p>
    <w:p>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根据贵方</w:t>
      </w:r>
      <w:r>
        <w:rPr>
          <w:rFonts w:hint="eastAsia" w:ascii="仿宋" w:hAnsi="仿宋" w:eastAsia="仿宋" w:cs="仿宋"/>
          <w:color w:val="auto"/>
          <w:szCs w:val="21"/>
          <w:highlight w:val="none"/>
          <w:u w:val="single"/>
        </w:rPr>
        <w:t>(项目名称)</w:t>
      </w:r>
      <w:r>
        <w:rPr>
          <w:rFonts w:hint="eastAsia" w:ascii="仿宋" w:hAnsi="仿宋" w:eastAsia="仿宋" w:cs="仿宋"/>
          <w:color w:val="auto"/>
          <w:szCs w:val="21"/>
          <w:highlight w:val="none"/>
        </w:rPr>
        <w:t>项目的招标公告</w:t>
      </w:r>
      <w:r>
        <w:rPr>
          <w:rFonts w:hint="eastAsia" w:ascii="仿宋" w:hAnsi="仿宋" w:eastAsia="仿宋" w:cs="仿宋"/>
          <w:color w:val="auto"/>
          <w:szCs w:val="21"/>
          <w:highlight w:val="none"/>
          <w:u w:val="single"/>
        </w:rPr>
        <w:t>(招标编号)</w:t>
      </w:r>
      <w:r>
        <w:rPr>
          <w:rFonts w:hint="eastAsia" w:ascii="仿宋" w:hAnsi="仿宋" w:eastAsia="仿宋" w:cs="仿宋"/>
          <w:color w:val="auto"/>
          <w:szCs w:val="21"/>
          <w:highlight w:val="none"/>
        </w:rPr>
        <w:t>,签字代表</w:t>
      </w:r>
      <w:r>
        <w:rPr>
          <w:rFonts w:hint="eastAsia" w:ascii="仿宋" w:hAnsi="仿宋" w:eastAsia="仿宋" w:cs="仿宋"/>
          <w:color w:val="auto"/>
          <w:szCs w:val="21"/>
          <w:highlight w:val="none"/>
          <w:u w:val="single"/>
        </w:rPr>
        <w:t>(姓名、职务)</w:t>
      </w:r>
      <w:r>
        <w:rPr>
          <w:rFonts w:hint="eastAsia" w:ascii="仿宋" w:hAnsi="仿宋" w:eastAsia="仿宋" w:cs="仿宋"/>
          <w:color w:val="auto"/>
          <w:szCs w:val="21"/>
          <w:highlight w:val="none"/>
        </w:rPr>
        <w:t>经正式授权并代表投标人</w:t>
      </w:r>
      <w:r>
        <w:rPr>
          <w:rFonts w:hint="eastAsia" w:ascii="仿宋" w:hAnsi="仿宋" w:eastAsia="仿宋" w:cs="仿宋"/>
          <w:color w:val="auto"/>
          <w:szCs w:val="21"/>
          <w:highlight w:val="none"/>
          <w:u w:val="single"/>
        </w:rPr>
        <w:t>（名称、地址）</w:t>
      </w:r>
      <w:r>
        <w:rPr>
          <w:rFonts w:hint="eastAsia" w:ascii="仿宋" w:hAnsi="仿宋" w:eastAsia="仿宋" w:cs="仿宋"/>
          <w:color w:val="auto"/>
          <w:szCs w:val="21"/>
          <w:highlight w:val="none"/>
        </w:rPr>
        <w:t>提交下述文件正本</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份、副本</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份及电子文档</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份，并以</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形式出具的金额为人民币</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元的投标保证金。</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据此，签字代表宣布同意如下：</w:t>
      </w:r>
    </w:p>
    <w:p>
      <w:pPr>
        <w:numPr>
          <w:ilvl w:val="0"/>
          <w:numId w:val="2"/>
        </w:num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本项目投标总价详见开标一览表。</w:t>
      </w:r>
    </w:p>
    <w:p>
      <w:pPr>
        <w:numPr>
          <w:ilvl w:val="0"/>
          <w:numId w:val="2"/>
        </w:num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本投标有效期为自递交投标文件截止之日起</w:t>
      </w:r>
      <w:r>
        <w:rPr>
          <w:rFonts w:hint="eastAsia" w:ascii="仿宋" w:hAnsi="仿宋" w:eastAsia="仿宋" w:cs="仿宋"/>
          <w:color w:val="auto"/>
          <w:szCs w:val="21"/>
          <w:highlight w:val="none"/>
          <w:u w:val="single"/>
        </w:rPr>
        <w:t>90</w:t>
      </w:r>
      <w:r>
        <w:rPr>
          <w:rFonts w:hint="eastAsia" w:ascii="仿宋" w:hAnsi="仿宋" w:eastAsia="仿宋" w:cs="仿宋"/>
          <w:color w:val="auto"/>
          <w:szCs w:val="21"/>
          <w:highlight w:val="none"/>
        </w:rPr>
        <w:t>日历日。</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（3）已详细审查全部招标文件，包括所有补充通知（如果有的话）。</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（4）在规定的开标时间后，遵守招标文件中有关保证金的规定。</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（8）按照招标文件的规定履行合同责任和义务。</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（9）我方承诺投标文件中的证明材料真实、合法、有效。</w:t>
      </w:r>
    </w:p>
    <w:p>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其他事项：。</w:t>
      </w:r>
    </w:p>
    <w:p>
      <w:pPr>
        <w:adjustRightInd w:val="0"/>
        <w:snapToGrid w:val="0"/>
        <w:spacing w:line="360" w:lineRule="auto"/>
        <w:ind w:right="-21" w:rightChars="-10"/>
        <w:rPr>
          <w:rFonts w:hint="eastAsia" w:ascii="仿宋" w:hAnsi="仿宋" w:eastAsia="仿宋" w:cs="仿宋"/>
          <w:color w:val="auto"/>
          <w:szCs w:val="21"/>
          <w:highlight w:val="none"/>
        </w:rPr>
      </w:pPr>
    </w:p>
    <w:p>
      <w:pPr>
        <w:adjustRightInd w:val="0"/>
        <w:snapToGrid w:val="0"/>
        <w:spacing w:line="360" w:lineRule="auto"/>
        <w:ind w:right="-21" w:rightChars="-10"/>
        <w:rPr>
          <w:rFonts w:hint="eastAsia" w:ascii="仿宋" w:hAnsi="仿宋" w:eastAsia="仿宋" w:cs="仿宋"/>
          <w:color w:val="auto"/>
          <w:szCs w:val="21"/>
          <w:highlight w:val="none"/>
        </w:rPr>
      </w:pPr>
    </w:p>
    <w:p>
      <w:pPr>
        <w:adjustRightInd w:val="0"/>
        <w:snapToGrid w:val="0"/>
        <w:spacing w:line="360" w:lineRule="auto"/>
        <w:ind w:right="-21" w:rightChars="-10"/>
        <w:rPr>
          <w:rFonts w:hint="eastAsia" w:ascii="仿宋" w:hAnsi="仿宋" w:eastAsia="仿宋" w:cs="仿宋"/>
          <w:color w:val="auto"/>
          <w:szCs w:val="21"/>
          <w:highlight w:val="none"/>
        </w:rPr>
      </w:pPr>
    </w:p>
    <w:p>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与本项目有关的一切往来通讯请寄</w:t>
      </w:r>
    </w:p>
    <w:p>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地址：         传真：</w:t>
      </w:r>
    </w:p>
    <w:p>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电话：         电子邮件：</w:t>
      </w:r>
    </w:p>
    <w:p>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法定代表人（非法人组织负责人）或其授权委托人（签字或盖章）：</w:t>
      </w:r>
    </w:p>
    <w:p>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投标人名称（加盖单位公章）：</w:t>
      </w:r>
    </w:p>
    <w:p>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投标人开户银行（全称）：</w:t>
      </w:r>
    </w:p>
    <w:p>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投标人银行账号：</w:t>
      </w:r>
    </w:p>
    <w:p>
      <w:pPr>
        <w:adjustRightInd w:val="0"/>
        <w:snapToGrid w:val="0"/>
        <w:spacing w:line="360" w:lineRule="auto"/>
        <w:ind w:right="1050" w:rightChars="500"/>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    期：</w:t>
      </w:r>
    </w:p>
    <w:p>
      <w:pPr>
        <w:adjustRightInd w:val="0"/>
        <w:snapToGrid w:val="0"/>
        <w:spacing w:line="360" w:lineRule="auto"/>
        <w:ind w:right="1050" w:rightChars="500"/>
        <w:jc w:val="left"/>
        <w:rPr>
          <w:rFonts w:hint="eastAsia" w:ascii="仿宋" w:hAnsi="仿宋" w:eastAsia="仿宋" w:cs="仿宋"/>
          <w:color w:val="auto"/>
          <w:szCs w:val="21"/>
          <w:highlight w:val="none"/>
          <w:u w:val="single"/>
        </w:rPr>
      </w:pP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格式10</w:t>
      </w:r>
    </w:p>
    <w:p>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06" w:name="_Toc11267_WPSOffice_Level2"/>
      <w:bookmarkStart w:id="107" w:name="_Toc2673_WPSOffice_Level2"/>
      <w:r>
        <w:rPr>
          <w:rFonts w:hint="eastAsia" w:ascii="仿宋" w:hAnsi="仿宋" w:eastAsia="仿宋" w:cs="仿宋"/>
          <w:b/>
          <w:bCs/>
          <w:color w:val="auto"/>
          <w:sz w:val="32"/>
          <w:szCs w:val="32"/>
          <w:highlight w:val="none"/>
        </w:rPr>
        <w:t>开标一览表</w:t>
      </w:r>
      <w:bookmarkEnd w:id="106"/>
      <w:bookmarkEnd w:id="107"/>
    </w:p>
    <w:p>
      <w:pPr>
        <w:adjustRightInd w:val="0"/>
        <w:snapToGrid w:val="0"/>
        <w:spacing w:line="360" w:lineRule="auto"/>
        <w:ind w:right="105" w:rightChars="5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包号：                                                      报价单位：</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2373"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投标总价</w:t>
            </w:r>
          </w:p>
        </w:tc>
        <w:tc>
          <w:tcPr>
            <w:tcW w:w="1309"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1109"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交货时间</w:t>
            </w:r>
          </w:p>
        </w:tc>
        <w:tc>
          <w:tcPr>
            <w:tcW w:w="1252"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交货地点</w:t>
            </w:r>
          </w:p>
        </w:tc>
        <w:tc>
          <w:tcPr>
            <w:tcW w:w="951"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p>
        </w:tc>
        <w:tc>
          <w:tcPr>
            <w:tcW w:w="2373" w:type="dxa"/>
            <w:vAlign w:val="center"/>
          </w:tcPr>
          <w:p>
            <w:pPr>
              <w:adjustRightInd w:val="0"/>
              <w:snapToGrid w:val="0"/>
              <w:ind w:left="-55" w:leftChars="-26" w:right="-46" w:rightChars="-22"/>
              <w:jc w:val="left"/>
              <w:rPr>
                <w:rFonts w:hint="eastAsia" w:ascii="仿宋" w:hAnsi="仿宋" w:eastAsia="仿宋" w:cs="仿宋"/>
                <w:color w:val="auto"/>
                <w:szCs w:val="21"/>
                <w:highlight w:val="none"/>
              </w:rPr>
            </w:pPr>
          </w:p>
        </w:tc>
        <w:tc>
          <w:tcPr>
            <w:tcW w:w="1309"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p>
        </w:tc>
        <w:tc>
          <w:tcPr>
            <w:tcW w:w="1109"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p>
        </w:tc>
        <w:tc>
          <w:tcPr>
            <w:tcW w:w="1252"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p>
        </w:tc>
        <w:tc>
          <w:tcPr>
            <w:tcW w:w="951" w:type="dxa"/>
            <w:vAlign w:val="center"/>
          </w:tcPr>
          <w:p>
            <w:pPr>
              <w:adjustRightInd w:val="0"/>
              <w:snapToGrid w:val="0"/>
              <w:ind w:left="-55" w:leftChars="-26" w:right="-46" w:rightChars="-22"/>
              <w:jc w:val="center"/>
              <w:rPr>
                <w:rFonts w:hint="eastAsia" w:ascii="仿宋" w:hAnsi="仿宋" w:eastAsia="仿宋" w:cs="仿宋"/>
                <w:color w:val="auto"/>
                <w:szCs w:val="21"/>
                <w:highlight w:val="none"/>
              </w:rPr>
            </w:pPr>
          </w:p>
        </w:tc>
      </w:tr>
    </w:tbl>
    <w:p>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p>
    <w:p>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注：此表中，投标总价应和分项报价表的总价相一致。</w:t>
      </w: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p>
    <w:p>
      <w:pPr>
        <w:spacing w:line="480" w:lineRule="auto"/>
        <w:ind w:right="1050" w:rightChars="500"/>
        <w:jc w:val="left"/>
        <w:rPr>
          <w:rFonts w:hint="eastAsia" w:ascii="仿宋" w:hAnsi="仿宋" w:eastAsia="仿宋" w:cs="仿宋"/>
          <w:color w:val="auto"/>
          <w:szCs w:val="21"/>
          <w:highlight w:val="none"/>
          <w:u w:val="single"/>
        </w:rPr>
      </w:pPr>
      <w:r>
        <w:rPr>
          <w:rFonts w:hint="eastAsia" w:ascii="仿宋" w:hAnsi="仿宋" w:eastAsia="仿宋" w:cs="仿宋"/>
          <w:color w:val="auto"/>
          <w:highlight w:val="none"/>
        </w:rPr>
        <w:t>日期：</w:t>
      </w:r>
    </w:p>
    <w:p>
      <w:pPr>
        <w:adjustRightInd w:val="0"/>
        <w:snapToGrid w:val="0"/>
        <w:spacing w:line="360" w:lineRule="auto"/>
        <w:ind w:right="105" w:rightChars="50"/>
        <w:jc w:val="left"/>
        <w:rPr>
          <w:rFonts w:hint="eastAsia" w:ascii="仿宋" w:hAnsi="仿宋" w:eastAsia="仿宋" w:cs="仿宋"/>
          <w:color w:val="auto"/>
          <w:szCs w:val="21"/>
          <w:highlight w:val="none"/>
        </w:rPr>
      </w:pPr>
    </w:p>
    <w:p>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格式11</w:t>
      </w:r>
    </w:p>
    <w:p>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08" w:name="_Toc28271_WPSOffice_Level2"/>
      <w:bookmarkStart w:id="109" w:name="_Toc16044_WPSOffice_Level2"/>
      <w:r>
        <w:rPr>
          <w:rFonts w:hint="eastAsia" w:ascii="仿宋" w:hAnsi="仿宋" w:eastAsia="仿宋" w:cs="仿宋"/>
          <w:b/>
          <w:bCs/>
          <w:color w:val="auto"/>
          <w:sz w:val="32"/>
          <w:szCs w:val="32"/>
          <w:highlight w:val="none"/>
        </w:rPr>
        <w:t>分项报价表</w:t>
      </w:r>
      <w:bookmarkEnd w:id="108"/>
      <w:bookmarkEnd w:id="109"/>
    </w:p>
    <w:p>
      <w:pPr>
        <w:adjustRightInd w:val="0"/>
        <w:snapToGrid w:val="0"/>
        <w:spacing w:line="360" w:lineRule="auto"/>
        <w:ind w:right="105" w:rightChars="5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包号：                                                      报价单位：</w:t>
      </w:r>
    </w:p>
    <w:tbl>
      <w:tblPr>
        <w:tblStyle w:val="28"/>
        <w:tblW w:w="9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1248"/>
        <w:gridCol w:w="1395"/>
        <w:gridCol w:w="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34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产品名称</w:t>
            </w:r>
          </w:p>
        </w:tc>
        <w:tc>
          <w:tcPr>
            <w:tcW w:w="1033"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品牌</w:t>
            </w:r>
          </w:p>
        </w:tc>
        <w:tc>
          <w:tcPr>
            <w:tcW w:w="1033"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721"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802"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原产地</w:t>
            </w:r>
          </w:p>
        </w:tc>
        <w:tc>
          <w:tcPr>
            <w:tcW w:w="802"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制造商名称</w:t>
            </w:r>
          </w:p>
        </w:tc>
        <w:tc>
          <w:tcPr>
            <w:tcW w:w="1248"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单价</w:t>
            </w:r>
          </w:p>
        </w:tc>
        <w:tc>
          <w:tcPr>
            <w:tcW w:w="1395"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总价</w:t>
            </w:r>
          </w:p>
        </w:tc>
        <w:tc>
          <w:tcPr>
            <w:tcW w:w="972"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248"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395"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972" w:type="dxa"/>
            <w:vMerge w:val="restart"/>
            <w:vAlign w:val="center"/>
          </w:tcPr>
          <w:p>
            <w:pPr>
              <w:adjustRightInd w:val="0"/>
              <w:snapToGrid w:val="0"/>
              <w:ind w:left="-97" w:leftChars="-46" w:right="-63" w:rightChars="-30"/>
              <w:jc w:val="center"/>
              <w:rPr>
                <w:rFonts w:hint="eastAsia" w:ascii="仿宋" w:hAnsi="仿宋" w:eastAsia="仿宋" w:cs="仿宋"/>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248"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395"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972" w:type="dxa"/>
            <w:vMerge w:val="continue"/>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248"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395"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972" w:type="dxa"/>
            <w:vMerge w:val="continue"/>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248"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395"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972" w:type="dxa"/>
            <w:vMerge w:val="continue"/>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248"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395"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972" w:type="dxa"/>
            <w:vMerge w:val="continue"/>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hint="eastAsia" w:ascii="仿宋" w:hAnsi="仿宋" w:eastAsia="仿宋" w:cs="仿宋"/>
                <w:color w:val="auto"/>
                <w:szCs w:val="21"/>
                <w:highlight w:val="none"/>
              </w:rPr>
            </w:pPr>
          </w:p>
        </w:tc>
        <w:tc>
          <w:tcPr>
            <w:tcW w:w="1347"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033"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721"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802"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248"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1395" w:type="dxa"/>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c>
          <w:tcPr>
            <w:tcW w:w="972" w:type="dxa"/>
            <w:vMerge w:val="continue"/>
            <w:vAlign w:val="center"/>
          </w:tcPr>
          <w:p>
            <w:pPr>
              <w:adjustRightInd w:val="0"/>
              <w:snapToGrid w:val="0"/>
              <w:ind w:left="-97" w:leftChars="-46" w:right="-63" w:rightChars="-30"/>
              <w:jc w:val="center"/>
              <w:rPr>
                <w:rFonts w:hint="eastAsia" w:ascii="仿宋" w:hAnsi="仿宋" w:eastAsia="仿宋" w:cs="仿宋"/>
                <w:b/>
                <w:color w:val="auto"/>
                <w:sz w:val="4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总价</w:t>
            </w:r>
          </w:p>
        </w:tc>
        <w:tc>
          <w:tcPr>
            <w:tcW w:w="8006" w:type="dxa"/>
            <w:gridSpan w:val="8"/>
            <w:vAlign w:val="center"/>
          </w:tcPr>
          <w:p>
            <w:pPr>
              <w:adjustRightInd w:val="0"/>
              <w:snapToGrid w:val="0"/>
              <w:ind w:right="105" w:rightChars="50"/>
              <w:jc w:val="center"/>
              <w:rPr>
                <w:rFonts w:hint="eastAsia" w:ascii="仿宋" w:hAnsi="仿宋" w:eastAsia="仿宋" w:cs="仿宋"/>
                <w:color w:val="auto"/>
                <w:szCs w:val="21"/>
                <w:highlight w:val="none"/>
              </w:rPr>
            </w:pPr>
          </w:p>
        </w:tc>
      </w:tr>
    </w:tbl>
    <w:p>
      <w:pPr>
        <w:adjustRightInd w:val="0"/>
        <w:snapToGrid w:val="0"/>
        <w:spacing w:line="360" w:lineRule="auto"/>
        <w:ind w:right="105" w:rightChars="50"/>
        <w:jc w:val="left"/>
        <w:rPr>
          <w:rFonts w:hint="eastAsia" w:ascii="仿宋" w:hAnsi="仿宋" w:eastAsia="仿宋" w:cs="仿宋"/>
          <w:color w:val="auto"/>
          <w:szCs w:val="21"/>
          <w:highlight w:val="none"/>
        </w:rPr>
      </w:pPr>
    </w:p>
    <w:p>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注：1、此表中，总价应和开标一览表的投标总价相一致。</w:t>
      </w:r>
    </w:p>
    <w:p>
      <w:pPr>
        <w:adjustRightInd w:val="0"/>
        <w:snapToGrid w:val="0"/>
        <w:spacing w:line="360" w:lineRule="auto"/>
        <w:ind w:right="105" w:rightChars="50"/>
        <w:jc w:val="left"/>
        <w:rPr>
          <w:rFonts w:hint="eastAsia" w:ascii="仿宋" w:hAnsi="仿宋" w:eastAsia="仿宋" w:cs="仿宋"/>
          <w:color w:val="auto"/>
          <w:szCs w:val="21"/>
          <w:highlight w:val="none"/>
        </w:rPr>
      </w:pPr>
    </w:p>
    <w:p>
      <w:pPr>
        <w:adjustRightInd w:val="0"/>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adjustRightInd w:val="0"/>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p>
    <w:p>
      <w:pPr>
        <w:adjustRightInd w:val="0"/>
        <w:snapToGrid w:val="0"/>
        <w:spacing w:line="480" w:lineRule="auto"/>
        <w:ind w:right="105" w:rightChars="50"/>
        <w:jc w:val="left"/>
        <w:rPr>
          <w:rFonts w:hint="eastAsia" w:ascii="仿宋" w:hAnsi="仿宋" w:eastAsia="仿宋" w:cs="仿宋"/>
          <w:color w:val="auto"/>
          <w:highlight w:val="none"/>
        </w:rPr>
      </w:pPr>
      <w:r>
        <w:rPr>
          <w:rFonts w:hint="eastAsia" w:ascii="仿宋" w:hAnsi="仿宋" w:eastAsia="仿宋" w:cs="仿宋"/>
          <w:color w:val="auto"/>
          <w:highlight w:val="none"/>
        </w:rPr>
        <w:t>日期：</w:t>
      </w:r>
    </w:p>
    <w:p>
      <w:pPr>
        <w:pStyle w:val="3"/>
        <w:adjustRightInd w:val="0"/>
        <w:snapToGrid w:val="0"/>
        <w:spacing w:before="0" w:after="0" w:line="240" w:lineRule="auto"/>
        <w:jc w:val="left"/>
        <w:rPr>
          <w:rFonts w:hint="eastAsia" w:ascii="仿宋" w:hAnsi="仿宋" w:eastAsia="仿宋" w:cs="仿宋"/>
          <w:color w:val="auto"/>
          <w:szCs w:val="28"/>
          <w:highlight w:val="none"/>
        </w:rPr>
        <w:sectPr>
          <w:pgSz w:w="11906" w:h="16838"/>
          <w:pgMar w:top="1440" w:right="1803" w:bottom="1440" w:left="1803" w:header="851" w:footer="992" w:gutter="0"/>
          <w:cols w:space="720" w:num="1"/>
          <w:docGrid w:type="lines" w:linePitch="319" w:charSpace="0"/>
        </w:sectPr>
      </w:pPr>
      <w:bookmarkStart w:id="110" w:name="_Toc9235_WPSOffice_Level2"/>
      <w:bookmarkStart w:id="111" w:name="_Toc31555_WPSOffice_Level2"/>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格式12</w:t>
      </w:r>
    </w:p>
    <w:bookmarkEnd w:id="110"/>
    <w:bookmarkEnd w:id="111"/>
    <w:p>
      <w:pPr>
        <w:adjustRightInd w:val="0"/>
        <w:snapToGrid w:val="0"/>
        <w:spacing w:before="319" w:beforeLines="100" w:line="360" w:lineRule="auto"/>
        <w:ind w:right="105" w:rightChars="50"/>
        <w:jc w:val="center"/>
        <w:rPr>
          <w:rFonts w:hint="eastAsia" w:ascii="仿宋" w:hAnsi="仿宋" w:eastAsia="仿宋" w:cs="仿宋"/>
          <w:b/>
          <w:bCs/>
          <w:color w:val="auto"/>
          <w:szCs w:val="21"/>
          <w:highlight w:val="none"/>
        </w:rPr>
      </w:pPr>
      <w:r>
        <w:rPr>
          <w:rFonts w:hint="eastAsia" w:ascii="仿宋" w:hAnsi="仿宋" w:eastAsia="仿宋" w:cs="仿宋"/>
          <w:b/>
          <w:bCs/>
          <w:color w:val="auto"/>
          <w:sz w:val="32"/>
          <w:szCs w:val="32"/>
          <w:highlight w:val="none"/>
        </w:rPr>
        <w:t>技术规格偏离表</w:t>
      </w:r>
    </w:p>
    <w:p>
      <w:pPr>
        <w:adjustRightInd w:val="0"/>
        <w:snapToGrid w:val="0"/>
        <w:spacing w:line="360" w:lineRule="auto"/>
        <w:ind w:right="105" w:rightChars="50"/>
        <w:jc w:val="left"/>
        <w:rPr>
          <w:rFonts w:hint="eastAsia" w:ascii="仿宋" w:hAnsi="仿宋" w:eastAsia="仿宋" w:cs="仿宋"/>
          <w:b/>
          <w:color w:val="auto"/>
          <w:szCs w:val="21"/>
          <w:highlight w:val="none"/>
        </w:rPr>
      </w:pPr>
    </w:p>
    <w:tbl>
      <w:tblPr>
        <w:tblStyle w:val="29"/>
        <w:tblW w:w="15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2"/>
        <w:gridCol w:w="2490"/>
        <w:gridCol w:w="720"/>
        <w:gridCol w:w="742"/>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5100" w:type="dxa"/>
            <w:gridSpan w:val="5"/>
          </w:tcPr>
          <w:p>
            <w:pPr>
              <w:pStyle w:val="24"/>
              <w:spacing w:beforeAutospacing="0" w:afterAutospacing="0"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包号/序号：001/1</w:t>
            </w:r>
          </w:p>
          <w:p>
            <w:pPr>
              <w:pStyle w:val="24"/>
              <w:spacing w:beforeAutospacing="0" w:afterAutospacing="0"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产品名称：组织脱水机</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数量：1</w:t>
            </w:r>
            <w:r>
              <w:rPr>
                <w:rFonts w:hint="eastAsia" w:ascii="仿宋" w:hAnsi="仿宋" w:eastAsia="仿宋" w:cs="仿宋"/>
                <w:color w:val="auto"/>
                <w:sz w:val="21"/>
                <w:szCs w:val="21"/>
                <w:highlight w:val="none"/>
                <w:lang w:eastAsia="zh-CN"/>
              </w:rPr>
              <w:t>台</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是否为经过审批采购的进口产品：</w:t>
            </w:r>
            <w:r>
              <w:rPr>
                <w:rFonts w:hint="eastAsia" w:ascii="仿宋" w:hAnsi="仿宋" w:eastAsia="仿宋" w:cs="仿宋"/>
                <w:color w:val="auto"/>
                <w:sz w:val="21"/>
                <w:szCs w:val="21"/>
                <w:highlight w:val="none"/>
                <w:lang w:eastAsia="zh-CN"/>
              </w:rPr>
              <w:t>否</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是否为核心产品（非单一产品采购项目时适用）：</w:t>
            </w:r>
            <w:r>
              <w:rPr>
                <w:rFonts w:hint="eastAsia" w:ascii="仿宋" w:hAnsi="仿宋" w:eastAsia="仿宋" w:cs="仿宋"/>
                <w:color w:val="auto"/>
                <w:sz w:val="21"/>
                <w:szCs w:val="21"/>
                <w:highlight w:val="none"/>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2" w:type="dxa"/>
          </w:tcPr>
          <w:p>
            <w:pPr>
              <w:pStyle w:val="24"/>
              <w:spacing w:beforeAutospacing="0" w:afterAutospacing="0"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招标文件要求</w:t>
            </w:r>
          </w:p>
          <w:p>
            <w:pPr>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（实质性要求及重要指标用★标注，★标注项不得负偏离，如果负偏离，则投标文件无效。）</w:t>
            </w:r>
          </w:p>
        </w:tc>
        <w:tc>
          <w:tcPr>
            <w:tcW w:w="2490" w:type="dxa"/>
            <w:vAlign w:val="center"/>
          </w:tcPr>
          <w:p>
            <w:pPr>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w:t>
            </w:r>
          </w:p>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响应内容</w:t>
            </w:r>
          </w:p>
        </w:tc>
        <w:tc>
          <w:tcPr>
            <w:tcW w:w="720"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偏离程度</w:t>
            </w:r>
          </w:p>
        </w:tc>
        <w:tc>
          <w:tcPr>
            <w:tcW w:w="742"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偏离说明</w:t>
            </w:r>
          </w:p>
        </w:tc>
        <w:tc>
          <w:tcPr>
            <w:tcW w:w="746"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402" w:type="dxa"/>
            <w:vAlign w:val="center"/>
          </w:tcPr>
          <w:p>
            <w:pPr>
              <w:adjustRightInd w:val="0"/>
              <w:snapToGrid w:val="0"/>
              <w:rPr>
                <w:rFonts w:hint="eastAsia" w:ascii="仿宋" w:hAnsi="仿宋" w:eastAsia="仿宋" w:cs="仿宋"/>
                <w:color w:val="auto"/>
                <w:lang w:eastAsia="zh-CN"/>
              </w:rPr>
            </w:pPr>
            <w:r>
              <w:rPr>
                <w:rFonts w:hint="eastAsia" w:ascii="仿宋" w:hAnsi="仿宋" w:eastAsia="仿宋" w:cs="仿宋"/>
                <w:color w:val="auto"/>
              </w:rPr>
              <w:t>1. 工作条件</w:t>
            </w:r>
            <w:r>
              <w:rPr>
                <w:rFonts w:hint="eastAsia" w:ascii="仿宋" w:hAnsi="仿宋" w:cs="仿宋"/>
                <w:b/>
                <w:bCs/>
                <w:color w:val="auto"/>
                <w:lang w:eastAsia="zh-CN"/>
              </w:rPr>
              <w:t>（不作为技术评分）</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1.1 工作电压 100-240V，50/60Hz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1.2 工作温度 5～40℃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1.3 相对湿度 50～80% </w:t>
            </w:r>
          </w:p>
          <w:p>
            <w:pPr>
              <w:adjustRightInd w:val="0"/>
              <w:snapToGrid w:val="0"/>
              <w:rPr>
                <w:rFonts w:hint="eastAsia" w:ascii="仿宋" w:hAnsi="仿宋" w:eastAsia="仿宋" w:cs="仿宋"/>
                <w:color w:val="auto"/>
              </w:rPr>
            </w:pPr>
            <w:r>
              <w:rPr>
                <w:rFonts w:hint="eastAsia" w:ascii="仿宋" w:hAnsi="仿宋" w:eastAsia="仿宋" w:cs="仿宋"/>
                <w:color w:val="auto"/>
              </w:rPr>
              <w:t>2. 技术性能指标</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★2.1 反应缸为无棱角设计，搅拌加热均匀无死角；温度范围：室温~65℃，全方位包裹式脱水缸加热，提升脱水效果；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2.2 三层液面装载监测，可分层抽入及排放试剂，缩短脱水时间；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★2.3 反应缸倾斜透明顶盖设计使蒸汽尽可能凝结，滴落回到反应缸，减少试剂损失；玻璃材质盖子允许脱水过程中随时观察反应情况；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2.4 可处理多种类型和大小的组织，最大处理量≥300个标本组织盒；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★2.5 ≥16个试剂站点，容量≥4.3L </w:t>
            </w:r>
          </w:p>
          <w:p>
            <w:pPr>
              <w:adjustRightInd w:val="0"/>
              <w:snapToGrid w:val="0"/>
              <w:rPr>
                <w:rFonts w:hint="eastAsia" w:ascii="仿宋" w:hAnsi="仿宋" w:eastAsia="仿宋" w:cs="仿宋"/>
                <w:color w:val="auto"/>
              </w:rPr>
            </w:pPr>
            <w:r>
              <w:rPr>
                <w:rFonts w:hint="eastAsia" w:ascii="仿宋" w:hAnsi="仿宋" w:eastAsia="仿宋" w:cs="仿宋"/>
                <w:color w:val="auto"/>
              </w:rPr>
              <w:t>★2.6 蜡缸系统：金属蜡缸，3个蜡缸+1个废蜡缸，容量≥4.5 L；温度范围：45℃-65℃；双重温度探测功能，通过温度比对实时监测石蜡液位，无需将石蜡抽到反应缸监测石蜡量；</w:t>
            </w:r>
          </w:p>
          <w:p>
            <w:pPr>
              <w:adjustRightInd w:val="0"/>
              <w:snapToGrid w:val="0"/>
              <w:rPr>
                <w:rFonts w:hint="eastAsia" w:ascii="仿宋" w:hAnsi="仿宋" w:eastAsia="仿宋" w:cs="仿宋"/>
                <w:color w:val="auto"/>
              </w:rPr>
            </w:pPr>
            <w:r>
              <w:rPr>
                <w:rFonts w:hint="eastAsia" w:ascii="仿宋" w:hAnsi="仿宋" w:eastAsia="仿宋" w:cs="仿宋"/>
                <w:color w:val="auto"/>
              </w:rPr>
              <w:t>★2.7 试剂预热功能：脱水剂和透明试剂在预热后脱水更快，效果更均匀；试剂储存温度：室温~35℃；</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★2.8 具有酒精浓度比重检测技术，控制试剂质量，保证高品质脱水；试剂更换在机身内部自动完成，无需中断脱水程序，避免操作员直接接触有害气体；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2.9 具有少液自动补充功能及试剂借位功能；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★2.10 内置备用电池，待机时长不少于4小时，短程序可直接运行完毕，长程序保证样本安全；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★2.11 反应缸具有向下抽气功能，可有效控制有害气体排放；采用高锰酸钾和活性炭（化学、物理方法）双重过滤系统，保证操作者安全；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2.12 可运行不含二甲苯程序，且无需升温至85℃，不会影响后续IHC研究； </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2.13 延长结束时间可编程设定，甚至无限制延期； </w:t>
            </w:r>
          </w:p>
          <w:p>
            <w:pPr>
              <w:adjustRightInd w:val="0"/>
              <w:snapToGrid w:val="0"/>
              <w:rPr>
                <w:rFonts w:hint="eastAsia" w:ascii="仿宋" w:hAnsi="仿宋" w:eastAsia="仿宋" w:cs="仿宋"/>
                <w:color w:val="auto"/>
              </w:rPr>
            </w:pPr>
            <w:r>
              <w:rPr>
                <w:rFonts w:hint="eastAsia" w:ascii="仿宋" w:hAnsi="仿宋" w:eastAsia="仿宋" w:cs="仿宋"/>
                <w:color w:val="auto"/>
              </w:rPr>
              <w:t>2.14 全中文彩色触摸屏，所有信息均为中文显示；</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2.15 远程监控和实验室信息管理 (LIMS) 界面具有遥控报警功能； </w:t>
            </w:r>
          </w:p>
          <w:p>
            <w:pPr>
              <w:adjustRightInd w:val="0"/>
              <w:snapToGrid w:val="0"/>
              <w:rPr>
                <w:rFonts w:hint="eastAsia" w:ascii="仿宋" w:hAnsi="仿宋" w:eastAsia="仿宋" w:cs="仿宋"/>
                <w:color w:val="auto"/>
              </w:rPr>
            </w:pPr>
            <w:r>
              <w:rPr>
                <w:rFonts w:hint="eastAsia" w:ascii="仿宋" w:hAnsi="仿宋" w:eastAsia="仿宋" w:cs="仿宋"/>
                <w:color w:val="auto"/>
              </w:rPr>
              <w:t>2.16 具有USB 数据传输功能；</w:t>
            </w:r>
          </w:p>
          <w:p>
            <w:pPr>
              <w:adjustRightInd w:val="0"/>
              <w:snapToGrid w:val="0"/>
              <w:rPr>
                <w:rFonts w:hint="eastAsia" w:ascii="仿宋" w:hAnsi="仿宋" w:eastAsia="仿宋" w:cs="仿宋"/>
                <w:color w:val="auto"/>
              </w:rPr>
            </w:pPr>
            <w:r>
              <w:rPr>
                <w:rFonts w:hint="eastAsia" w:ascii="仿宋" w:hAnsi="仿宋" w:eastAsia="仿宋" w:cs="仿宋"/>
                <w:color w:val="auto"/>
              </w:rPr>
              <w:t>2.17 脱水缸底部搅拌部件：全闭磁力吸附的金属部件防止管路堵塞。</w:t>
            </w:r>
          </w:p>
          <w:p>
            <w:pPr>
              <w:adjustRightInd w:val="0"/>
              <w:snapToGrid w:val="0"/>
              <w:rPr>
                <w:rFonts w:hint="eastAsia" w:ascii="仿宋" w:hAnsi="仿宋" w:eastAsia="仿宋" w:cs="仿宋"/>
                <w:color w:val="auto"/>
              </w:rPr>
            </w:pPr>
            <w:r>
              <w:rPr>
                <w:rFonts w:hint="eastAsia" w:ascii="仿宋" w:hAnsi="仿宋" w:eastAsia="仿宋" w:cs="仿宋"/>
                <w:color w:val="auto"/>
              </w:rPr>
              <w:t>★配置清单</w:t>
            </w:r>
          </w:p>
          <w:tbl>
            <w:tblPr>
              <w:tblStyle w:val="28"/>
              <w:tblpPr w:leftFromText="180" w:rightFromText="180" w:vertAnchor="text" w:horzAnchor="margin" w:tblpY="1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614"/>
              <w:gridCol w:w="1072"/>
              <w:gridCol w:w="992"/>
              <w:gridCol w:w="2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jc w:val="left"/>
                    <w:rPr>
                      <w:rFonts w:hint="eastAsia" w:ascii="仿宋" w:hAnsi="仿宋" w:eastAsia="仿宋" w:cs="仿宋"/>
                      <w:b/>
                      <w:bCs/>
                      <w:color w:val="auto"/>
                    </w:rPr>
                  </w:pPr>
                  <w:r>
                    <w:rPr>
                      <w:rFonts w:hint="eastAsia" w:ascii="仿宋" w:hAnsi="仿宋" w:eastAsia="仿宋" w:cs="仿宋"/>
                      <w:b/>
                      <w:bCs/>
                      <w:color w:val="auto"/>
                    </w:rPr>
                    <w:t>序号</w:t>
                  </w:r>
                </w:p>
              </w:tc>
              <w:tc>
                <w:tcPr>
                  <w:tcW w:w="2614" w:type="dxa"/>
                  <w:noWrap w:val="0"/>
                  <w:vAlign w:val="top"/>
                </w:tcPr>
                <w:p>
                  <w:pPr>
                    <w:jc w:val="left"/>
                    <w:rPr>
                      <w:rFonts w:hint="eastAsia" w:ascii="仿宋" w:hAnsi="仿宋" w:eastAsia="仿宋" w:cs="仿宋"/>
                      <w:b/>
                      <w:bCs/>
                      <w:color w:val="auto"/>
                    </w:rPr>
                  </w:pPr>
                  <w:r>
                    <w:rPr>
                      <w:rFonts w:hint="eastAsia" w:ascii="仿宋" w:hAnsi="仿宋" w:eastAsia="仿宋" w:cs="仿宋"/>
                      <w:b/>
                      <w:bCs/>
                      <w:color w:val="auto"/>
                    </w:rPr>
                    <w:t>名称</w:t>
                  </w:r>
                </w:p>
              </w:tc>
              <w:tc>
                <w:tcPr>
                  <w:tcW w:w="1072" w:type="dxa"/>
                  <w:noWrap w:val="0"/>
                  <w:vAlign w:val="top"/>
                </w:tcPr>
                <w:p>
                  <w:pPr>
                    <w:jc w:val="left"/>
                    <w:rPr>
                      <w:rFonts w:hint="eastAsia" w:ascii="仿宋" w:hAnsi="仿宋" w:eastAsia="仿宋" w:cs="仿宋"/>
                      <w:b/>
                      <w:bCs/>
                      <w:color w:val="auto"/>
                    </w:rPr>
                  </w:pPr>
                  <w:r>
                    <w:rPr>
                      <w:rFonts w:hint="eastAsia" w:ascii="仿宋" w:hAnsi="仿宋" w:eastAsia="仿宋" w:cs="仿宋"/>
                      <w:b/>
                      <w:bCs/>
                      <w:color w:val="auto"/>
                    </w:rPr>
                    <w:t>数量</w:t>
                  </w:r>
                </w:p>
              </w:tc>
              <w:tc>
                <w:tcPr>
                  <w:tcW w:w="992" w:type="dxa"/>
                  <w:noWrap w:val="0"/>
                  <w:vAlign w:val="top"/>
                </w:tcPr>
                <w:p>
                  <w:pPr>
                    <w:jc w:val="left"/>
                    <w:rPr>
                      <w:rFonts w:hint="eastAsia" w:ascii="仿宋" w:hAnsi="仿宋" w:eastAsia="仿宋" w:cs="仿宋"/>
                      <w:b/>
                      <w:bCs/>
                      <w:color w:val="auto"/>
                    </w:rPr>
                  </w:pPr>
                  <w:r>
                    <w:rPr>
                      <w:rFonts w:hint="eastAsia" w:ascii="仿宋" w:hAnsi="仿宋" w:eastAsia="仿宋" w:cs="仿宋"/>
                      <w:b/>
                      <w:bCs/>
                      <w:color w:val="auto"/>
                    </w:rPr>
                    <w:t>单位</w:t>
                  </w:r>
                </w:p>
              </w:tc>
              <w:tc>
                <w:tcPr>
                  <w:tcW w:w="2914" w:type="dxa"/>
                  <w:noWrap w:val="0"/>
                  <w:vAlign w:val="top"/>
                </w:tcPr>
                <w:p>
                  <w:pPr>
                    <w:jc w:val="left"/>
                    <w:rPr>
                      <w:rFonts w:hint="eastAsia" w:ascii="仿宋" w:hAnsi="仿宋" w:eastAsia="仿宋" w:cs="仿宋"/>
                      <w:b/>
                      <w:bCs/>
                      <w:color w:val="auto"/>
                    </w:rPr>
                  </w:pPr>
                  <w:r>
                    <w:rPr>
                      <w:rFonts w:hint="eastAsia" w:ascii="仿宋" w:hAnsi="仿宋" w:eastAsia="仿宋" w:cs="仿宋"/>
                      <w:b/>
                      <w:bCs/>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1</w:t>
                  </w:r>
                </w:p>
              </w:tc>
              <w:tc>
                <w:tcPr>
                  <w:tcW w:w="261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脱水机主机</w:t>
                  </w:r>
                </w:p>
              </w:tc>
              <w:tc>
                <w:tcPr>
                  <w:tcW w:w="107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1</w:t>
                  </w:r>
                </w:p>
              </w:tc>
              <w:tc>
                <w:tcPr>
                  <w:tcW w:w="99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台</w:t>
                  </w:r>
                </w:p>
              </w:tc>
              <w:tc>
                <w:tcPr>
                  <w:tcW w:w="2914" w:type="dxa"/>
                  <w:noWrap w:val="0"/>
                  <w:vAlign w:val="top"/>
                </w:tcPr>
                <w:p>
                  <w:pPr>
                    <w:adjustRightInd w:val="0"/>
                    <w:snapToGrid w:val="0"/>
                    <w:jc w:val="lef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2</w:t>
                  </w:r>
                </w:p>
              </w:tc>
              <w:tc>
                <w:tcPr>
                  <w:tcW w:w="261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高锰酸钾过滤器</w:t>
                  </w:r>
                </w:p>
              </w:tc>
              <w:tc>
                <w:tcPr>
                  <w:tcW w:w="107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1</w:t>
                  </w:r>
                </w:p>
              </w:tc>
              <w:tc>
                <w:tcPr>
                  <w:tcW w:w="99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个</w:t>
                  </w:r>
                </w:p>
              </w:tc>
              <w:tc>
                <w:tcPr>
                  <w:tcW w:w="2914" w:type="dxa"/>
                  <w:noWrap w:val="0"/>
                  <w:vAlign w:val="top"/>
                </w:tcPr>
                <w:p>
                  <w:pPr>
                    <w:adjustRightInd w:val="0"/>
                    <w:snapToGrid w:val="0"/>
                    <w:jc w:val="lef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3</w:t>
                  </w:r>
                </w:p>
              </w:tc>
              <w:tc>
                <w:tcPr>
                  <w:tcW w:w="261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活性炭过滤器</w:t>
                  </w:r>
                </w:p>
              </w:tc>
              <w:tc>
                <w:tcPr>
                  <w:tcW w:w="107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1</w:t>
                  </w:r>
                </w:p>
              </w:tc>
              <w:tc>
                <w:tcPr>
                  <w:tcW w:w="99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个</w:t>
                  </w:r>
                </w:p>
              </w:tc>
              <w:tc>
                <w:tcPr>
                  <w:tcW w:w="2914" w:type="dxa"/>
                  <w:noWrap w:val="0"/>
                  <w:vAlign w:val="top"/>
                </w:tcPr>
                <w:p>
                  <w:pPr>
                    <w:adjustRightInd w:val="0"/>
                    <w:snapToGrid w:val="0"/>
                    <w:jc w:val="lef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4</w:t>
                  </w:r>
                </w:p>
              </w:tc>
              <w:tc>
                <w:tcPr>
                  <w:tcW w:w="261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5L试剂瓶</w:t>
                  </w:r>
                </w:p>
              </w:tc>
              <w:tc>
                <w:tcPr>
                  <w:tcW w:w="107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2</w:t>
                  </w:r>
                </w:p>
              </w:tc>
              <w:tc>
                <w:tcPr>
                  <w:tcW w:w="99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个</w:t>
                  </w:r>
                </w:p>
              </w:tc>
              <w:tc>
                <w:tcPr>
                  <w:tcW w:w="2914" w:type="dxa"/>
                  <w:noWrap w:val="0"/>
                  <w:vAlign w:val="top"/>
                </w:tcPr>
                <w:p>
                  <w:pPr>
                    <w:adjustRightInd w:val="0"/>
                    <w:snapToGrid w:val="0"/>
                    <w:jc w:val="lef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5</w:t>
                  </w:r>
                </w:p>
              </w:tc>
              <w:tc>
                <w:tcPr>
                  <w:tcW w:w="261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废蜡缸</w:t>
                  </w:r>
                </w:p>
              </w:tc>
              <w:tc>
                <w:tcPr>
                  <w:tcW w:w="107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5</w:t>
                  </w:r>
                </w:p>
              </w:tc>
              <w:tc>
                <w:tcPr>
                  <w:tcW w:w="99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个</w:t>
                  </w:r>
                </w:p>
              </w:tc>
              <w:tc>
                <w:tcPr>
                  <w:tcW w:w="2914" w:type="dxa"/>
                  <w:noWrap w:val="0"/>
                  <w:vAlign w:val="top"/>
                </w:tcPr>
                <w:p>
                  <w:pPr>
                    <w:adjustRightInd w:val="0"/>
                    <w:snapToGrid w:val="0"/>
                    <w:jc w:val="lef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6</w:t>
                  </w:r>
                </w:p>
              </w:tc>
              <w:tc>
                <w:tcPr>
                  <w:tcW w:w="261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300个包埋盒容量组织篮</w:t>
                  </w:r>
                </w:p>
              </w:tc>
              <w:tc>
                <w:tcPr>
                  <w:tcW w:w="107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1</w:t>
                  </w:r>
                </w:p>
              </w:tc>
              <w:tc>
                <w:tcPr>
                  <w:tcW w:w="99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个</w:t>
                  </w:r>
                </w:p>
              </w:tc>
              <w:tc>
                <w:tcPr>
                  <w:tcW w:w="2914" w:type="dxa"/>
                  <w:noWrap w:val="0"/>
                  <w:vAlign w:val="top"/>
                </w:tcPr>
                <w:p>
                  <w:pPr>
                    <w:adjustRightInd w:val="0"/>
                    <w:snapToGrid w:val="0"/>
                    <w:jc w:val="lef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7</w:t>
                  </w:r>
                </w:p>
              </w:tc>
              <w:tc>
                <w:tcPr>
                  <w:tcW w:w="2614"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水冲洗瓶</w:t>
                  </w:r>
                </w:p>
              </w:tc>
              <w:tc>
                <w:tcPr>
                  <w:tcW w:w="107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1</w:t>
                  </w:r>
                </w:p>
              </w:tc>
              <w:tc>
                <w:tcPr>
                  <w:tcW w:w="992" w:type="dxa"/>
                  <w:noWrap w:val="0"/>
                  <w:vAlign w:val="top"/>
                </w:tcPr>
                <w:p>
                  <w:pPr>
                    <w:adjustRightInd w:val="0"/>
                    <w:snapToGrid w:val="0"/>
                    <w:jc w:val="left"/>
                    <w:rPr>
                      <w:rFonts w:hint="eastAsia" w:ascii="仿宋" w:hAnsi="仿宋" w:eastAsia="仿宋" w:cs="仿宋"/>
                      <w:color w:val="auto"/>
                    </w:rPr>
                  </w:pPr>
                  <w:r>
                    <w:rPr>
                      <w:rFonts w:hint="eastAsia" w:ascii="仿宋" w:hAnsi="仿宋" w:eastAsia="仿宋" w:cs="仿宋"/>
                      <w:color w:val="auto"/>
                    </w:rPr>
                    <w:t>个</w:t>
                  </w:r>
                </w:p>
              </w:tc>
              <w:tc>
                <w:tcPr>
                  <w:tcW w:w="2914" w:type="dxa"/>
                  <w:noWrap w:val="0"/>
                  <w:vAlign w:val="top"/>
                </w:tcPr>
                <w:p>
                  <w:pPr>
                    <w:adjustRightInd w:val="0"/>
                    <w:snapToGrid w:val="0"/>
                    <w:jc w:val="left"/>
                    <w:rPr>
                      <w:rFonts w:hint="eastAsia" w:ascii="仿宋" w:hAnsi="仿宋" w:eastAsia="仿宋" w:cs="仿宋"/>
                      <w:color w:val="auto"/>
                    </w:rPr>
                  </w:pPr>
                </w:p>
              </w:tc>
            </w:tr>
          </w:tbl>
          <w:p>
            <w:pPr>
              <w:pStyle w:val="92"/>
              <w:ind w:left="0" w:leftChars="0" w:firstLine="0" w:firstLineChars="0"/>
              <w:rPr>
                <w:rFonts w:hint="eastAsia" w:ascii="仿宋" w:hAnsi="仿宋" w:eastAsia="仿宋" w:cs="仿宋"/>
                <w:color w:val="auto"/>
                <w:sz w:val="21"/>
                <w:szCs w:val="21"/>
                <w:highlight w:val="none"/>
                <w:lang w:eastAsia="zh-CN"/>
              </w:rPr>
            </w:pPr>
          </w:p>
        </w:tc>
        <w:tc>
          <w:tcPr>
            <w:tcW w:w="2490"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20"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42"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46"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r>
    </w:tbl>
    <w:p>
      <w:pPr>
        <w:rPr>
          <w:rFonts w:hint="eastAsia" w:ascii="仿宋" w:hAnsi="仿宋" w:eastAsia="仿宋" w:cs="仿宋"/>
          <w:color w:val="auto"/>
          <w:highlight w:val="none"/>
        </w:rPr>
      </w:pPr>
    </w:p>
    <w:tbl>
      <w:tblPr>
        <w:tblStyle w:val="29"/>
        <w:tblW w:w="15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2"/>
        <w:gridCol w:w="2490"/>
        <w:gridCol w:w="720"/>
        <w:gridCol w:w="742"/>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5100" w:type="dxa"/>
            <w:gridSpan w:val="5"/>
          </w:tcPr>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包号/序号：001/</w:t>
            </w:r>
            <w:r>
              <w:rPr>
                <w:rFonts w:hint="eastAsia" w:ascii="仿宋" w:hAnsi="仿宋" w:eastAsia="仿宋" w:cs="仿宋"/>
                <w:color w:val="auto"/>
                <w:sz w:val="21"/>
                <w:szCs w:val="21"/>
                <w:highlight w:val="none"/>
                <w:lang w:val="en-US" w:eastAsia="zh-CN"/>
              </w:rPr>
              <w:t>2</w:t>
            </w:r>
          </w:p>
          <w:p>
            <w:pPr>
              <w:pStyle w:val="24"/>
              <w:spacing w:beforeAutospacing="0" w:afterAutospacing="0"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产品名称：手术显微镜</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数量：1</w:t>
            </w:r>
            <w:r>
              <w:rPr>
                <w:rFonts w:hint="eastAsia" w:ascii="仿宋" w:hAnsi="仿宋" w:eastAsia="仿宋" w:cs="仿宋"/>
                <w:color w:val="auto"/>
                <w:sz w:val="21"/>
                <w:szCs w:val="21"/>
                <w:highlight w:val="none"/>
                <w:lang w:eastAsia="zh-CN"/>
              </w:rPr>
              <w:t>台</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是否为经过审批采购的进口产品：</w:t>
            </w:r>
            <w:r>
              <w:rPr>
                <w:rFonts w:hint="eastAsia" w:ascii="仿宋" w:hAnsi="仿宋" w:eastAsia="仿宋" w:cs="仿宋"/>
                <w:color w:val="auto"/>
                <w:sz w:val="21"/>
                <w:szCs w:val="21"/>
                <w:highlight w:val="none"/>
                <w:lang w:eastAsia="zh-CN"/>
              </w:rPr>
              <w:t>否</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是否为核心产品（非单一产品采购项目时适用）：</w:t>
            </w:r>
            <w:r>
              <w:rPr>
                <w:rFonts w:hint="eastAsia" w:ascii="仿宋" w:hAnsi="仿宋" w:eastAsia="仿宋" w:cs="仿宋"/>
                <w:color w:val="auto"/>
                <w:sz w:val="21"/>
                <w:szCs w:val="21"/>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2" w:type="dxa"/>
          </w:tcPr>
          <w:p>
            <w:pPr>
              <w:pStyle w:val="24"/>
              <w:spacing w:beforeAutospacing="0" w:afterAutospacing="0"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招标文件要求</w:t>
            </w:r>
          </w:p>
          <w:p>
            <w:pPr>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（实质性要求及重要指标用★标注，★标注项不得负偏离，如果负偏离，则投标文件无效。）</w:t>
            </w:r>
          </w:p>
        </w:tc>
        <w:tc>
          <w:tcPr>
            <w:tcW w:w="2490" w:type="dxa"/>
            <w:vAlign w:val="center"/>
          </w:tcPr>
          <w:p>
            <w:pPr>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w:t>
            </w:r>
          </w:p>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响应内容</w:t>
            </w:r>
          </w:p>
        </w:tc>
        <w:tc>
          <w:tcPr>
            <w:tcW w:w="720"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偏离程度</w:t>
            </w:r>
          </w:p>
        </w:tc>
        <w:tc>
          <w:tcPr>
            <w:tcW w:w="742"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偏离说明</w:t>
            </w:r>
          </w:p>
        </w:tc>
        <w:tc>
          <w:tcPr>
            <w:tcW w:w="746"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402" w:type="dxa"/>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 目镜倍率：12.5×</w:t>
            </w:r>
          </w:p>
          <w:p>
            <w:pPr>
              <w:adjustRightInd w:val="0"/>
              <w:snapToGrid w:val="0"/>
              <w:rPr>
                <w:rFonts w:hint="eastAsia" w:ascii="仿宋" w:hAnsi="仿宋" w:eastAsia="仿宋" w:cs="仿宋"/>
                <w:color w:val="auto"/>
              </w:rPr>
            </w:pPr>
            <w:r>
              <w:rPr>
                <w:rFonts w:hint="eastAsia" w:ascii="仿宋" w:hAnsi="仿宋" w:eastAsia="仿宋" w:cs="仿宋"/>
                <w:color w:val="auto"/>
              </w:rPr>
              <w:t>2. 物镜焦距：≤200mm</w:t>
            </w:r>
          </w:p>
          <w:p>
            <w:pPr>
              <w:adjustRightInd w:val="0"/>
              <w:snapToGrid w:val="0"/>
              <w:rPr>
                <w:rFonts w:hint="eastAsia" w:ascii="仿宋" w:hAnsi="仿宋" w:eastAsia="仿宋" w:cs="仿宋"/>
                <w:color w:val="auto"/>
              </w:rPr>
            </w:pPr>
            <w:r>
              <w:rPr>
                <w:rFonts w:hint="eastAsia" w:ascii="仿宋" w:hAnsi="仿宋" w:eastAsia="仿宋" w:cs="仿宋"/>
                <w:color w:val="auto"/>
              </w:rPr>
              <w:t>3. 工作距离：≥170mm</w:t>
            </w:r>
          </w:p>
          <w:p>
            <w:pPr>
              <w:adjustRightInd w:val="0"/>
              <w:snapToGrid w:val="0"/>
              <w:rPr>
                <w:rFonts w:hint="eastAsia" w:ascii="仿宋" w:hAnsi="仿宋" w:eastAsia="仿宋" w:cs="仿宋"/>
                <w:color w:val="auto"/>
              </w:rPr>
            </w:pPr>
            <w:r>
              <w:rPr>
                <w:rFonts w:hint="eastAsia" w:ascii="仿宋" w:hAnsi="仿宋" w:eastAsia="仿宋" w:cs="仿宋"/>
                <w:color w:val="auto"/>
              </w:rPr>
              <w:t>★4. 主镜放大倍率：4.6×～27×，电动/手动连续变倍</w:t>
            </w:r>
          </w:p>
          <w:p>
            <w:pPr>
              <w:adjustRightInd w:val="0"/>
              <w:snapToGrid w:val="0"/>
              <w:rPr>
                <w:rFonts w:hint="eastAsia" w:ascii="仿宋" w:hAnsi="仿宋" w:eastAsia="仿宋" w:cs="仿宋"/>
                <w:color w:val="auto"/>
              </w:rPr>
            </w:pPr>
            <w:r>
              <w:rPr>
                <w:rFonts w:hint="eastAsia" w:ascii="仿宋" w:hAnsi="仿宋" w:eastAsia="仿宋" w:cs="仿宋"/>
                <w:color w:val="auto"/>
              </w:rPr>
              <w:t>5. 副镜放大倍率：6×、10×、16×</w:t>
            </w:r>
          </w:p>
          <w:p>
            <w:pPr>
              <w:adjustRightInd w:val="0"/>
              <w:snapToGrid w:val="0"/>
              <w:rPr>
                <w:rFonts w:hint="eastAsia" w:ascii="仿宋" w:hAnsi="仿宋" w:eastAsia="仿宋" w:cs="仿宋"/>
                <w:color w:val="auto"/>
              </w:rPr>
            </w:pPr>
            <w:r>
              <w:rPr>
                <w:rFonts w:hint="eastAsia" w:ascii="仿宋" w:hAnsi="仿宋" w:eastAsia="仿宋" w:cs="仿宋"/>
                <w:color w:val="auto"/>
              </w:rPr>
              <w:t>★6. 视场直径：4.6x—46mm 、 27x—8.5mm</w:t>
            </w:r>
          </w:p>
          <w:p>
            <w:pPr>
              <w:adjustRightInd w:val="0"/>
              <w:snapToGrid w:val="0"/>
              <w:rPr>
                <w:rFonts w:hint="eastAsia" w:ascii="仿宋" w:hAnsi="仿宋" w:eastAsia="仿宋" w:cs="仿宋"/>
                <w:color w:val="auto"/>
              </w:rPr>
            </w:pPr>
            <w:r>
              <w:rPr>
                <w:rFonts w:hint="eastAsia" w:ascii="仿宋" w:hAnsi="仿宋" w:eastAsia="仿宋" w:cs="仿宋"/>
                <w:color w:val="auto"/>
              </w:rPr>
              <w:t>7. 视度调节范围：±6D</w:t>
            </w:r>
          </w:p>
          <w:p>
            <w:pPr>
              <w:adjustRightInd w:val="0"/>
              <w:snapToGrid w:val="0"/>
              <w:rPr>
                <w:rFonts w:hint="eastAsia" w:ascii="仿宋" w:hAnsi="仿宋" w:eastAsia="仿宋" w:cs="仿宋"/>
                <w:color w:val="auto"/>
              </w:rPr>
            </w:pPr>
            <w:r>
              <w:rPr>
                <w:rFonts w:hint="eastAsia" w:ascii="仿宋" w:hAnsi="仿宋" w:eastAsia="仿宋" w:cs="仿宋"/>
                <w:color w:val="auto"/>
              </w:rPr>
              <w:t>8. 瞳距调节范围：50mm～75mm (主镜45mm～80mm)</w:t>
            </w:r>
          </w:p>
          <w:p>
            <w:pPr>
              <w:adjustRightInd w:val="0"/>
              <w:snapToGrid w:val="0"/>
              <w:rPr>
                <w:rFonts w:hint="eastAsia" w:ascii="仿宋" w:hAnsi="仿宋" w:eastAsia="仿宋" w:cs="仿宋"/>
                <w:color w:val="auto"/>
              </w:rPr>
            </w:pPr>
            <w:r>
              <w:rPr>
                <w:rFonts w:hint="eastAsia" w:ascii="仿宋" w:hAnsi="仿宋" w:eastAsia="仿宋" w:cs="仿宋"/>
                <w:color w:val="auto"/>
              </w:rPr>
              <w:t>9. 景深范围：2mm～18mm</w:t>
            </w:r>
          </w:p>
          <w:p>
            <w:pPr>
              <w:adjustRightInd w:val="0"/>
              <w:snapToGrid w:val="0"/>
              <w:rPr>
                <w:rFonts w:hint="eastAsia" w:ascii="仿宋" w:hAnsi="仿宋" w:eastAsia="仿宋" w:cs="仿宋"/>
                <w:color w:val="auto"/>
              </w:rPr>
            </w:pPr>
            <w:r>
              <w:rPr>
                <w:rFonts w:hint="eastAsia" w:ascii="仿宋" w:hAnsi="仿宋" w:eastAsia="仿宋" w:cs="仿宋"/>
                <w:color w:val="auto"/>
              </w:rPr>
              <w:t>10. 最高分辨率：119线对/mm</w:t>
            </w:r>
          </w:p>
          <w:p>
            <w:pPr>
              <w:adjustRightInd w:val="0"/>
              <w:snapToGrid w:val="0"/>
              <w:rPr>
                <w:rFonts w:hint="eastAsia" w:ascii="仿宋" w:hAnsi="仿宋" w:eastAsia="仿宋" w:cs="仿宋"/>
                <w:color w:val="auto"/>
              </w:rPr>
            </w:pPr>
            <w:r>
              <w:rPr>
                <w:rFonts w:hint="eastAsia" w:ascii="仿宋" w:hAnsi="仿宋" w:eastAsia="仿宋" w:cs="仿宋"/>
                <w:color w:val="auto"/>
              </w:rPr>
              <w:t>11. 助手镜独立调焦：≥30mm</w:t>
            </w:r>
          </w:p>
          <w:p>
            <w:pPr>
              <w:adjustRightInd w:val="0"/>
              <w:snapToGrid w:val="0"/>
              <w:rPr>
                <w:rFonts w:hint="eastAsia" w:ascii="仿宋" w:hAnsi="仿宋" w:eastAsia="仿宋" w:cs="仿宋"/>
                <w:color w:val="auto"/>
              </w:rPr>
            </w:pPr>
            <w:r>
              <w:rPr>
                <w:rFonts w:hint="eastAsia" w:ascii="仿宋" w:hAnsi="仿宋" w:eastAsia="仿宋" w:cs="仿宋"/>
                <w:color w:val="auto"/>
              </w:rPr>
              <w:t>12. 照明光源：12V/100W，冷反射医用卤钨灯泡</w:t>
            </w:r>
          </w:p>
          <w:p>
            <w:pPr>
              <w:adjustRightInd w:val="0"/>
              <w:snapToGrid w:val="0"/>
              <w:rPr>
                <w:rFonts w:hint="eastAsia" w:ascii="仿宋" w:hAnsi="仿宋" w:eastAsia="仿宋" w:cs="仿宋"/>
                <w:color w:val="auto"/>
              </w:rPr>
            </w:pPr>
            <w:r>
              <w:rPr>
                <w:rFonts w:hint="eastAsia" w:ascii="仿宋" w:hAnsi="仿宋" w:eastAsia="仿宋" w:cs="仿宋"/>
                <w:color w:val="auto"/>
              </w:rPr>
              <w:t>★13. 照明类型：6°+0°冷光源同轴照明和26°斜照明</w:t>
            </w:r>
          </w:p>
          <w:p>
            <w:pPr>
              <w:adjustRightInd w:val="0"/>
              <w:snapToGrid w:val="0"/>
              <w:rPr>
                <w:rFonts w:hint="eastAsia" w:ascii="仿宋" w:hAnsi="仿宋" w:eastAsia="仿宋" w:cs="仿宋"/>
                <w:color w:val="auto"/>
              </w:rPr>
            </w:pPr>
            <w:r>
              <w:rPr>
                <w:rFonts w:hint="eastAsia" w:ascii="仿宋" w:hAnsi="仿宋" w:eastAsia="仿宋" w:cs="仿宋"/>
                <w:color w:val="auto"/>
              </w:rPr>
              <w:t>14. 同轴照明物面照度：≥35000lx，1～9级，面板亮度控制</w:t>
            </w:r>
          </w:p>
          <w:p>
            <w:pPr>
              <w:adjustRightInd w:val="0"/>
              <w:snapToGrid w:val="0"/>
              <w:rPr>
                <w:rFonts w:hint="eastAsia" w:ascii="仿宋" w:hAnsi="仿宋" w:eastAsia="仿宋" w:cs="仿宋"/>
                <w:color w:val="auto"/>
              </w:rPr>
            </w:pPr>
            <w:r>
              <w:rPr>
                <w:rFonts w:hint="eastAsia" w:ascii="仿宋" w:hAnsi="仿宋" w:eastAsia="仿宋" w:cs="仿宋"/>
                <w:color w:val="auto"/>
              </w:rPr>
              <w:t>15. 斜照明物面照度：≥30000lx，1～9级，面板亮度控制</w:t>
            </w:r>
          </w:p>
          <w:p>
            <w:pPr>
              <w:adjustRightInd w:val="0"/>
              <w:snapToGrid w:val="0"/>
              <w:rPr>
                <w:rFonts w:hint="eastAsia" w:ascii="仿宋" w:hAnsi="仿宋" w:eastAsia="仿宋" w:cs="仿宋"/>
                <w:color w:val="auto"/>
              </w:rPr>
            </w:pPr>
            <w:r>
              <w:rPr>
                <w:rFonts w:hint="eastAsia" w:ascii="仿宋" w:hAnsi="仿宋" w:eastAsia="仿宋" w:cs="仿宋"/>
                <w:color w:val="auto"/>
              </w:rPr>
              <w:t>16. 横臂伸展半径：≥1200mm</w:t>
            </w:r>
          </w:p>
          <w:p>
            <w:pPr>
              <w:adjustRightInd w:val="0"/>
              <w:snapToGrid w:val="0"/>
              <w:rPr>
                <w:rFonts w:hint="eastAsia" w:ascii="仿宋" w:hAnsi="仿宋" w:eastAsia="仿宋" w:cs="仿宋"/>
                <w:color w:val="auto"/>
              </w:rPr>
            </w:pPr>
            <w:r>
              <w:rPr>
                <w:rFonts w:hint="eastAsia" w:ascii="仿宋" w:hAnsi="仿宋" w:eastAsia="仿宋" w:cs="仿宋"/>
                <w:color w:val="auto"/>
              </w:rPr>
              <w:t>17. 垂直调节范围（地面至大物镜）：880mm～1420mm</w:t>
            </w:r>
          </w:p>
          <w:p>
            <w:pPr>
              <w:adjustRightInd w:val="0"/>
              <w:snapToGrid w:val="0"/>
              <w:rPr>
                <w:rFonts w:hint="eastAsia" w:ascii="仿宋" w:hAnsi="仿宋" w:eastAsia="仿宋" w:cs="仿宋"/>
                <w:color w:val="auto"/>
              </w:rPr>
            </w:pPr>
            <w:r>
              <w:rPr>
                <w:rFonts w:hint="eastAsia" w:ascii="仿宋" w:hAnsi="仿宋" w:eastAsia="仿宋" w:cs="仿宋"/>
                <w:color w:val="auto"/>
              </w:rPr>
              <w:t>18. 微调焦速度及行程：≤2mm/s，≥40mm</w:t>
            </w:r>
          </w:p>
          <w:p>
            <w:pPr>
              <w:adjustRightInd w:val="0"/>
              <w:snapToGrid w:val="0"/>
              <w:rPr>
                <w:rFonts w:hint="eastAsia" w:ascii="仿宋" w:hAnsi="仿宋" w:eastAsia="仿宋" w:cs="仿宋"/>
                <w:color w:val="auto"/>
              </w:rPr>
            </w:pPr>
            <w:r>
              <w:rPr>
                <w:rFonts w:hint="eastAsia" w:ascii="仿宋" w:hAnsi="仿宋" w:eastAsia="仿宋" w:cs="仿宋"/>
                <w:color w:val="auto"/>
              </w:rPr>
              <w:t>★19. X/Y坐标器移动速度及范围：≤2mm/s，50mm×50mm</w:t>
            </w:r>
          </w:p>
          <w:p>
            <w:pPr>
              <w:adjustRightInd w:val="0"/>
              <w:snapToGrid w:val="0"/>
              <w:rPr>
                <w:rFonts w:hint="eastAsia" w:ascii="仿宋" w:hAnsi="仿宋" w:eastAsia="仿宋" w:cs="仿宋"/>
                <w:color w:val="auto"/>
              </w:rPr>
            </w:pPr>
            <w:r>
              <w:rPr>
                <w:rFonts w:hint="eastAsia" w:ascii="仿宋" w:hAnsi="仿宋" w:eastAsia="仿宋" w:cs="仿宋"/>
                <w:color w:val="auto"/>
              </w:rPr>
              <w:t>★配置清单</w:t>
            </w:r>
          </w:p>
          <w:tbl>
            <w:tblPr>
              <w:tblStyle w:val="28"/>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973"/>
              <w:gridCol w:w="915"/>
              <w:gridCol w:w="855"/>
              <w:gridCol w:w="40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序号</w:t>
                  </w:r>
                </w:p>
              </w:tc>
              <w:tc>
                <w:tcPr>
                  <w:tcW w:w="1973"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名称</w:t>
                  </w:r>
                </w:p>
              </w:tc>
              <w:tc>
                <w:tcPr>
                  <w:tcW w:w="915"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数量</w:t>
                  </w:r>
                </w:p>
              </w:tc>
              <w:tc>
                <w:tcPr>
                  <w:tcW w:w="855"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单位</w:t>
                  </w:r>
                </w:p>
              </w:tc>
              <w:tc>
                <w:tcPr>
                  <w:tcW w:w="4053"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1973"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手术显微镜主机</w:t>
                  </w:r>
                </w:p>
              </w:tc>
              <w:tc>
                <w:tcPr>
                  <w:tcW w:w="915"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855"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台</w:t>
                  </w:r>
                </w:p>
              </w:tc>
              <w:tc>
                <w:tcPr>
                  <w:tcW w:w="4053"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2</w:t>
                  </w:r>
                </w:p>
              </w:tc>
              <w:tc>
                <w:tcPr>
                  <w:tcW w:w="1973"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落地式主机架</w:t>
                  </w:r>
                </w:p>
              </w:tc>
              <w:tc>
                <w:tcPr>
                  <w:tcW w:w="915"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855"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53"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3</w:t>
                  </w:r>
                </w:p>
              </w:tc>
              <w:tc>
                <w:tcPr>
                  <w:tcW w:w="1973"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横臂</w:t>
                  </w:r>
                </w:p>
              </w:tc>
              <w:tc>
                <w:tcPr>
                  <w:tcW w:w="915"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855"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53"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4</w:t>
                  </w:r>
                </w:p>
              </w:tc>
              <w:tc>
                <w:tcPr>
                  <w:tcW w:w="1973"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显微镜影像系统</w:t>
                  </w:r>
                </w:p>
              </w:tc>
              <w:tc>
                <w:tcPr>
                  <w:tcW w:w="915"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855"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套</w:t>
                  </w:r>
                </w:p>
              </w:tc>
              <w:tc>
                <w:tcPr>
                  <w:tcW w:w="4053"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 相机分辨率≥800万像素，</w:t>
                  </w:r>
                </w:p>
                <w:p>
                  <w:pPr>
                    <w:adjustRightInd w:val="0"/>
                    <w:snapToGrid w:val="0"/>
                    <w:rPr>
                      <w:rFonts w:hint="eastAsia" w:ascii="仿宋" w:hAnsi="仿宋" w:eastAsia="仿宋" w:cs="仿宋"/>
                      <w:color w:val="auto"/>
                    </w:rPr>
                  </w:pPr>
                  <w:r>
                    <w:rPr>
                      <w:rFonts w:hint="eastAsia" w:ascii="仿宋" w:hAnsi="仿宋" w:eastAsia="仿宋" w:cs="仿宋"/>
                      <w:color w:val="auto"/>
                    </w:rPr>
                    <w:t>2. 像元尺寸：≤3x3um 。</w:t>
                  </w:r>
                </w:p>
                <w:p>
                  <w:pPr>
                    <w:adjustRightInd w:val="0"/>
                    <w:snapToGrid w:val="0"/>
                    <w:rPr>
                      <w:rFonts w:hint="eastAsia" w:ascii="仿宋" w:hAnsi="仿宋" w:eastAsia="仿宋" w:cs="仿宋"/>
                      <w:color w:val="auto"/>
                    </w:rPr>
                  </w:pPr>
                  <w:r>
                    <w:rPr>
                      <w:rFonts w:hint="eastAsia" w:ascii="仿宋" w:hAnsi="仿宋" w:eastAsia="仿宋" w:cs="仿宋"/>
                      <w:color w:val="auto"/>
                    </w:rPr>
                    <w:t>3. 芯片尺寸：≥1/1.2英寸</w:t>
                  </w:r>
                </w:p>
                <w:p>
                  <w:pPr>
                    <w:adjustRightInd w:val="0"/>
                    <w:snapToGrid w:val="0"/>
                    <w:rPr>
                      <w:rFonts w:hint="eastAsia" w:ascii="仿宋" w:hAnsi="仿宋" w:eastAsia="仿宋" w:cs="仿宋"/>
                      <w:color w:val="auto"/>
                    </w:rPr>
                  </w:pPr>
                  <w:r>
                    <w:rPr>
                      <w:rFonts w:hint="eastAsia" w:ascii="仿宋" w:hAnsi="仿宋" w:eastAsia="仿宋" w:cs="仿宋"/>
                      <w:color w:val="auto"/>
                    </w:rPr>
                    <w:t>4. 像素合并：1x1、2x2</w:t>
                  </w:r>
                </w:p>
                <w:p>
                  <w:pPr>
                    <w:adjustRightInd w:val="0"/>
                    <w:snapToGrid w:val="0"/>
                    <w:rPr>
                      <w:rFonts w:hint="eastAsia" w:ascii="仿宋" w:hAnsi="仿宋" w:eastAsia="仿宋" w:cs="仿宋"/>
                      <w:color w:val="auto"/>
                    </w:rPr>
                  </w:pPr>
                  <w:r>
                    <w:rPr>
                      <w:rFonts w:hint="eastAsia" w:ascii="仿宋" w:hAnsi="仿宋" w:eastAsia="仿宋" w:cs="仿宋"/>
                      <w:color w:val="auto"/>
                    </w:rPr>
                    <w:t>5. 帧率：不低于45@3840</w:t>
                  </w:r>
                  <w:r>
                    <w:rPr>
                      <w:rFonts w:hint="eastAsia" w:ascii="仿宋" w:hAnsi="仿宋" w:eastAsia="仿宋" w:cs="仿宋"/>
                      <w:color w:val="auto"/>
                      <w:lang w:val="en-US" w:eastAsia="zh-CN"/>
                    </w:rPr>
                    <w:t>×</w:t>
                  </w:r>
                  <w:r>
                    <w:rPr>
                      <w:rFonts w:hint="eastAsia" w:ascii="仿宋" w:hAnsi="仿宋" w:eastAsia="仿宋" w:cs="仿宋"/>
                      <w:color w:val="auto"/>
                    </w:rPr>
                    <w:t>2160  70@1920</w:t>
                  </w:r>
                  <w:r>
                    <w:rPr>
                      <w:rFonts w:hint="eastAsia" w:ascii="仿宋" w:hAnsi="仿宋" w:eastAsia="仿宋" w:cs="仿宋"/>
                      <w:color w:val="auto"/>
                      <w:lang w:val="en-US" w:eastAsia="zh-CN"/>
                    </w:rPr>
                    <w:t>×</w:t>
                  </w:r>
                  <w:r>
                    <w:rPr>
                      <w:rFonts w:hint="eastAsia" w:ascii="仿宋" w:hAnsi="仿宋" w:eastAsia="仿宋" w:cs="仿宋"/>
                      <w:color w:val="auto"/>
                    </w:rPr>
                    <w:t>1080</w:t>
                  </w:r>
                </w:p>
                <w:p>
                  <w:pPr>
                    <w:adjustRightInd w:val="0"/>
                    <w:snapToGrid w:val="0"/>
                    <w:rPr>
                      <w:rFonts w:hint="eastAsia" w:ascii="仿宋" w:hAnsi="仿宋" w:eastAsia="仿宋" w:cs="仿宋"/>
                      <w:color w:val="auto"/>
                    </w:rPr>
                  </w:pPr>
                  <w:r>
                    <w:rPr>
                      <w:rFonts w:hint="eastAsia" w:ascii="仿宋" w:hAnsi="仿宋" w:eastAsia="仿宋" w:cs="仿宋"/>
                      <w:color w:val="auto"/>
                    </w:rPr>
                    <w:t xml:space="preserve">6. 光灵敏度： ≥2000mv with 1/30s  </w:t>
                  </w:r>
                </w:p>
                <w:p>
                  <w:pPr>
                    <w:adjustRightInd w:val="0"/>
                    <w:snapToGrid w:val="0"/>
                    <w:rPr>
                      <w:rFonts w:hint="eastAsia" w:ascii="仿宋" w:hAnsi="仿宋" w:eastAsia="仿宋" w:cs="仿宋"/>
                      <w:color w:val="auto"/>
                    </w:rPr>
                  </w:pPr>
                  <w:r>
                    <w:rPr>
                      <w:rFonts w:hint="eastAsia" w:ascii="仿宋" w:hAnsi="仿宋" w:eastAsia="仿宋" w:cs="仿宋"/>
                      <w:color w:val="auto"/>
                    </w:rPr>
                    <w:t>7. 暗电流：≤0.2mv with 1/30s</w:t>
                  </w:r>
                </w:p>
                <w:p>
                  <w:pPr>
                    <w:adjustRightInd w:val="0"/>
                    <w:snapToGrid w:val="0"/>
                    <w:rPr>
                      <w:rFonts w:hint="eastAsia" w:ascii="仿宋" w:hAnsi="仿宋" w:eastAsia="仿宋" w:cs="仿宋"/>
                      <w:color w:val="auto"/>
                    </w:rPr>
                  </w:pPr>
                  <w:r>
                    <w:rPr>
                      <w:rFonts w:hint="eastAsia" w:ascii="仿宋" w:hAnsi="仿宋" w:eastAsia="仿宋" w:cs="仿宋"/>
                      <w:color w:val="auto"/>
                    </w:rPr>
                    <w:t>8. 曝光时间：0.02ms~15s</w:t>
                  </w:r>
                </w:p>
                <w:p>
                  <w:pPr>
                    <w:adjustRightInd w:val="0"/>
                    <w:snapToGrid w:val="0"/>
                    <w:rPr>
                      <w:rFonts w:hint="eastAsia" w:ascii="仿宋" w:hAnsi="仿宋" w:eastAsia="仿宋" w:cs="仿宋"/>
                      <w:color w:val="auto"/>
                    </w:rPr>
                  </w:pPr>
                  <w:r>
                    <w:rPr>
                      <w:rFonts w:hint="eastAsia" w:ascii="仿宋" w:hAnsi="仿宋" w:eastAsia="仿宋" w:cs="仿宋"/>
                      <w:color w:val="auto"/>
                    </w:rPr>
                    <w:t>9. USB3.0接口确保高传输速率；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5</w:t>
                  </w:r>
                </w:p>
              </w:tc>
              <w:tc>
                <w:tcPr>
                  <w:tcW w:w="1973"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角膜曲率测定插件</w:t>
                  </w:r>
                </w:p>
              </w:tc>
              <w:tc>
                <w:tcPr>
                  <w:tcW w:w="915"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855"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53" w:type="dxa"/>
                  <w:noWrap w:val="0"/>
                  <w:vAlign w:val="center"/>
                </w:tcPr>
                <w:p>
                  <w:pPr>
                    <w:adjustRightInd w:val="0"/>
                    <w:snapToGrid w:val="0"/>
                    <w:rPr>
                      <w:rFonts w:hint="eastAsia" w:ascii="仿宋" w:hAnsi="仿宋" w:eastAsia="仿宋" w:cs="仿宋"/>
                      <w:color w:val="auto"/>
                      <w:highlight w:val="none"/>
                    </w:rPr>
                  </w:pPr>
                  <w:r>
                    <w:rPr>
                      <w:rFonts w:hint="eastAsia" w:ascii="仿宋" w:hAnsi="仿宋" w:eastAsia="仿宋" w:cs="仿宋"/>
                      <w:color w:val="auto"/>
                      <w:highlight w:val="none"/>
                    </w:rPr>
                    <w:t>1. 曲率半径：5.5-11mm</w:t>
                  </w:r>
                </w:p>
                <w:p>
                  <w:pPr>
                    <w:adjustRightInd w:val="0"/>
                    <w:snapToGrid w:val="0"/>
                    <w:rPr>
                      <w:rFonts w:hint="eastAsia" w:ascii="仿宋" w:hAnsi="仿宋" w:eastAsia="仿宋" w:cs="仿宋"/>
                      <w:color w:val="auto"/>
                      <w:highlight w:val="none"/>
                    </w:rPr>
                  </w:pPr>
                  <w:r>
                    <w:rPr>
                      <w:rFonts w:hint="eastAsia" w:ascii="仿宋" w:hAnsi="仿宋" w:eastAsia="仿宋" w:cs="仿宋"/>
                      <w:color w:val="auto"/>
                      <w:highlight w:val="none"/>
                    </w:rPr>
                    <w:t>2. 半径最小分度值：0.02mm</w:t>
                  </w:r>
                </w:p>
                <w:p>
                  <w:pPr>
                    <w:adjustRightInd w:val="0"/>
                    <w:snapToGrid w:val="0"/>
                    <w:rPr>
                      <w:rFonts w:hint="eastAsia" w:ascii="仿宋" w:hAnsi="仿宋" w:eastAsia="仿宋" w:cs="仿宋"/>
                      <w:color w:val="auto"/>
                      <w:highlight w:val="none"/>
                    </w:rPr>
                  </w:pPr>
                  <w:r>
                    <w:rPr>
                      <w:rFonts w:hint="eastAsia" w:ascii="仿宋" w:hAnsi="仿宋" w:eastAsia="仿宋" w:cs="仿宋"/>
                      <w:color w:val="auto"/>
                      <w:highlight w:val="none"/>
                    </w:rPr>
                    <w:t>3. 屈光度：30-60D</w:t>
                  </w:r>
                </w:p>
                <w:p>
                  <w:pPr>
                    <w:adjustRightInd w:val="0"/>
                    <w:snapToGrid w:val="0"/>
                    <w:rPr>
                      <w:rFonts w:hint="eastAsia" w:ascii="仿宋" w:hAnsi="仿宋" w:eastAsia="仿宋" w:cs="仿宋"/>
                      <w:color w:val="auto"/>
                      <w:highlight w:val="none"/>
                    </w:rPr>
                  </w:pPr>
                  <w:r>
                    <w:rPr>
                      <w:rFonts w:hint="eastAsia" w:ascii="仿宋" w:hAnsi="仿宋" w:eastAsia="仿宋" w:cs="仿宋"/>
                      <w:color w:val="auto"/>
                      <w:highlight w:val="none"/>
                    </w:rPr>
                    <w:t>4. 屈光度最小分度值：0.25D</w:t>
                  </w:r>
                </w:p>
                <w:p>
                  <w:pPr>
                    <w:adjustRightInd w:val="0"/>
                    <w:snapToGrid w:val="0"/>
                    <w:rPr>
                      <w:rFonts w:hint="eastAsia" w:ascii="仿宋" w:hAnsi="仿宋" w:eastAsia="仿宋" w:cs="仿宋"/>
                      <w:color w:val="auto"/>
                      <w:highlight w:val="none"/>
                    </w:rPr>
                  </w:pPr>
                  <w:r>
                    <w:rPr>
                      <w:rFonts w:hint="eastAsia" w:ascii="仿宋" w:hAnsi="仿宋" w:eastAsia="仿宋" w:cs="仿宋"/>
                      <w:color w:val="auto"/>
                      <w:highlight w:val="none"/>
                    </w:rPr>
                    <w:t>5. 测量所需最小表面积：r=5.5mm时，Φ1.65mm；r=7.5mm时，Φ2.36mm；r=11mm时，Φ3.36mm；</w:t>
                  </w:r>
                </w:p>
                <w:p>
                  <w:pPr>
                    <w:adjustRightInd w:val="0"/>
                    <w:snapToGrid w:val="0"/>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6.供货时，</w:t>
                  </w:r>
                  <w:r>
                    <w:rPr>
                      <w:rFonts w:hint="eastAsia" w:ascii="仿宋" w:hAnsi="仿宋" w:eastAsia="仿宋" w:cs="仿宋"/>
                      <w:color w:val="auto"/>
                      <w:highlight w:val="none"/>
                    </w:rPr>
                    <w:t>需提供具有资质的机构出具的计量证书。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6</w:t>
                  </w:r>
                </w:p>
              </w:tc>
              <w:tc>
                <w:tcPr>
                  <w:tcW w:w="1973"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工作站</w:t>
                  </w:r>
                </w:p>
              </w:tc>
              <w:tc>
                <w:tcPr>
                  <w:tcW w:w="915"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855"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台</w:t>
                  </w:r>
                </w:p>
              </w:tc>
              <w:tc>
                <w:tcPr>
                  <w:tcW w:w="4053"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CPU：12代/13代i5处理器</w:t>
                  </w:r>
                </w:p>
                <w:p>
                  <w:pPr>
                    <w:adjustRightInd w:val="0"/>
                    <w:snapToGrid w:val="0"/>
                    <w:rPr>
                      <w:rFonts w:hint="eastAsia" w:ascii="仿宋" w:hAnsi="仿宋" w:eastAsia="仿宋" w:cs="仿宋"/>
                      <w:color w:val="auto"/>
                    </w:rPr>
                  </w:pPr>
                  <w:r>
                    <w:rPr>
                      <w:rFonts w:hint="eastAsia" w:ascii="仿宋" w:hAnsi="仿宋" w:eastAsia="仿宋" w:cs="仿宋"/>
                      <w:color w:val="auto"/>
                    </w:rPr>
                    <w:t>GPU：集成显卡</w:t>
                  </w:r>
                </w:p>
                <w:p>
                  <w:pPr>
                    <w:adjustRightInd w:val="0"/>
                    <w:snapToGrid w:val="0"/>
                    <w:rPr>
                      <w:rFonts w:hint="eastAsia" w:ascii="仿宋" w:hAnsi="仿宋" w:eastAsia="仿宋" w:cs="仿宋"/>
                      <w:color w:val="auto"/>
                    </w:rPr>
                  </w:pPr>
                  <w:r>
                    <w:rPr>
                      <w:rFonts w:hint="eastAsia" w:ascii="仿宋" w:hAnsi="仿宋" w:eastAsia="仿宋" w:cs="仿宋"/>
                      <w:color w:val="auto"/>
                    </w:rPr>
                    <w:t>屏幕：1920*1080，≥14寸</w:t>
                  </w:r>
                </w:p>
                <w:p>
                  <w:pPr>
                    <w:adjustRightInd w:val="0"/>
                    <w:snapToGrid w:val="0"/>
                    <w:rPr>
                      <w:rFonts w:hint="eastAsia" w:ascii="仿宋" w:hAnsi="仿宋" w:eastAsia="仿宋" w:cs="仿宋"/>
                      <w:color w:val="auto"/>
                    </w:rPr>
                  </w:pPr>
                  <w:r>
                    <w:rPr>
                      <w:rFonts w:hint="eastAsia" w:ascii="仿宋" w:hAnsi="仿宋" w:eastAsia="仿宋" w:cs="仿宋"/>
                      <w:color w:val="auto"/>
                    </w:rPr>
                    <w:t>固态硬盘：≥512G</w:t>
                  </w:r>
                </w:p>
                <w:p>
                  <w:pPr>
                    <w:adjustRightInd w:val="0"/>
                    <w:snapToGrid w:val="0"/>
                    <w:rPr>
                      <w:rFonts w:hint="eastAsia" w:ascii="仿宋" w:hAnsi="仿宋" w:eastAsia="仿宋" w:cs="仿宋"/>
                      <w:color w:val="auto"/>
                    </w:rPr>
                  </w:pPr>
                  <w:r>
                    <w:rPr>
                      <w:rFonts w:hint="eastAsia" w:ascii="仿宋" w:hAnsi="仿宋" w:eastAsia="仿宋" w:cs="仿宋"/>
                      <w:color w:val="auto"/>
                    </w:rPr>
                    <w:t>内存：≥8G</w:t>
                  </w:r>
                </w:p>
              </w:tc>
            </w:tr>
          </w:tbl>
          <w:p>
            <w:pPr>
              <w:pStyle w:val="92"/>
              <w:ind w:left="0" w:leftChars="0" w:firstLine="0" w:firstLineChars="0"/>
              <w:rPr>
                <w:rFonts w:hint="eastAsia" w:ascii="仿宋" w:hAnsi="仿宋" w:eastAsia="仿宋" w:cs="仿宋"/>
                <w:color w:val="auto"/>
                <w:sz w:val="21"/>
                <w:szCs w:val="21"/>
                <w:highlight w:val="none"/>
                <w:lang w:eastAsia="zh-CN"/>
              </w:rPr>
            </w:pPr>
          </w:p>
        </w:tc>
        <w:tc>
          <w:tcPr>
            <w:tcW w:w="2490"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20"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42"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46"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r>
    </w:tbl>
    <w:p>
      <w:pPr>
        <w:adjustRightInd w:val="0"/>
        <w:snapToGrid w:val="0"/>
        <w:spacing w:line="360" w:lineRule="auto"/>
        <w:ind w:right="105" w:rightChars="50"/>
        <w:jc w:val="left"/>
        <w:rPr>
          <w:rFonts w:hint="eastAsia" w:ascii="仿宋" w:hAnsi="仿宋" w:eastAsia="仿宋" w:cs="仿宋"/>
          <w:b/>
          <w:color w:val="auto"/>
          <w:szCs w:val="21"/>
          <w:highlight w:val="none"/>
        </w:rPr>
      </w:pPr>
    </w:p>
    <w:p>
      <w:pPr>
        <w:adjustRightInd w:val="0"/>
        <w:snapToGrid w:val="0"/>
        <w:spacing w:line="360" w:lineRule="auto"/>
        <w:ind w:right="105" w:rightChars="50"/>
        <w:jc w:val="left"/>
        <w:rPr>
          <w:rFonts w:hint="eastAsia" w:ascii="仿宋" w:hAnsi="仿宋" w:eastAsia="仿宋" w:cs="仿宋"/>
          <w:b/>
          <w:color w:val="auto"/>
          <w:szCs w:val="21"/>
          <w:highlight w:val="none"/>
        </w:rPr>
      </w:pPr>
    </w:p>
    <w:tbl>
      <w:tblPr>
        <w:tblStyle w:val="29"/>
        <w:tblW w:w="15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2"/>
        <w:gridCol w:w="2490"/>
        <w:gridCol w:w="720"/>
        <w:gridCol w:w="742"/>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5100" w:type="dxa"/>
            <w:gridSpan w:val="5"/>
          </w:tcPr>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包号/序号：001/</w:t>
            </w:r>
            <w:r>
              <w:rPr>
                <w:rFonts w:hint="eastAsia" w:ascii="仿宋" w:hAnsi="仿宋" w:eastAsia="仿宋" w:cs="仿宋"/>
                <w:color w:val="auto"/>
                <w:sz w:val="21"/>
                <w:szCs w:val="21"/>
                <w:highlight w:val="none"/>
                <w:lang w:val="en-US" w:eastAsia="zh-CN"/>
              </w:rPr>
              <w:t>3</w:t>
            </w:r>
          </w:p>
          <w:p>
            <w:pPr>
              <w:pStyle w:val="24"/>
              <w:spacing w:beforeAutospacing="0" w:afterAutospacing="0"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产品名称：无菌检测系统</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数量：1</w:t>
            </w:r>
            <w:r>
              <w:rPr>
                <w:rFonts w:hint="eastAsia" w:ascii="仿宋" w:hAnsi="仿宋" w:eastAsia="仿宋" w:cs="仿宋"/>
                <w:color w:val="auto"/>
                <w:sz w:val="21"/>
                <w:szCs w:val="21"/>
                <w:highlight w:val="none"/>
                <w:lang w:eastAsia="zh-CN"/>
              </w:rPr>
              <w:t>套</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是否为经过审批采购的进口产品：</w:t>
            </w:r>
            <w:r>
              <w:rPr>
                <w:rFonts w:hint="eastAsia" w:ascii="仿宋" w:hAnsi="仿宋" w:eastAsia="仿宋" w:cs="仿宋"/>
                <w:color w:val="auto"/>
                <w:sz w:val="21"/>
                <w:szCs w:val="21"/>
                <w:highlight w:val="none"/>
                <w:lang w:eastAsia="zh-CN"/>
              </w:rPr>
              <w:t>否</w:t>
            </w:r>
          </w:p>
          <w:p>
            <w:pPr>
              <w:pStyle w:val="24"/>
              <w:spacing w:beforeAutospacing="0" w:afterAutospacing="0"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是否为核心产品（非单一产品采购项目时适用）：</w:t>
            </w:r>
            <w:r>
              <w:rPr>
                <w:rFonts w:hint="eastAsia" w:ascii="仿宋" w:hAnsi="仿宋" w:eastAsia="仿宋" w:cs="仿宋"/>
                <w:color w:val="auto"/>
                <w:sz w:val="21"/>
                <w:szCs w:val="21"/>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2" w:type="dxa"/>
          </w:tcPr>
          <w:p>
            <w:pPr>
              <w:pStyle w:val="24"/>
              <w:spacing w:beforeAutospacing="0" w:afterAutospacing="0"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招标文件要求</w:t>
            </w:r>
          </w:p>
          <w:p>
            <w:pPr>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（实质性要求及重要指标用★标注，★标注项不得负偏离，如果负偏离，则投标文件无效。）</w:t>
            </w:r>
          </w:p>
        </w:tc>
        <w:tc>
          <w:tcPr>
            <w:tcW w:w="2490" w:type="dxa"/>
            <w:vAlign w:val="center"/>
          </w:tcPr>
          <w:p>
            <w:pPr>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w:t>
            </w:r>
          </w:p>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响应内容</w:t>
            </w:r>
          </w:p>
        </w:tc>
        <w:tc>
          <w:tcPr>
            <w:tcW w:w="720"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偏离程度</w:t>
            </w:r>
          </w:p>
        </w:tc>
        <w:tc>
          <w:tcPr>
            <w:tcW w:w="742"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偏离说明</w:t>
            </w:r>
          </w:p>
        </w:tc>
        <w:tc>
          <w:tcPr>
            <w:tcW w:w="746" w:type="dxa"/>
            <w:vAlign w:val="center"/>
          </w:tcPr>
          <w:p>
            <w:pPr>
              <w:tabs>
                <w:tab w:val="left" w:pos="0"/>
              </w:tabs>
              <w:jc w:val="center"/>
              <w:textAlignment w:val="baseline"/>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402" w:type="dxa"/>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★1.泵管直线安装，自动夹管设计；</w:t>
            </w:r>
          </w:p>
          <w:p>
            <w:pPr>
              <w:adjustRightInd w:val="0"/>
              <w:snapToGrid w:val="0"/>
              <w:rPr>
                <w:rFonts w:hint="eastAsia" w:ascii="仿宋" w:hAnsi="仿宋" w:eastAsia="仿宋" w:cs="仿宋"/>
                <w:color w:val="auto"/>
              </w:rPr>
            </w:pPr>
            <w:r>
              <w:rPr>
                <w:rFonts w:hint="eastAsia" w:ascii="仿宋" w:hAnsi="仿宋" w:eastAsia="仿宋" w:cs="仿宋"/>
                <w:color w:val="auto"/>
              </w:rPr>
              <w:t>★2.可视化液晶面板，尺寸≥4寸，需要能够显示仪器状态、SOP操作步骤；</w:t>
            </w:r>
          </w:p>
          <w:p>
            <w:pPr>
              <w:adjustRightInd w:val="0"/>
              <w:snapToGrid w:val="0"/>
              <w:rPr>
                <w:rFonts w:hint="eastAsia" w:ascii="仿宋" w:hAnsi="仿宋" w:eastAsia="仿宋" w:cs="仿宋"/>
                <w:color w:val="auto"/>
              </w:rPr>
            </w:pPr>
            <w:r>
              <w:rPr>
                <w:rFonts w:hint="eastAsia" w:ascii="仿宋" w:hAnsi="仿宋" w:eastAsia="仿宋" w:cs="仿宋"/>
                <w:color w:val="auto"/>
              </w:rPr>
              <w:t>★3.具备调速开关，操作灵敏控制简便，可拆卸进行湿热灭菌；</w:t>
            </w:r>
          </w:p>
          <w:p>
            <w:pPr>
              <w:adjustRightInd w:val="0"/>
              <w:snapToGrid w:val="0"/>
              <w:rPr>
                <w:rFonts w:hint="eastAsia" w:ascii="仿宋" w:hAnsi="仿宋" w:eastAsia="仿宋" w:cs="仿宋"/>
                <w:color w:val="auto"/>
              </w:rPr>
            </w:pPr>
            <w:r>
              <w:rPr>
                <w:rFonts w:hint="eastAsia" w:ascii="仿宋" w:hAnsi="仿宋" w:eastAsia="仿宋" w:cs="仿宋"/>
                <w:color w:val="auto"/>
              </w:rPr>
              <w:t>★4.有常规模式和SOP模式，可自定义SOP程序；</w:t>
            </w:r>
          </w:p>
          <w:p>
            <w:pPr>
              <w:adjustRightInd w:val="0"/>
              <w:snapToGrid w:val="0"/>
              <w:rPr>
                <w:rFonts w:hint="eastAsia" w:ascii="仿宋" w:hAnsi="仿宋" w:eastAsia="仿宋" w:cs="仿宋"/>
                <w:color w:val="auto"/>
              </w:rPr>
            </w:pPr>
            <w:r>
              <w:rPr>
                <w:rFonts w:hint="eastAsia" w:ascii="仿宋" w:hAnsi="仿宋" w:eastAsia="仿宋" w:cs="仿宋"/>
                <w:color w:val="auto"/>
              </w:rPr>
              <w:t>5.带保护罩泵头，具有安全保护功能；</w:t>
            </w:r>
          </w:p>
          <w:p>
            <w:pPr>
              <w:adjustRightInd w:val="0"/>
              <w:snapToGrid w:val="0"/>
              <w:rPr>
                <w:rFonts w:hint="eastAsia" w:ascii="仿宋" w:hAnsi="仿宋" w:eastAsia="仿宋" w:cs="仿宋"/>
                <w:color w:val="auto"/>
              </w:rPr>
            </w:pPr>
            <w:r>
              <w:rPr>
                <w:rFonts w:hint="eastAsia" w:ascii="仿宋" w:hAnsi="仿宋" w:eastAsia="仿宋" w:cs="仿宋"/>
                <w:color w:val="auto"/>
              </w:rPr>
              <w:t>6.转速范围能够在1-300rpm范围内调整；</w:t>
            </w:r>
          </w:p>
          <w:p>
            <w:pPr>
              <w:adjustRightInd w:val="0"/>
              <w:snapToGrid w:val="0"/>
              <w:rPr>
                <w:rFonts w:hint="eastAsia" w:ascii="仿宋" w:hAnsi="仿宋" w:eastAsia="仿宋" w:cs="仿宋"/>
                <w:color w:val="auto"/>
              </w:rPr>
            </w:pPr>
            <w:r>
              <w:rPr>
                <w:rFonts w:hint="eastAsia" w:ascii="仿宋" w:hAnsi="仿宋" w:eastAsia="仿宋" w:cs="仿宋"/>
                <w:color w:val="auto"/>
              </w:rPr>
              <w:t>7.需拥有两种脚踏开关模式：点动控制、连续控制；</w:t>
            </w:r>
          </w:p>
          <w:p>
            <w:pPr>
              <w:adjustRightInd w:val="0"/>
              <w:snapToGrid w:val="0"/>
              <w:rPr>
                <w:rFonts w:hint="eastAsia" w:ascii="仿宋" w:hAnsi="仿宋" w:eastAsia="仿宋" w:cs="仿宋"/>
                <w:color w:val="auto"/>
              </w:rPr>
            </w:pPr>
            <w:r>
              <w:rPr>
                <w:rFonts w:hint="eastAsia" w:ascii="仿宋" w:hAnsi="仿宋" w:eastAsia="仿宋" w:cs="仿宋"/>
                <w:color w:val="auto"/>
              </w:rPr>
              <w:t>★8.具有2种以上压力保护模式，使用更灵活；</w:t>
            </w:r>
          </w:p>
          <w:p>
            <w:pPr>
              <w:adjustRightInd w:val="0"/>
              <w:snapToGrid w:val="0"/>
              <w:rPr>
                <w:rFonts w:hint="eastAsia" w:ascii="仿宋" w:hAnsi="仿宋" w:eastAsia="仿宋" w:cs="仿宋"/>
                <w:color w:val="auto"/>
              </w:rPr>
            </w:pPr>
            <w:r>
              <w:rPr>
                <w:rFonts w:hint="eastAsia" w:ascii="仿宋" w:hAnsi="仿宋" w:eastAsia="仿宋" w:cs="仿宋"/>
                <w:color w:val="auto"/>
              </w:rPr>
              <w:t>9.具有无级调速，转速记忆功能；</w:t>
            </w:r>
          </w:p>
          <w:p>
            <w:pPr>
              <w:adjustRightInd w:val="0"/>
              <w:snapToGrid w:val="0"/>
              <w:rPr>
                <w:rFonts w:hint="eastAsia" w:ascii="仿宋" w:hAnsi="仿宋" w:eastAsia="仿宋" w:cs="仿宋"/>
                <w:color w:val="auto"/>
              </w:rPr>
            </w:pPr>
            <w:r>
              <w:rPr>
                <w:rFonts w:hint="eastAsia" w:ascii="仿宋" w:hAnsi="仿宋" w:eastAsia="仿宋" w:cs="仿宋"/>
                <w:color w:val="auto"/>
              </w:rPr>
              <w:t>10.具备可旋转角度排液槽；</w:t>
            </w:r>
          </w:p>
          <w:p>
            <w:pPr>
              <w:adjustRightInd w:val="0"/>
              <w:snapToGrid w:val="0"/>
              <w:rPr>
                <w:rFonts w:hint="eastAsia" w:ascii="仿宋" w:hAnsi="仿宋" w:eastAsia="仿宋" w:cs="仿宋"/>
                <w:color w:val="auto"/>
              </w:rPr>
            </w:pPr>
            <w:r>
              <w:rPr>
                <w:rFonts w:hint="eastAsia" w:ascii="仿宋" w:hAnsi="仿宋" w:eastAsia="仿宋" w:cs="仿宋"/>
                <w:color w:val="auto"/>
              </w:rPr>
              <w:t>11.有过流、过压、过载、堵转四重安全保护功能；</w:t>
            </w:r>
          </w:p>
          <w:p>
            <w:pPr>
              <w:adjustRightInd w:val="0"/>
              <w:snapToGrid w:val="0"/>
              <w:rPr>
                <w:rFonts w:hint="eastAsia" w:ascii="仿宋" w:hAnsi="仿宋" w:eastAsia="仿宋" w:cs="仿宋"/>
                <w:color w:val="auto"/>
              </w:rPr>
            </w:pPr>
            <w:r>
              <w:rPr>
                <w:rFonts w:hint="eastAsia" w:ascii="仿宋" w:hAnsi="仿宋" w:eastAsia="仿宋" w:cs="仿宋"/>
                <w:color w:val="auto"/>
              </w:rPr>
              <w:t>12.设备机壳材质为经镜面处理的不锈钢；</w:t>
            </w:r>
          </w:p>
          <w:p>
            <w:pPr>
              <w:adjustRightInd w:val="0"/>
              <w:snapToGrid w:val="0"/>
              <w:rPr>
                <w:rFonts w:hint="eastAsia" w:ascii="仿宋" w:hAnsi="仿宋" w:eastAsia="仿宋" w:cs="仿宋"/>
                <w:color w:val="auto"/>
              </w:rPr>
            </w:pPr>
            <w:r>
              <w:rPr>
                <w:rFonts w:hint="eastAsia" w:ascii="仿宋" w:hAnsi="仿宋" w:eastAsia="仿宋" w:cs="仿宋"/>
                <w:color w:val="auto"/>
              </w:rPr>
              <w:t>13.不会干扰单向层流。节省操作空间。符合人体工学设计，方便操作，降低操作者疲劳；</w:t>
            </w:r>
          </w:p>
          <w:p>
            <w:pPr>
              <w:adjustRightInd w:val="0"/>
              <w:snapToGrid w:val="0"/>
              <w:rPr>
                <w:rFonts w:hint="eastAsia" w:ascii="仿宋" w:hAnsi="仿宋" w:eastAsia="仿宋" w:cs="仿宋"/>
                <w:color w:val="auto"/>
              </w:rPr>
            </w:pPr>
            <w:r>
              <w:rPr>
                <w:rFonts w:hint="eastAsia" w:ascii="仿宋" w:hAnsi="仿宋" w:eastAsia="仿宋" w:cs="仿宋"/>
                <w:color w:val="auto"/>
              </w:rPr>
              <w:t>14.多功能瓶托适用于多种试剂瓶或袋子，能够拆卸、清洁，可耐受高温高压灭菌；</w:t>
            </w:r>
          </w:p>
          <w:p>
            <w:pPr>
              <w:adjustRightInd w:val="0"/>
              <w:snapToGrid w:val="0"/>
              <w:rPr>
                <w:rFonts w:hint="eastAsia" w:ascii="仿宋" w:hAnsi="仿宋" w:eastAsia="仿宋" w:cs="仿宋"/>
                <w:color w:val="auto"/>
              </w:rPr>
            </w:pPr>
            <w:r>
              <w:rPr>
                <w:rFonts w:hint="eastAsia" w:ascii="仿宋" w:hAnsi="仿宋" w:eastAsia="仿宋" w:cs="仿宋"/>
                <w:color w:val="auto"/>
              </w:rPr>
              <w:t>15.</w:t>
            </w:r>
            <w:r>
              <w:rPr>
                <w:rFonts w:hint="eastAsia" w:ascii="仿宋" w:hAnsi="仿宋" w:cs="仿宋"/>
                <w:color w:val="auto"/>
                <w:lang w:val="en-US" w:eastAsia="zh-CN"/>
              </w:rPr>
              <w:t>供货时，</w:t>
            </w:r>
            <w:r>
              <w:rPr>
                <w:rFonts w:hint="eastAsia" w:ascii="仿宋" w:hAnsi="仿宋" w:eastAsia="仿宋" w:cs="仿宋"/>
                <w:color w:val="auto"/>
              </w:rPr>
              <w:t>需检定或校准产品需提供具有资质的机构出具的计量证书。</w:t>
            </w:r>
          </w:p>
          <w:p>
            <w:pPr>
              <w:adjustRightInd w:val="0"/>
              <w:snapToGrid w:val="0"/>
              <w:rPr>
                <w:rFonts w:hint="eastAsia" w:ascii="仿宋" w:hAnsi="仿宋" w:eastAsia="仿宋" w:cs="仿宋"/>
                <w:color w:val="auto"/>
              </w:rPr>
            </w:pPr>
            <w:r>
              <w:rPr>
                <w:rFonts w:hint="eastAsia" w:ascii="仿宋" w:hAnsi="仿宋" w:eastAsia="仿宋" w:cs="仿宋"/>
                <w:color w:val="auto"/>
              </w:rPr>
              <w:t>★配置清单</w:t>
            </w:r>
          </w:p>
          <w:tbl>
            <w:tblPr>
              <w:tblStyle w:val="28"/>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102"/>
              <w:gridCol w:w="900"/>
              <w:gridCol w:w="780"/>
              <w:gridCol w:w="4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序号</w:t>
                  </w:r>
                </w:p>
              </w:tc>
              <w:tc>
                <w:tcPr>
                  <w:tcW w:w="2102"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名称</w:t>
                  </w:r>
                </w:p>
              </w:tc>
              <w:tc>
                <w:tcPr>
                  <w:tcW w:w="900"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数量</w:t>
                  </w:r>
                </w:p>
              </w:tc>
              <w:tc>
                <w:tcPr>
                  <w:tcW w:w="780"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单位</w:t>
                  </w:r>
                </w:p>
              </w:tc>
              <w:tc>
                <w:tcPr>
                  <w:tcW w:w="4014" w:type="dxa"/>
                  <w:noWrap w:val="0"/>
                  <w:vAlign w:val="top"/>
                </w:tcPr>
                <w:p>
                  <w:pPr>
                    <w:jc w:val="center"/>
                    <w:rPr>
                      <w:rFonts w:hint="eastAsia" w:ascii="仿宋" w:hAnsi="仿宋" w:eastAsia="仿宋" w:cs="仿宋"/>
                      <w:b/>
                      <w:bCs/>
                      <w:color w:val="auto"/>
                    </w:rPr>
                  </w:pPr>
                  <w:r>
                    <w:rPr>
                      <w:rFonts w:hint="eastAsia" w:ascii="仿宋" w:hAnsi="仿宋" w:eastAsia="仿宋" w:cs="仿宋"/>
                      <w:b/>
                      <w:bCs/>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2102"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主机</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台</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2</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排液槽</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3</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悬杆</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根</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4</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保持块</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块</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5</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篮支架</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6</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电源线</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根</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7</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保险丝管</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3</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颗</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8</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脚踏开关</w:t>
                  </w:r>
                </w:p>
              </w:tc>
              <w:tc>
                <w:tcPr>
                  <w:tcW w:w="900" w:type="dxa"/>
                  <w:noWrap w:val="0"/>
                  <w:vAlign w:val="top"/>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只</w:t>
                  </w:r>
                </w:p>
              </w:tc>
              <w:tc>
                <w:tcPr>
                  <w:tcW w:w="4014" w:type="dxa"/>
                  <w:noWrap w:val="0"/>
                  <w:vAlign w:val="top"/>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9</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硅胶管</w:t>
                  </w:r>
                </w:p>
              </w:tc>
              <w:tc>
                <w:tcPr>
                  <w:tcW w:w="90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根</w:t>
                  </w:r>
                </w:p>
              </w:tc>
              <w:tc>
                <w:tcPr>
                  <w:tcW w:w="4014" w:type="dxa"/>
                  <w:noWrap w:val="0"/>
                  <w:vAlign w:val="center"/>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10</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大容量手动移液器</w:t>
                  </w:r>
                </w:p>
              </w:tc>
              <w:tc>
                <w:tcPr>
                  <w:tcW w:w="90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4</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1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 广泛适用于玻璃或者塑料0.1-100mL 血清移液管；</w:t>
                  </w:r>
                </w:p>
                <w:p>
                  <w:pPr>
                    <w:adjustRightInd w:val="0"/>
                    <w:snapToGrid w:val="0"/>
                    <w:rPr>
                      <w:rFonts w:hint="eastAsia" w:ascii="仿宋" w:hAnsi="仿宋" w:eastAsia="仿宋" w:cs="仿宋"/>
                      <w:color w:val="auto"/>
                    </w:rPr>
                  </w:pPr>
                  <w:r>
                    <w:rPr>
                      <w:rFonts w:hint="eastAsia" w:ascii="仿宋" w:hAnsi="仿宋" w:eastAsia="仿宋" w:cs="仿宋"/>
                      <w:color w:val="auto"/>
                    </w:rPr>
                    <w:t>2. 吸液快速，吸取25mL液体时间≤4s；</w:t>
                  </w:r>
                </w:p>
                <w:p>
                  <w:pPr>
                    <w:adjustRightInd w:val="0"/>
                    <w:snapToGrid w:val="0"/>
                    <w:rPr>
                      <w:rFonts w:hint="eastAsia" w:ascii="仿宋" w:hAnsi="仿宋" w:eastAsia="仿宋" w:cs="仿宋"/>
                      <w:color w:val="auto"/>
                    </w:rPr>
                  </w:pPr>
                  <w:r>
                    <w:rPr>
                      <w:rFonts w:hint="eastAsia" w:ascii="仿宋" w:hAnsi="仿宋" w:eastAsia="仿宋" w:cs="仿宋"/>
                      <w:color w:val="auto"/>
                    </w:rPr>
                    <w:t>3. 可实现中途续液；</w:t>
                  </w:r>
                </w:p>
                <w:p>
                  <w:pPr>
                    <w:adjustRightInd w:val="0"/>
                    <w:snapToGrid w:val="0"/>
                    <w:rPr>
                      <w:rFonts w:hint="eastAsia" w:ascii="仿宋" w:hAnsi="仿宋" w:eastAsia="仿宋" w:cs="仿宋"/>
                      <w:color w:val="auto"/>
                    </w:rPr>
                  </w:pPr>
                  <w:r>
                    <w:rPr>
                      <w:rFonts w:hint="eastAsia" w:ascii="仿宋" w:hAnsi="仿宋" w:eastAsia="仿宋" w:cs="仿宋"/>
                      <w:color w:val="auto"/>
                    </w:rPr>
                    <w:t>4. 逐滴排液，精准控制；</w:t>
                  </w:r>
                </w:p>
                <w:p>
                  <w:pPr>
                    <w:adjustRightInd w:val="0"/>
                    <w:snapToGrid w:val="0"/>
                    <w:rPr>
                      <w:rFonts w:hint="eastAsia" w:ascii="仿宋" w:hAnsi="仿宋" w:eastAsia="仿宋" w:cs="仿宋"/>
                      <w:color w:val="auto"/>
                    </w:rPr>
                  </w:pPr>
                  <w:r>
                    <w:rPr>
                      <w:rFonts w:hint="eastAsia" w:ascii="仿宋" w:hAnsi="仿宋" w:eastAsia="仿宋" w:cs="仿宋"/>
                      <w:color w:val="auto"/>
                    </w:rPr>
                    <w:t>5. 具有最后一滴液体排出按钮；</w:t>
                  </w:r>
                </w:p>
                <w:p>
                  <w:pPr>
                    <w:adjustRightInd w:val="0"/>
                    <w:snapToGrid w:val="0"/>
                    <w:rPr>
                      <w:rFonts w:hint="eastAsia" w:ascii="仿宋" w:hAnsi="仿宋" w:eastAsia="仿宋" w:cs="仿宋"/>
                      <w:color w:val="auto"/>
                    </w:rPr>
                  </w:pPr>
                  <w:r>
                    <w:rPr>
                      <w:rFonts w:hint="eastAsia" w:ascii="仿宋" w:hAnsi="仿宋" w:eastAsia="仿宋" w:cs="仿宋"/>
                      <w:color w:val="auto"/>
                    </w:rPr>
                    <w:t>6. 适配可更换的3μm 疏水性滤膜；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11</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移液器架</w:t>
                  </w:r>
                </w:p>
              </w:tc>
              <w:tc>
                <w:tcPr>
                  <w:tcW w:w="90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2</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14" w:type="dxa"/>
                  <w:noWrap w:val="0"/>
                  <w:vAlign w:val="center"/>
                </w:tcPr>
                <w:p>
                  <w:pPr>
                    <w:adjustRightInd w:val="0"/>
                    <w:snapToGrid w:val="0"/>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12</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细菌培养组件</w:t>
                  </w:r>
                </w:p>
              </w:tc>
              <w:tc>
                <w:tcPr>
                  <w:tcW w:w="90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2</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1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1.电源电压: 220V-50HZ</w:t>
                  </w:r>
                </w:p>
                <w:p>
                  <w:pPr>
                    <w:adjustRightInd w:val="0"/>
                    <w:snapToGrid w:val="0"/>
                    <w:rPr>
                      <w:rFonts w:hint="eastAsia" w:ascii="仿宋" w:hAnsi="仿宋" w:eastAsia="仿宋" w:cs="仿宋"/>
                      <w:color w:val="auto"/>
                    </w:rPr>
                  </w:pPr>
                  <w:r>
                    <w:rPr>
                      <w:rFonts w:hint="eastAsia" w:ascii="仿宋" w:hAnsi="仿宋" w:eastAsia="仿宋" w:cs="仿宋"/>
                      <w:color w:val="auto"/>
                    </w:rPr>
                    <w:t>2.控温范围（℃）：5-50</w:t>
                  </w:r>
                </w:p>
                <w:p>
                  <w:pPr>
                    <w:adjustRightInd w:val="0"/>
                    <w:snapToGrid w:val="0"/>
                    <w:rPr>
                      <w:rFonts w:hint="eastAsia" w:ascii="仿宋" w:hAnsi="仿宋" w:eastAsia="仿宋" w:cs="仿宋"/>
                      <w:color w:val="auto"/>
                    </w:rPr>
                  </w:pPr>
                  <w:r>
                    <w:rPr>
                      <w:rFonts w:hint="eastAsia" w:ascii="仿宋" w:hAnsi="仿宋" w:eastAsia="仿宋" w:cs="仿宋"/>
                      <w:color w:val="auto"/>
                    </w:rPr>
                    <w:t>3.温度分辨率（℃）：0.1</w:t>
                  </w:r>
                </w:p>
                <w:p>
                  <w:pPr>
                    <w:adjustRightInd w:val="0"/>
                    <w:snapToGrid w:val="0"/>
                    <w:rPr>
                      <w:rFonts w:hint="eastAsia" w:ascii="仿宋" w:hAnsi="仿宋" w:eastAsia="仿宋" w:cs="仿宋"/>
                      <w:color w:val="auto"/>
                    </w:rPr>
                  </w:pPr>
                  <w:r>
                    <w:rPr>
                      <w:rFonts w:hint="eastAsia" w:ascii="仿宋" w:hAnsi="仿宋" w:eastAsia="仿宋" w:cs="仿宋"/>
                      <w:color w:val="auto"/>
                    </w:rPr>
                    <w:t>4.温度均匀性（℃）：±1（at37℃时）</w:t>
                  </w:r>
                </w:p>
                <w:p>
                  <w:pPr>
                    <w:adjustRightInd w:val="0"/>
                    <w:snapToGrid w:val="0"/>
                    <w:rPr>
                      <w:rFonts w:hint="eastAsia" w:ascii="仿宋" w:hAnsi="仿宋" w:eastAsia="仿宋" w:cs="仿宋"/>
                      <w:color w:val="auto"/>
                    </w:rPr>
                  </w:pPr>
                  <w:r>
                    <w:rPr>
                      <w:rFonts w:hint="eastAsia" w:ascii="仿宋" w:hAnsi="仿宋" w:eastAsia="仿宋" w:cs="仿宋"/>
                      <w:color w:val="auto"/>
                    </w:rPr>
                    <w:t>5.温度波动度（℃）：±1</w:t>
                  </w:r>
                </w:p>
                <w:p>
                  <w:pPr>
                    <w:adjustRightInd w:val="0"/>
                    <w:snapToGrid w:val="0"/>
                    <w:rPr>
                      <w:rFonts w:hint="eastAsia" w:ascii="仿宋" w:hAnsi="仿宋" w:eastAsia="仿宋" w:cs="仿宋"/>
                      <w:color w:val="auto"/>
                    </w:rPr>
                  </w:pPr>
                  <w:r>
                    <w:rPr>
                      <w:rFonts w:hint="eastAsia" w:ascii="仿宋" w:hAnsi="仿宋" w:eastAsia="仿宋" w:cs="仿宋"/>
                      <w:color w:val="auto"/>
                    </w:rPr>
                    <w:t>6.制冷剂：R12或134a</w:t>
                  </w:r>
                </w:p>
                <w:p>
                  <w:pPr>
                    <w:adjustRightInd w:val="0"/>
                    <w:snapToGrid w:val="0"/>
                    <w:rPr>
                      <w:rFonts w:hint="eastAsia" w:ascii="仿宋" w:hAnsi="仿宋" w:eastAsia="仿宋" w:cs="仿宋"/>
                      <w:color w:val="auto"/>
                    </w:rPr>
                  </w:pPr>
                  <w:r>
                    <w:rPr>
                      <w:rFonts w:hint="eastAsia" w:ascii="仿宋" w:hAnsi="仿宋" w:eastAsia="仿宋" w:cs="仿宋"/>
                      <w:color w:val="auto"/>
                    </w:rPr>
                    <w:t>7.加热功率（kw）：≤0.5</w:t>
                  </w:r>
                </w:p>
                <w:p>
                  <w:pPr>
                    <w:adjustRightInd w:val="0"/>
                    <w:snapToGrid w:val="0"/>
                    <w:rPr>
                      <w:rFonts w:hint="eastAsia" w:ascii="仿宋" w:hAnsi="仿宋" w:eastAsia="仿宋" w:cs="仿宋"/>
                      <w:color w:val="auto"/>
                    </w:rPr>
                  </w:pPr>
                  <w:r>
                    <w:rPr>
                      <w:rFonts w:hint="eastAsia" w:ascii="仿宋" w:hAnsi="仿宋" w:eastAsia="仿宋" w:cs="仿宋"/>
                      <w:color w:val="auto"/>
                    </w:rPr>
                    <w:t>8.工作室尺寸 (mm)：≥500×430×750</w:t>
                  </w:r>
                </w:p>
                <w:p>
                  <w:pPr>
                    <w:adjustRightInd w:val="0"/>
                    <w:snapToGrid w:val="0"/>
                    <w:rPr>
                      <w:rFonts w:hint="eastAsia" w:ascii="仿宋" w:hAnsi="仿宋" w:eastAsia="仿宋" w:cs="仿宋"/>
                      <w:color w:val="auto"/>
                    </w:rPr>
                  </w:pPr>
                  <w:r>
                    <w:rPr>
                      <w:rFonts w:hint="eastAsia" w:ascii="仿宋" w:hAnsi="仿宋" w:eastAsia="仿宋" w:cs="仿宋"/>
                      <w:color w:val="auto"/>
                    </w:rPr>
                    <w:t>9.产品外形尺寸 (mm)：≤600×750×1250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13</w:t>
                  </w:r>
                </w:p>
              </w:tc>
              <w:tc>
                <w:tcPr>
                  <w:tcW w:w="2102"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灭菌组件</w:t>
                  </w:r>
                </w:p>
              </w:tc>
              <w:tc>
                <w:tcPr>
                  <w:tcW w:w="90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1</w:t>
                  </w:r>
                </w:p>
              </w:tc>
              <w:tc>
                <w:tcPr>
                  <w:tcW w:w="780"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个</w:t>
                  </w:r>
                </w:p>
              </w:tc>
              <w:tc>
                <w:tcPr>
                  <w:tcW w:w="4014" w:type="dxa"/>
                  <w:noWrap w:val="0"/>
                  <w:vAlign w:val="center"/>
                </w:tcPr>
                <w:p>
                  <w:pPr>
                    <w:adjustRightInd w:val="0"/>
                    <w:snapToGrid w:val="0"/>
                    <w:rPr>
                      <w:rFonts w:hint="eastAsia" w:ascii="仿宋" w:hAnsi="仿宋" w:eastAsia="仿宋" w:cs="仿宋"/>
                      <w:color w:val="auto"/>
                    </w:rPr>
                  </w:pPr>
                  <w:r>
                    <w:rPr>
                      <w:rFonts w:hint="eastAsia" w:ascii="仿宋" w:hAnsi="仿宋" w:eastAsia="仿宋" w:cs="仿宋"/>
                      <w:color w:val="auto"/>
                    </w:rPr>
                    <w:t>主要用于无菌检测后阳性物灭菌</w:t>
                  </w:r>
                </w:p>
                <w:p>
                  <w:pPr>
                    <w:adjustRightInd w:val="0"/>
                    <w:snapToGrid w:val="0"/>
                    <w:rPr>
                      <w:rFonts w:hint="eastAsia" w:ascii="仿宋" w:hAnsi="仿宋" w:eastAsia="仿宋" w:cs="仿宋"/>
                      <w:color w:val="auto"/>
                    </w:rPr>
                  </w:pPr>
                  <w:r>
                    <w:rPr>
                      <w:rFonts w:hint="eastAsia" w:ascii="仿宋" w:hAnsi="仿宋" w:eastAsia="仿宋" w:cs="仿宋"/>
                      <w:color w:val="auto"/>
                    </w:rPr>
                    <w:t>1. 容积：≥80L</w:t>
                  </w:r>
                </w:p>
                <w:p>
                  <w:pPr>
                    <w:adjustRightInd w:val="0"/>
                    <w:snapToGrid w:val="0"/>
                    <w:rPr>
                      <w:rFonts w:hint="eastAsia" w:ascii="仿宋" w:hAnsi="仿宋" w:eastAsia="仿宋" w:cs="仿宋"/>
                      <w:color w:val="auto"/>
                    </w:rPr>
                  </w:pPr>
                  <w:r>
                    <w:rPr>
                      <w:rFonts w:hint="eastAsia" w:ascii="仿宋" w:hAnsi="仿宋" w:eastAsia="仿宋" w:cs="仿宋"/>
                      <w:color w:val="auto"/>
                    </w:rPr>
                    <w:t>2. 设计压力：-0.1～0.28MPa</w:t>
                  </w:r>
                </w:p>
                <w:p>
                  <w:pPr>
                    <w:adjustRightInd w:val="0"/>
                    <w:snapToGrid w:val="0"/>
                    <w:rPr>
                      <w:rFonts w:hint="eastAsia" w:ascii="仿宋" w:hAnsi="仿宋" w:eastAsia="仿宋" w:cs="仿宋"/>
                      <w:color w:val="auto"/>
                    </w:rPr>
                  </w:pPr>
                  <w:r>
                    <w:rPr>
                      <w:rFonts w:hint="eastAsia" w:ascii="仿宋" w:hAnsi="仿宋" w:eastAsia="仿宋" w:cs="仿宋"/>
                      <w:color w:val="auto"/>
                    </w:rPr>
                    <w:t>3. 装载装置：304拉伸封底篮筐、网底篮筐各一个</w:t>
                  </w:r>
                </w:p>
                <w:p>
                  <w:pPr>
                    <w:adjustRightInd w:val="0"/>
                    <w:snapToGrid w:val="0"/>
                    <w:rPr>
                      <w:rFonts w:hint="eastAsia" w:ascii="仿宋" w:hAnsi="仿宋" w:eastAsia="仿宋" w:cs="仿宋"/>
                      <w:color w:val="auto"/>
                    </w:rPr>
                  </w:pPr>
                  <w:r>
                    <w:rPr>
                      <w:rFonts w:hint="eastAsia" w:ascii="仿宋" w:hAnsi="仿宋" w:eastAsia="仿宋" w:cs="仿宋"/>
                      <w:color w:val="auto"/>
                    </w:rPr>
                    <w:t>4. 腔体尺寸（Φ×L）：≥Φ386×695mm</w:t>
                  </w:r>
                </w:p>
                <w:p>
                  <w:pPr>
                    <w:adjustRightInd w:val="0"/>
                    <w:snapToGrid w:val="0"/>
                    <w:rPr>
                      <w:rFonts w:hint="eastAsia" w:ascii="仿宋" w:hAnsi="仿宋" w:eastAsia="仿宋" w:cs="仿宋"/>
                      <w:color w:val="auto"/>
                    </w:rPr>
                  </w:pPr>
                  <w:r>
                    <w:rPr>
                      <w:rFonts w:hint="eastAsia" w:ascii="仿宋" w:hAnsi="仿宋" w:eastAsia="仿宋" w:cs="仿宋"/>
                      <w:color w:val="auto"/>
                    </w:rPr>
                    <w:t>5. 外形尺寸（L×W×H）：≤688×546×1030mm</w:t>
                  </w:r>
                </w:p>
                <w:p>
                  <w:pPr>
                    <w:adjustRightInd w:val="0"/>
                    <w:snapToGrid w:val="0"/>
                    <w:rPr>
                      <w:rFonts w:hint="eastAsia" w:ascii="仿宋" w:hAnsi="仿宋" w:eastAsia="仿宋" w:cs="仿宋"/>
                      <w:color w:val="auto"/>
                    </w:rPr>
                  </w:pPr>
                  <w:r>
                    <w:rPr>
                      <w:rFonts w:hint="eastAsia" w:ascii="仿宋" w:hAnsi="仿宋" w:eastAsia="仿宋" w:cs="仿宋"/>
                      <w:color w:val="auto"/>
                    </w:rPr>
                    <w:t>6. 设备重量：≤82kg</w:t>
                  </w:r>
                </w:p>
                <w:p>
                  <w:pPr>
                    <w:adjustRightInd w:val="0"/>
                    <w:snapToGrid w:val="0"/>
                    <w:rPr>
                      <w:rFonts w:hint="eastAsia" w:ascii="仿宋" w:hAnsi="仿宋" w:eastAsia="仿宋" w:cs="仿宋"/>
                      <w:color w:val="auto"/>
                    </w:rPr>
                  </w:pPr>
                  <w:r>
                    <w:rPr>
                      <w:rFonts w:hint="eastAsia" w:ascii="仿宋" w:hAnsi="仿宋" w:eastAsia="仿宋" w:cs="仿宋"/>
                      <w:color w:val="auto"/>
                    </w:rPr>
                    <w:t>7. 设备电源：单相：AC220V，50Hz</w:t>
                  </w:r>
                </w:p>
                <w:p>
                  <w:pPr>
                    <w:adjustRightInd w:val="0"/>
                    <w:snapToGrid w:val="0"/>
                    <w:rPr>
                      <w:rFonts w:hint="eastAsia" w:ascii="仿宋" w:hAnsi="仿宋" w:eastAsia="仿宋" w:cs="仿宋"/>
                      <w:color w:val="auto"/>
                    </w:rPr>
                  </w:pPr>
                  <w:r>
                    <w:rPr>
                      <w:rFonts w:hint="eastAsia" w:ascii="仿宋" w:hAnsi="仿宋" w:eastAsia="仿宋" w:cs="仿宋"/>
                      <w:color w:val="auto"/>
                    </w:rPr>
                    <w:t>8. 设备功率：≤5.3kVA</w:t>
                  </w:r>
                </w:p>
              </w:tc>
            </w:tr>
          </w:tbl>
          <w:p>
            <w:pPr>
              <w:pStyle w:val="92"/>
              <w:ind w:left="0" w:leftChars="0" w:firstLine="0" w:firstLineChars="0"/>
              <w:rPr>
                <w:rFonts w:hint="eastAsia" w:ascii="仿宋" w:hAnsi="仿宋" w:eastAsia="仿宋" w:cs="仿宋"/>
                <w:color w:val="auto"/>
                <w:sz w:val="21"/>
                <w:szCs w:val="21"/>
                <w:highlight w:val="none"/>
                <w:lang w:eastAsia="zh-CN"/>
              </w:rPr>
            </w:pPr>
          </w:p>
        </w:tc>
        <w:tc>
          <w:tcPr>
            <w:tcW w:w="2490"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20"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42"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c>
          <w:tcPr>
            <w:tcW w:w="746" w:type="dxa"/>
          </w:tcPr>
          <w:p>
            <w:pPr>
              <w:pStyle w:val="24"/>
              <w:spacing w:beforeAutospacing="0" w:afterAutospacing="0" w:line="240" w:lineRule="exact"/>
              <w:jc w:val="both"/>
              <w:rPr>
                <w:rFonts w:hint="eastAsia" w:ascii="仿宋" w:hAnsi="仿宋" w:eastAsia="仿宋" w:cs="仿宋"/>
                <w:color w:val="auto"/>
                <w:sz w:val="21"/>
                <w:szCs w:val="21"/>
                <w:highlight w:val="none"/>
              </w:rPr>
            </w:pPr>
          </w:p>
        </w:tc>
      </w:tr>
    </w:tbl>
    <w:p>
      <w:pPr>
        <w:adjustRightInd w:val="0"/>
        <w:snapToGrid w:val="0"/>
        <w:spacing w:line="360" w:lineRule="auto"/>
        <w:ind w:right="105" w:rightChars="5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填表要求：</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1．“投标文件响应内容”一栏由投标人按照招标文件要求填写并进行逐项响应。</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3．“偏离说明”一栏由投标人对偏离的情况做详细说明。</w:t>
      </w:r>
    </w:p>
    <w:p>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 xml:space="preserve">(签字或盖章)：  </w:t>
      </w:r>
    </w:p>
    <w:p>
      <w:pPr>
        <w:pStyle w:val="19"/>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19"/>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19"/>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19"/>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19"/>
        <w:rPr>
          <w:rFonts w:hint="eastAsia" w:ascii="仿宋" w:hAnsi="仿宋" w:eastAsia="仿宋" w:cs="仿宋"/>
          <w:color w:val="auto"/>
          <w:highlight w:val="none"/>
        </w:rPr>
      </w:pPr>
    </w:p>
    <w:p>
      <w:pPr>
        <w:rPr>
          <w:rFonts w:hint="eastAsia" w:ascii="仿宋" w:hAnsi="仿宋" w:eastAsia="仿宋" w:cs="仿宋"/>
          <w:color w:val="auto"/>
          <w:highlight w:val="none"/>
        </w:rPr>
      </w:pPr>
    </w:p>
    <w:p>
      <w:pPr>
        <w:adjustRightInd w:val="0"/>
        <w:snapToGrid w:val="0"/>
        <w:spacing w:before="319" w:beforeLines="100" w:line="360" w:lineRule="auto"/>
        <w:ind w:right="105" w:rightChars="50"/>
        <w:jc w:val="both"/>
        <w:rPr>
          <w:rFonts w:hint="eastAsia" w:ascii="仿宋" w:hAnsi="仿宋" w:eastAsia="仿宋" w:cs="仿宋"/>
          <w:b/>
          <w:bCs/>
          <w:color w:val="auto"/>
          <w:sz w:val="32"/>
          <w:szCs w:val="32"/>
          <w:highlight w:val="none"/>
        </w:rPr>
      </w:pPr>
    </w:p>
    <w:p>
      <w:pPr>
        <w:rPr>
          <w:rFonts w:hint="eastAsia" w:ascii="仿宋" w:hAnsi="仿宋" w:eastAsia="仿宋" w:cs="仿宋"/>
          <w:color w:val="auto"/>
          <w:highlight w:val="none"/>
        </w:rPr>
        <w:sectPr>
          <w:pgSz w:w="16838" w:h="11906" w:orient="landscape"/>
          <w:pgMar w:top="1803" w:right="1440" w:bottom="1803" w:left="1440" w:header="851" w:footer="992" w:gutter="0"/>
          <w:cols w:space="720" w:num="1"/>
          <w:docGrid w:type="lines" w:linePitch="319" w:charSpace="0"/>
        </w:sectPr>
      </w:pP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格式13</w:t>
      </w:r>
    </w:p>
    <w:p>
      <w:pPr>
        <w:adjustRightInd w:val="0"/>
        <w:snapToGrid w:val="0"/>
        <w:ind w:right="105" w:rightChars="50"/>
        <w:jc w:val="center"/>
        <w:rPr>
          <w:rFonts w:hint="eastAsia" w:ascii="仿宋" w:hAnsi="仿宋" w:eastAsia="仿宋" w:cs="仿宋"/>
          <w:b/>
          <w:bCs/>
          <w:color w:val="auto"/>
          <w:sz w:val="32"/>
          <w:szCs w:val="32"/>
          <w:highlight w:val="none"/>
        </w:rPr>
      </w:pPr>
      <w:bookmarkStart w:id="112" w:name="_Toc8488_WPSOffice_Level2"/>
      <w:bookmarkStart w:id="113" w:name="_Toc4431_WPSOffice_Level2"/>
      <w:r>
        <w:rPr>
          <w:rFonts w:hint="eastAsia" w:ascii="仿宋" w:hAnsi="仿宋" w:eastAsia="仿宋" w:cs="仿宋"/>
          <w:b/>
          <w:bCs/>
          <w:color w:val="auto"/>
          <w:sz w:val="32"/>
          <w:szCs w:val="32"/>
          <w:highlight w:val="none"/>
        </w:rPr>
        <w:t>商务条款偏离表</w:t>
      </w:r>
      <w:bookmarkEnd w:id="112"/>
      <w:bookmarkEnd w:id="113"/>
    </w:p>
    <w:p>
      <w:pPr>
        <w:adjustRightInd w:val="0"/>
        <w:snapToGrid w:val="0"/>
        <w:spacing w:line="360" w:lineRule="auto"/>
        <w:ind w:right="105" w:rightChars="50"/>
        <w:jc w:val="left"/>
        <w:rPr>
          <w:rFonts w:hint="eastAsia" w:ascii="仿宋" w:hAnsi="仿宋" w:eastAsia="仿宋" w:cs="仿宋"/>
          <w:b/>
          <w:color w:val="auto"/>
          <w:szCs w:val="21"/>
          <w:highlight w:val="none"/>
          <w:lang w:eastAsia="zh-CN"/>
        </w:rPr>
      </w:pPr>
      <w:r>
        <w:rPr>
          <w:rFonts w:hint="eastAsia" w:ascii="仿宋" w:hAnsi="仿宋" w:eastAsia="仿宋" w:cs="仿宋"/>
          <w:b/>
          <w:bCs/>
          <w:color w:val="auto"/>
          <w:szCs w:val="21"/>
          <w:highlight w:val="none"/>
        </w:rPr>
        <w:t>包号：00</w:t>
      </w:r>
      <w:r>
        <w:rPr>
          <w:rFonts w:hint="eastAsia" w:ascii="仿宋" w:hAnsi="仿宋" w:eastAsia="仿宋" w:cs="仿宋"/>
          <w:b/>
          <w:bCs/>
          <w:color w:val="auto"/>
          <w:szCs w:val="21"/>
          <w:highlight w:val="none"/>
          <w:lang w:val="en-US" w:eastAsia="zh-CN"/>
        </w:rPr>
        <w:t>1</w:t>
      </w:r>
    </w:p>
    <w:tbl>
      <w:tblPr>
        <w:tblStyle w:val="28"/>
        <w:tblpPr w:leftFromText="180" w:rightFromText="180" w:vertAnchor="text" w:horzAnchor="page" w:tblpX="1518" w:tblpY="406"/>
        <w:tblOverlap w:val="never"/>
        <w:tblW w:w="9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5925"/>
        <w:gridCol w:w="1095"/>
        <w:gridCol w:w="660"/>
        <w:gridCol w:w="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65" w:type="dxa"/>
            <w:vAlign w:val="center"/>
          </w:tcPr>
          <w:p>
            <w:pPr>
              <w:adjustRightInd w:val="0"/>
              <w:snapToGrid w:val="0"/>
              <w:ind w:right="-48" w:rightChars="-23"/>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5925" w:type="dxa"/>
            <w:vAlign w:val="center"/>
          </w:tcPr>
          <w:p>
            <w:pPr>
              <w:adjustRightInd w:val="0"/>
              <w:snapToGrid w:val="0"/>
              <w:ind w:right="-73" w:rightChars="-35"/>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采购文件的商务条款</w:t>
            </w:r>
          </w:p>
          <w:p>
            <w:pPr>
              <w:adjustRightInd w:val="0"/>
              <w:snapToGrid w:val="0"/>
              <w:ind w:right="-73" w:rightChars="-35"/>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color w:val="auto"/>
                <w:szCs w:val="21"/>
                <w:highlight w:val="none"/>
              </w:rPr>
              <w:t>实质性要求及重要指标用★标注，★标注项不得负偏离，如果负偏离，则投标文件无效。</w:t>
            </w:r>
            <w:r>
              <w:rPr>
                <w:rFonts w:hint="eastAsia" w:ascii="仿宋" w:hAnsi="仿宋" w:eastAsia="仿宋" w:cs="仿宋"/>
                <w:color w:val="auto"/>
                <w:szCs w:val="21"/>
                <w:highlight w:val="none"/>
              </w:rPr>
              <w:t>）</w:t>
            </w:r>
          </w:p>
        </w:tc>
        <w:tc>
          <w:tcPr>
            <w:tcW w:w="1095" w:type="dxa"/>
            <w:vAlign w:val="center"/>
          </w:tcPr>
          <w:p>
            <w:pPr>
              <w:adjustRightInd w:val="0"/>
              <w:snapToGrid w:val="0"/>
              <w:ind w:right="-73" w:rightChars="-35"/>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投标文件响应内容</w:t>
            </w:r>
          </w:p>
        </w:tc>
        <w:tc>
          <w:tcPr>
            <w:tcW w:w="660" w:type="dxa"/>
            <w:vAlign w:val="center"/>
          </w:tcPr>
          <w:p>
            <w:pPr>
              <w:adjustRightInd w:val="0"/>
              <w:snapToGrid w:val="0"/>
              <w:ind w:right="-73" w:rightChars="-35"/>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偏离程度</w:t>
            </w:r>
          </w:p>
        </w:tc>
        <w:tc>
          <w:tcPr>
            <w:tcW w:w="630" w:type="dxa"/>
            <w:vAlign w:val="center"/>
          </w:tcPr>
          <w:p>
            <w:pPr>
              <w:adjustRightInd w:val="0"/>
              <w:snapToGrid w:val="0"/>
              <w:ind w:right="-73" w:rightChars="-35"/>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65" w:type="dxa"/>
            <w:vAlign w:val="center"/>
          </w:tcPr>
          <w:p>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★1</w:t>
            </w:r>
          </w:p>
        </w:tc>
        <w:tc>
          <w:tcPr>
            <w:tcW w:w="5925" w:type="dxa"/>
            <w:vAlign w:val="center"/>
          </w:tcPr>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履约时间：</w:t>
            </w:r>
            <w:r>
              <w:rPr>
                <w:rFonts w:hint="eastAsia" w:ascii="仿宋" w:hAnsi="仿宋" w:cs="仿宋"/>
                <w:color w:val="auto"/>
                <w:szCs w:val="21"/>
                <w:highlight w:val="none"/>
                <w:lang w:eastAsia="zh-CN"/>
              </w:rPr>
              <w:t>合同签订后3个月内</w:t>
            </w:r>
            <w:r>
              <w:rPr>
                <w:rFonts w:hint="eastAsia" w:ascii="仿宋" w:hAnsi="仿宋" w:eastAsia="仿宋" w:cs="仿宋"/>
                <w:color w:val="auto"/>
                <w:szCs w:val="21"/>
                <w:highlight w:val="none"/>
              </w:rPr>
              <w:t>。</w:t>
            </w:r>
          </w:p>
        </w:tc>
        <w:tc>
          <w:tcPr>
            <w:tcW w:w="1095"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60"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30" w:type="dxa"/>
            <w:vAlign w:val="center"/>
          </w:tcPr>
          <w:p>
            <w:pPr>
              <w:adjustRightInd w:val="0"/>
              <w:snapToGrid w:val="0"/>
              <w:ind w:right="105" w:rightChars="5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65" w:type="dxa"/>
            <w:vAlign w:val="center"/>
          </w:tcPr>
          <w:p>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★2</w:t>
            </w:r>
          </w:p>
        </w:tc>
        <w:tc>
          <w:tcPr>
            <w:tcW w:w="5925" w:type="dxa"/>
            <w:vAlign w:val="center"/>
          </w:tcPr>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履约地点：</w:t>
            </w:r>
            <w:r>
              <w:rPr>
                <w:rFonts w:hint="eastAsia" w:ascii="仿宋" w:hAnsi="仿宋" w:eastAsia="仿宋" w:cs="仿宋"/>
                <w:color w:val="auto"/>
                <w:szCs w:val="21"/>
                <w:highlight w:val="none"/>
                <w:lang w:eastAsia="zh-CN"/>
              </w:rPr>
              <w:t>辽宁省检验检测认证中心</w:t>
            </w:r>
            <w:r>
              <w:rPr>
                <w:rFonts w:hint="eastAsia" w:ascii="仿宋" w:hAnsi="仿宋" w:eastAsia="仿宋" w:cs="仿宋"/>
                <w:color w:val="auto"/>
                <w:szCs w:val="21"/>
                <w:highlight w:val="none"/>
              </w:rPr>
              <w:t>采购人指定地点。</w:t>
            </w:r>
          </w:p>
        </w:tc>
        <w:tc>
          <w:tcPr>
            <w:tcW w:w="1095"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60"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30" w:type="dxa"/>
            <w:vAlign w:val="center"/>
          </w:tcPr>
          <w:p>
            <w:pPr>
              <w:adjustRightInd w:val="0"/>
              <w:snapToGrid w:val="0"/>
              <w:ind w:right="105" w:rightChars="5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65" w:type="dxa"/>
            <w:vAlign w:val="center"/>
          </w:tcPr>
          <w:p>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★3</w:t>
            </w:r>
          </w:p>
        </w:tc>
        <w:tc>
          <w:tcPr>
            <w:tcW w:w="5925" w:type="dxa"/>
            <w:vAlign w:val="center"/>
          </w:tcPr>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付款方式及条件：</w:t>
            </w:r>
          </w:p>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货物送到指定的地点，安装、调试完毕并经验收合格交付使用后，采购单位支付合同金额的100%。采购单位在支付款项前，中标供应商应向采购单位开具合法的全额增值税发票，否则采购单位有权不支付（任何一笔）款项且不承担任何责任。（具体以甲乙双方签订的合同为准）。</w:t>
            </w:r>
          </w:p>
        </w:tc>
        <w:tc>
          <w:tcPr>
            <w:tcW w:w="1095"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60"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30" w:type="dxa"/>
            <w:vAlign w:val="center"/>
          </w:tcPr>
          <w:p>
            <w:pPr>
              <w:adjustRightInd w:val="0"/>
              <w:snapToGrid w:val="0"/>
              <w:ind w:right="105" w:rightChars="5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765" w:type="dxa"/>
            <w:vAlign w:val="center"/>
          </w:tcPr>
          <w:p>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★4</w:t>
            </w:r>
          </w:p>
        </w:tc>
        <w:tc>
          <w:tcPr>
            <w:tcW w:w="5925" w:type="dxa"/>
            <w:vAlign w:val="center"/>
          </w:tcPr>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验收标准：按照采购文件及中标人的投标文件执行。</w:t>
            </w:r>
          </w:p>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验收程序：根据《关于印发辽宁省政府采购履约验收管理办法的通知》辽财采[2017]603号执行。</w:t>
            </w:r>
          </w:p>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验收报告：由采购人出具。</w:t>
            </w:r>
          </w:p>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组织验收主体：本项目的履约验收工作由采购人依法组织实施。</w:t>
            </w:r>
          </w:p>
        </w:tc>
        <w:tc>
          <w:tcPr>
            <w:tcW w:w="1095"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60"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30" w:type="dxa"/>
            <w:vAlign w:val="center"/>
          </w:tcPr>
          <w:p>
            <w:pPr>
              <w:adjustRightInd w:val="0"/>
              <w:snapToGrid w:val="0"/>
              <w:ind w:right="105" w:rightChars="5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765" w:type="dxa"/>
            <w:vAlign w:val="center"/>
          </w:tcPr>
          <w:p>
            <w:pPr>
              <w:adjustRightInd w:val="0"/>
              <w:snapToGrid w:val="0"/>
              <w:ind w:right="105" w:rightChars="5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★5</w:t>
            </w:r>
          </w:p>
        </w:tc>
        <w:tc>
          <w:tcPr>
            <w:tcW w:w="5925" w:type="dxa"/>
            <w:vAlign w:val="center"/>
          </w:tcPr>
          <w:p>
            <w:pPr>
              <w:adjustRightInd w:val="0"/>
              <w:snapToGrid w:val="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质量保证期：</w:t>
            </w:r>
            <w:r>
              <w:rPr>
                <w:rFonts w:hint="eastAsia" w:ascii="仿宋" w:hAnsi="仿宋" w:eastAsia="仿宋" w:cs="仿宋"/>
                <w:color w:val="auto"/>
                <w:szCs w:val="21"/>
                <w:highlight w:val="none"/>
                <w:lang w:eastAsia="zh-CN"/>
              </w:rPr>
              <w:t>自验收合格之日起</w:t>
            </w:r>
            <w:r>
              <w:rPr>
                <w:rFonts w:hint="eastAsia" w:ascii="仿宋" w:hAnsi="仿宋" w:eastAsia="仿宋" w:cs="仿宋"/>
                <w:color w:val="auto"/>
                <w:szCs w:val="21"/>
                <w:highlight w:val="none"/>
                <w:lang w:val="en-US" w:eastAsia="zh-CN"/>
              </w:rPr>
              <w:t>1年</w:t>
            </w:r>
          </w:p>
        </w:tc>
        <w:tc>
          <w:tcPr>
            <w:tcW w:w="1095"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60"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30" w:type="dxa"/>
            <w:vAlign w:val="center"/>
          </w:tcPr>
          <w:p>
            <w:pPr>
              <w:adjustRightInd w:val="0"/>
              <w:snapToGrid w:val="0"/>
              <w:ind w:right="105" w:rightChars="5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trPr>
        <w:tc>
          <w:tcPr>
            <w:tcW w:w="765" w:type="dxa"/>
            <w:vAlign w:val="center"/>
          </w:tcPr>
          <w:p>
            <w:pPr>
              <w:adjustRightInd w:val="0"/>
              <w:snapToGrid w:val="0"/>
              <w:ind w:right="105" w:rightChars="5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6</w:t>
            </w:r>
          </w:p>
        </w:tc>
        <w:tc>
          <w:tcPr>
            <w:tcW w:w="5925" w:type="dxa"/>
            <w:vAlign w:val="center"/>
          </w:tcPr>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质量保证：</w:t>
            </w:r>
          </w:p>
          <w:p>
            <w:pPr>
              <w:adjustRightInd w:val="0"/>
              <w:snapToGrid w:val="0"/>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w:t>
            </w:r>
            <w:r>
              <w:rPr>
                <w:rFonts w:hint="eastAsia" w:ascii="仿宋" w:hAnsi="仿宋" w:eastAsia="仿宋" w:cs="仿宋"/>
                <w:color w:val="auto"/>
                <w:szCs w:val="21"/>
                <w:highlight w:val="none"/>
              </w:rPr>
              <w:t>1.免费现场保修（包括所需备件费用），一年整机全免费保修。</w:t>
            </w:r>
          </w:p>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2.接到报修电话后能在2小时内进行技术支持，如需上门服务24小时内到达现场进行售后服务。</w:t>
            </w:r>
          </w:p>
          <w:p>
            <w:pPr>
              <w:adjustRightInd w:val="0"/>
              <w:snapToGrid w:val="0"/>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w:t>
            </w:r>
            <w:r>
              <w:rPr>
                <w:rFonts w:hint="eastAsia" w:ascii="仿宋" w:hAnsi="仿宋" w:eastAsia="仿宋" w:cs="仿宋"/>
                <w:color w:val="auto"/>
                <w:szCs w:val="21"/>
                <w:highlight w:val="none"/>
              </w:rPr>
              <w:t xml:space="preserve">3.厂家供应备品备件供维修服务。 </w:t>
            </w:r>
          </w:p>
          <w:p>
            <w:pPr>
              <w:adjustRightInd w:val="0"/>
              <w:snapToGrid w:val="0"/>
              <w:rPr>
                <w:rFonts w:hint="eastAsia" w:ascii="仿宋" w:hAnsi="仿宋" w:eastAsia="仿宋" w:cs="仿宋"/>
                <w:color w:val="auto"/>
                <w:szCs w:val="21"/>
                <w:highlight w:val="none"/>
              </w:rPr>
            </w:pPr>
            <w:r>
              <w:rPr>
                <w:rFonts w:hint="eastAsia" w:ascii="仿宋" w:hAnsi="仿宋" w:cs="仿宋"/>
                <w:color w:val="auto"/>
                <w:szCs w:val="21"/>
                <w:highlight w:val="none"/>
                <w:lang w:val="en-US" w:eastAsia="zh-CN"/>
              </w:rPr>
              <w:t>4.</w:t>
            </w:r>
            <w:r>
              <w:rPr>
                <w:rFonts w:hint="eastAsia" w:ascii="仿宋" w:hAnsi="仿宋" w:eastAsia="仿宋" w:cs="仿宋"/>
                <w:color w:val="auto"/>
                <w:szCs w:val="21"/>
                <w:highlight w:val="none"/>
              </w:rPr>
              <w:t>设备验收：安装完毕后，按采购文件和投标文件的技术要求，系统正常运行48小时。同时向客户免费提供相应的技术培训和技术资料。</w:t>
            </w:r>
          </w:p>
        </w:tc>
        <w:tc>
          <w:tcPr>
            <w:tcW w:w="1095"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60" w:type="dxa"/>
            <w:vAlign w:val="center"/>
          </w:tcPr>
          <w:p>
            <w:pPr>
              <w:adjustRightInd w:val="0"/>
              <w:snapToGrid w:val="0"/>
              <w:ind w:right="105" w:rightChars="50"/>
              <w:jc w:val="center"/>
              <w:rPr>
                <w:rFonts w:hint="eastAsia" w:ascii="仿宋" w:hAnsi="仿宋" w:eastAsia="仿宋" w:cs="仿宋"/>
                <w:color w:val="auto"/>
                <w:szCs w:val="21"/>
                <w:highlight w:val="none"/>
              </w:rPr>
            </w:pPr>
          </w:p>
        </w:tc>
        <w:tc>
          <w:tcPr>
            <w:tcW w:w="630" w:type="dxa"/>
            <w:vAlign w:val="center"/>
          </w:tcPr>
          <w:p>
            <w:pPr>
              <w:adjustRightInd w:val="0"/>
              <w:snapToGrid w:val="0"/>
              <w:ind w:right="105" w:rightChars="50"/>
              <w:jc w:val="center"/>
              <w:rPr>
                <w:rFonts w:hint="eastAsia" w:ascii="仿宋" w:hAnsi="仿宋" w:eastAsia="仿宋" w:cs="仿宋"/>
                <w:color w:val="auto"/>
                <w:szCs w:val="21"/>
                <w:highlight w:val="none"/>
              </w:rPr>
            </w:pPr>
          </w:p>
        </w:tc>
      </w:tr>
    </w:tbl>
    <w:p>
      <w:pPr>
        <w:adjustRightInd w:val="0"/>
        <w:snapToGrid w:val="0"/>
        <w:spacing w:line="360" w:lineRule="auto"/>
        <w:ind w:right="105" w:rightChars="50"/>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填表要求：</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1．“投标文件响应内容”一栏由投标人按照招标文件要求填写，进行响应。</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3．“偏离说明”一栏由投标人对偏离的情况做详细说明。</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spacing w:line="480" w:lineRule="auto"/>
        <w:rPr>
          <w:rFonts w:hint="eastAsia" w:ascii="仿宋" w:hAnsi="仿宋" w:eastAsia="仿宋" w:cs="仿宋"/>
          <w:color w:val="auto"/>
          <w:highlight w:val="none"/>
        </w:rPr>
      </w:pPr>
    </w:p>
    <w:p>
      <w:pPr>
        <w:adjustRightInd w:val="0"/>
        <w:snapToGrid w:val="0"/>
        <w:spacing w:before="319" w:beforeLines="100" w:after="319" w:afterLines="100" w:line="360" w:lineRule="auto"/>
        <w:ind w:right="105" w:rightChars="50"/>
        <w:jc w:val="lef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格式14</w:t>
      </w:r>
    </w:p>
    <w:p>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14" w:name="_Toc20929_WPSOffice_Level2"/>
      <w:bookmarkStart w:id="115" w:name="_Toc9410_WPSOffice_Level2"/>
      <w:r>
        <w:rPr>
          <w:rFonts w:hint="eastAsia" w:ascii="仿宋" w:hAnsi="仿宋" w:eastAsia="仿宋" w:cs="仿宋"/>
          <w:b/>
          <w:bCs/>
          <w:color w:val="auto"/>
          <w:sz w:val="32"/>
          <w:szCs w:val="32"/>
          <w:highlight w:val="none"/>
        </w:rPr>
        <w:t>投标人关联单位的说明</w:t>
      </w:r>
      <w:bookmarkEnd w:id="114"/>
      <w:bookmarkEnd w:id="115"/>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说明：投标人应当如实披露与本单位存在下列关联关系的单位名称：</w:t>
      </w: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bookmarkStart w:id="116" w:name="_Toc2074_WPSOffice_Level2"/>
      <w:bookmarkStart w:id="117" w:name="_Toc31070_WPSOffice_Level2"/>
      <w:r>
        <w:rPr>
          <w:rFonts w:hint="eastAsia" w:ascii="仿宋" w:hAnsi="仿宋" w:eastAsia="仿宋" w:cs="仿宋"/>
          <w:color w:val="auto"/>
          <w:szCs w:val="21"/>
          <w:highlight w:val="none"/>
        </w:rPr>
        <w:t>（1）与投标人单位法定代表人（或非法人组织负责人）为同一人的其他单位；</w:t>
      </w:r>
      <w:bookmarkEnd w:id="116"/>
      <w:bookmarkEnd w:id="117"/>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bookmarkStart w:id="118" w:name="_Toc27053_WPSOffice_Level2"/>
      <w:bookmarkStart w:id="119" w:name="_Toc889_WPSOffice_Level2"/>
      <w:r>
        <w:rPr>
          <w:rFonts w:hint="eastAsia" w:ascii="仿宋" w:hAnsi="仿宋" w:eastAsia="仿宋" w:cs="仿宋"/>
          <w:color w:val="auto"/>
          <w:szCs w:val="21"/>
          <w:highlight w:val="none"/>
        </w:rPr>
        <w:t>（2）与投标人存在直接控股、管理关系的其他单位。</w:t>
      </w:r>
      <w:bookmarkEnd w:id="118"/>
      <w:bookmarkEnd w:id="119"/>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注：若无此情形，写“无”即可</w:t>
      </w: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adjustRightInd w:val="0"/>
        <w:snapToGrid w:val="0"/>
        <w:spacing w:line="360" w:lineRule="auto"/>
        <w:ind w:right="105" w:rightChars="50"/>
        <w:jc w:val="left"/>
        <w:rPr>
          <w:rFonts w:hint="eastAsia" w:ascii="仿宋" w:hAnsi="仿宋" w:eastAsia="仿宋" w:cs="仿宋"/>
          <w:color w:val="auto"/>
          <w:szCs w:val="21"/>
          <w:highlight w:val="none"/>
        </w:rPr>
      </w:pPr>
    </w:p>
    <w:p>
      <w:pPr>
        <w:adjustRightInd w:val="0"/>
        <w:snapToGrid w:val="0"/>
        <w:spacing w:line="360" w:lineRule="auto"/>
        <w:ind w:right="105" w:rightChars="50"/>
        <w:jc w:val="left"/>
        <w:rPr>
          <w:rFonts w:hint="eastAsia" w:ascii="仿宋" w:hAnsi="仿宋" w:eastAsia="仿宋" w:cs="仿宋"/>
          <w:color w:val="auto"/>
          <w:szCs w:val="21"/>
          <w:highlight w:val="none"/>
        </w:rPr>
      </w:pPr>
    </w:p>
    <w:p>
      <w:pPr>
        <w:pStyle w:val="37"/>
        <w:ind w:firstLine="240"/>
        <w:rPr>
          <w:rFonts w:hint="eastAsia" w:ascii="仿宋" w:hAnsi="仿宋" w:eastAsia="仿宋" w:cs="仿宋"/>
          <w:color w:val="auto"/>
          <w:szCs w:val="28"/>
          <w:highlight w:val="none"/>
        </w:rPr>
      </w:pPr>
    </w:p>
    <w:p>
      <w:pPr>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rPr>
          <w:rFonts w:hint="eastAsia" w:ascii="仿宋" w:hAnsi="仿宋" w:eastAsia="仿宋" w:cs="仿宋"/>
          <w:color w:val="auto"/>
          <w:szCs w:val="28"/>
          <w:highlight w:val="none"/>
        </w:rPr>
      </w:pPr>
    </w:p>
    <w:p>
      <w:pPr>
        <w:rPr>
          <w:rFonts w:hint="eastAsia" w:ascii="仿宋" w:hAnsi="仿宋" w:eastAsia="仿宋" w:cs="仿宋"/>
          <w:color w:val="auto"/>
          <w:highlight w:val="none"/>
        </w:rPr>
      </w:pPr>
      <w:bookmarkStart w:id="120" w:name="_Toc4498_WPSOffice_Level1"/>
    </w:p>
    <w:p>
      <w:pPr>
        <w:adjustRightInd w:val="0"/>
        <w:snapToGrid w:val="0"/>
        <w:spacing w:line="360" w:lineRule="auto"/>
        <w:ind w:right="105" w:rightChars="50"/>
        <w:jc w:val="left"/>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格式15</w:t>
      </w:r>
    </w:p>
    <w:p>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中小企业声明函</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 本公司（联合体）郑重声明，根据《政府采购促进中小企业发展管理办法》（财库﹝2020﹞46 号）的规定，本公司（联合体）参加（单位名称）的（项目名称）采购活动，提供的货物</w:t>
      </w:r>
      <w:r>
        <w:rPr>
          <w:rFonts w:hint="eastAsia" w:ascii="仿宋" w:hAnsi="仿宋" w:eastAsia="仿宋" w:cs="仿宋"/>
          <w:b/>
          <w:bCs/>
          <w:color w:val="auto"/>
          <w:highlight w:val="none"/>
        </w:rPr>
        <w:t>全部</w:t>
      </w:r>
      <w:r>
        <w:rPr>
          <w:rFonts w:hint="eastAsia" w:ascii="仿宋" w:hAnsi="仿宋" w:eastAsia="仿宋" w:cs="仿宋"/>
          <w:color w:val="auto"/>
          <w:highlight w:val="none"/>
        </w:rPr>
        <w:t xml:space="preserve">由符合政策要求的中小企业制造。相关企业（含联合体中的中小企业、签订分包意向协议的中小企业）的具体情况如下： </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u w:val="single"/>
        </w:rPr>
        <w:t xml:space="preserve"> （组织脱水机） </w:t>
      </w:r>
      <w:r>
        <w:rPr>
          <w:rFonts w:hint="eastAsia" w:ascii="仿宋" w:hAnsi="仿宋" w:eastAsia="仿宋" w:cs="仿宋"/>
          <w:color w:val="auto"/>
          <w:highlight w:val="none"/>
        </w:rPr>
        <w:t>，属于</w:t>
      </w:r>
      <w:r>
        <w:rPr>
          <w:rFonts w:hint="eastAsia" w:ascii="仿宋" w:hAnsi="仿宋" w:eastAsia="仿宋" w:cs="仿宋"/>
          <w:color w:val="auto"/>
          <w:highlight w:val="none"/>
          <w:u w:val="single"/>
        </w:rPr>
        <w:t>（采购文件中明确的所属行业</w:t>
      </w:r>
      <w:r>
        <w:rPr>
          <w:rFonts w:hint="eastAsia" w:ascii="仿宋" w:hAnsi="仿宋" w:eastAsia="仿宋" w:cs="仿宋"/>
          <w:color w:val="auto"/>
          <w:highlight w:val="none"/>
          <w:u w:val="single"/>
          <w:lang w:eastAsia="zh-CN"/>
        </w:rPr>
        <w:t>：工业</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行业；制造商为</w:t>
      </w:r>
      <w:r>
        <w:rPr>
          <w:rFonts w:hint="eastAsia" w:ascii="仿宋" w:hAnsi="仿宋" w:eastAsia="仿宋" w:cs="仿宋"/>
          <w:color w:val="auto"/>
          <w:highlight w:val="none"/>
          <w:u w:val="single"/>
        </w:rPr>
        <w:t>（企业名称）</w:t>
      </w:r>
      <w:r>
        <w:rPr>
          <w:rFonts w:hint="eastAsia" w:ascii="仿宋" w:hAnsi="仿宋" w:eastAsia="仿宋" w:cs="仿宋"/>
          <w:color w:val="auto"/>
          <w:highlight w:val="none"/>
        </w:rPr>
        <w:t>，从业人员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人，营业收入为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万元，资产总额为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万元，属于</w:t>
      </w:r>
      <w:r>
        <w:rPr>
          <w:rFonts w:hint="eastAsia" w:ascii="仿宋" w:hAnsi="仿宋" w:eastAsia="仿宋" w:cs="仿宋"/>
          <w:color w:val="auto"/>
          <w:highlight w:val="none"/>
          <w:u w:val="single"/>
        </w:rPr>
        <w:t>（中型企业、小 型企业、微型企业）</w:t>
      </w:r>
      <w:r>
        <w:rPr>
          <w:rFonts w:hint="eastAsia" w:ascii="仿宋" w:hAnsi="仿宋" w:eastAsia="仿宋" w:cs="仿宋"/>
          <w:color w:val="auto"/>
          <w:highlight w:val="none"/>
        </w:rPr>
        <w:t xml:space="preserve">； </w:t>
      </w:r>
    </w:p>
    <w:p>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 xml:space="preserve">2. </w:t>
      </w:r>
      <w:r>
        <w:rPr>
          <w:rFonts w:hint="eastAsia" w:ascii="仿宋" w:hAnsi="仿宋" w:eastAsia="仿宋" w:cs="仿宋"/>
          <w:color w:val="auto"/>
          <w:szCs w:val="21"/>
          <w:u w:val="single"/>
        </w:rPr>
        <w:t xml:space="preserve">（手术显微镜） </w:t>
      </w:r>
      <w:r>
        <w:rPr>
          <w:rFonts w:hint="eastAsia" w:ascii="仿宋" w:hAnsi="仿宋" w:eastAsia="仿宋" w:cs="仿宋"/>
          <w:color w:val="auto"/>
          <w:szCs w:val="21"/>
        </w:rPr>
        <w:t>，属于</w:t>
      </w:r>
      <w:r>
        <w:rPr>
          <w:rFonts w:hint="eastAsia" w:ascii="仿宋" w:hAnsi="仿宋" w:eastAsia="仿宋" w:cs="仿宋"/>
          <w:color w:val="auto"/>
          <w:szCs w:val="21"/>
          <w:u w:val="single"/>
        </w:rPr>
        <w:t xml:space="preserve">（采购文件中明确的所属行业：工业） </w:t>
      </w:r>
      <w:r>
        <w:rPr>
          <w:rFonts w:hint="eastAsia" w:ascii="仿宋" w:hAnsi="仿宋" w:eastAsia="仿宋" w:cs="仿宋"/>
          <w:color w:val="auto"/>
          <w:szCs w:val="21"/>
        </w:rPr>
        <w:t>行业；制造商为</w:t>
      </w:r>
      <w:r>
        <w:rPr>
          <w:rFonts w:hint="eastAsia" w:ascii="仿宋" w:hAnsi="仿宋" w:eastAsia="仿宋" w:cs="仿宋"/>
          <w:color w:val="auto"/>
          <w:szCs w:val="21"/>
          <w:u w:val="single"/>
        </w:rPr>
        <w:t>（企业名称），</w:t>
      </w:r>
      <w:r>
        <w:rPr>
          <w:rFonts w:hint="eastAsia" w:ascii="仿宋" w:hAnsi="仿宋" w:eastAsia="仿宋" w:cs="仿宋"/>
          <w:color w:val="auto"/>
          <w:szCs w:val="21"/>
        </w:rPr>
        <w:t>从业人员</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rPr>
        <w:t>人，营业收入为</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rPr>
        <w:t>万元，资产总额为</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rPr>
        <w:t>万元，属于</w:t>
      </w:r>
      <w:r>
        <w:rPr>
          <w:rFonts w:hint="eastAsia" w:ascii="仿宋" w:hAnsi="仿宋" w:eastAsia="仿宋" w:cs="仿宋"/>
          <w:color w:val="auto"/>
          <w:szCs w:val="21"/>
          <w:u w:val="single"/>
        </w:rPr>
        <w:t>（中型企业、小型 企业、微型企业）</w:t>
      </w:r>
      <w:r>
        <w:rPr>
          <w:rFonts w:hint="eastAsia" w:ascii="仿宋" w:hAnsi="仿宋" w:eastAsia="仿宋" w:cs="仿宋"/>
          <w:color w:val="auto"/>
          <w:szCs w:val="21"/>
        </w:rPr>
        <w:t xml:space="preserve">； </w:t>
      </w:r>
    </w:p>
    <w:p>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lang w:val="en-US" w:eastAsia="zh-CN"/>
        </w:rPr>
        <w:t>3</w:t>
      </w:r>
      <w:r>
        <w:rPr>
          <w:rFonts w:hint="eastAsia" w:ascii="仿宋" w:hAnsi="仿宋" w:eastAsia="仿宋" w:cs="仿宋"/>
          <w:color w:val="auto"/>
          <w:szCs w:val="21"/>
        </w:rPr>
        <w:t xml:space="preserve">. </w:t>
      </w:r>
      <w:r>
        <w:rPr>
          <w:rFonts w:hint="eastAsia" w:ascii="仿宋" w:hAnsi="仿宋" w:eastAsia="仿宋" w:cs="仿宋"/>
          <w:color w:val="auto"/>
          <w:szCs w:val="21"/>
          <w:u w:val="single"/>
        </w:rPr>
        <w:t xml:space="preserve">（无菌检测系统） </w:t>
      </w:r>
      <w:r>
        <w:rPr>
          <w:rFonts w:hint="eastAsia" w:ascii="仿宋" w:hAnsi="仿宋" w:eastAsia="仿宋" w:cs="仿宋"/>
          <w:color w:val="auto"/>
          <w:szCs w:val="21"/>
        </w:rPr>
        <w:t>，属于</w:t>
      </w:r>
      <w:r>
        <w:rPr>
          <w:rFonts w:hint="eastAsia" w:ascii="仿宋" w:hAnsi="仿宋" w:eastAsia="仿宋" w:cs="仿宋"/>
          <w:color w:val="auto"/>
          <w:szCs w:val="21"/>
          <w:u w:val="single"/>
        </w:rPr>
        <w:t xml:space="preserve">（采购文件中明确的所属行业：工业） </w:t>
      </w:r>
      <w:r>
        <w:rPr>
          <w:rFonts w:hint="eastAsia" w:ascii="仿宋" w:hAnsi="仿宋" w:eastAsia="仿宋" w:cs="仿宋"/>
          <w:color w:val="auto"/>
          <w:szCs w:val="21"/>
        </w:rPr>
        <w:t>行业；制造商为</w:t>
      </w:r>
      <w:r>
        <w:rPr>
          <w:rFonts w:hint="eastAsia" w:ascii="仿宋" w:hAnsi="仿宋" w:eastAsia="仿宋" w:cs="仿宋"/>
          <w:color w:val="auto"/>
          <w:szCs w:val="21"/>
          <w:u w:val="single"/>
        </w:rPr>
        <w:t>（企业名称），</w:t>
      </w:r>
      <w:r>
        <w:rPr>
          <w:rFonts w:hint="eastAsia" w:ascii="仿宋" w:hAnsi="仿宋" w:eastAsia="仿宋" w:cs="仿宋"/>
          <w:color w:val="auto"/>
          <w:szCs w:val="21"/>
        </w:rPr>
        <w:t>从业人员</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rPr>
        <w:t>人，营业收入为</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rPr>
        <w:t>万元，资产总额为</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rPr>
        <w:t>万元，属于</w:t>
      </w:r>
      <w:r>
        <w:rPr>
          <w:rFonts w:hint="eastAsia" w:ascii="仿宋" w:hAnsi="仿宋" w:eastAsia="仿宋" w:cs="仿宋"/>
          <w:color w:val="auto"/>
          <w:szCs w:val="21"/>
          <w:u w:val="single"/>
        </w:rPr>
        <w:t>（中型企业、小型 企业、微型企业）</w:t>
      </w:r>
      <w:r>
        <w:rPr>
          <w:rFonts w:hint="eastAsia" w:ascii="仿宋" w:hAnsi="仿宋" w:eastAsia="仿宋" w:cs="仿宋"/>
          <w:color w:val="auto"/>
          <w:szCs w:val="21"/>
        </w:rPr>
        <w:t xml:space="preserve">； </w:t>
      </w:r>
    </w:p>
    <w:p>
      <w:pPr>
        <w:adjustRightInd w:val="0"/>
        <w:snapToGrid w:val="0"/>
        <w:spacing w:line="360" w:lineRule="auto"/>
        <w:ind w:right="105" w:rightChars="50" w:firstLine="476" w:firstLineChars="227"/>
        <w:jc w:val="left"/>
        <w:rPr>
          <w:rFonts w:hint="eastAsia" w:ascii="仿宋" w:hAnsi="仿宋" w:eastAsia="仿宋" w:cs="仿宋"/>
          <w:color w:val="auto"/>
          <w:szCs w:val="21"/>
        </w:rPr>
      </w:pPr>
    </w:p>
    <w:p>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以上企业，不属于大企业的分支机构，不存在控股股东为大企业的情形，也不存在与大企业的负责人为同一人的情形。</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本企业对上述声明内容的真实性负责。如有虚假，将依法承担相应责任。 </w:t>
      </w:r>
    </w:p>
    <w:p>
      <w:pPr>
        <w:pStyle w:val="37"/>
        <w:ind w:firstLine="240"/>
        <w:rPr>
          <w:rFonts w:hint="eastAsia" w:ascii="仿宋" w:hAnsi="仿宋" w:eastAsia="仿宋" w:cs="仿宋"/>
          <w:color w:val="auto"/>
          <w:highlight w:val="none"/>
        </w:rPr>
      </w:pP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企业名称（盖章）：</w:t>
      </w:r>
    </w:p>
    <w:p>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 期：</w:t>
      </w:r>
    </w:p>
    <w:p>
      <w:pPr>
        <w:spacing w:line="480" w:lineRule="auto"/>
        <w:rPr>
          <w:rFonts w:hint="eastAsia" w:ascii="仿宋" w:hAnsi="仿宋" w:eastAsia="仿宋" w:cs="仿宋"/>
          <w:color w:val="auto"/>
          <w:highlight w:val="none"/>
        </w:rPr>
      </w:pPr>
    </w:p>
    <w:p>
      <w:pPr>
        <w:widowControl/>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从业人员、营业收入、资产总额填报上一年数据，无上一年度数据的新成立企业可不填报。</w:t>
      </w:r>
    </w:p>
    <w:p>
      <w:pPr>
        <w:pStyle w:val="27"/>
        <w:rPr>
          <w:rFonts w:hint="eastAsia" w:ascii="仿宋" w:hAnsi="仿宋" w:eastAsia="仿宋" w:cs="仿宋"/>
          <w:color w:val="auto"/>
          <w:highlight w:val="none"/>
        </w:rPr>
      </w:pPr>
    </w:p>
    <w:p>
      <w:pPr>
        <w:pStyle w:val="10"/>
        <w:rPr>
          <w:rFonts w:hint="eastAsia" w:ascii="仿宋" w:hAnsi="仿宋" w:eastAsia="仿宋" w:cs="仿宋"/>
          <w:b/>
          <w:color w:val="auto"/>
          <w:szCs w:val="21"/>
          <w:highlight w:val="none"/>
          <w:lang w:val="en-US" w:eastAsia="zh-CN"/>
        </w:rPr>
      </w:pPr>
    </w:p>
    <w:p>
      <w:pPr>
        <w:pStyle w:val="10"/>
        <w:rPr>
          <w:rFonts w:hint="eastAsia" w:ascii="仿宋" w:hAnsi="仿宋" w:eastAsia="仿宋" w:cs="仿宋"/>
          <w:b/>
          <w:color w:val="auto"/>
          <w:szCs w:val="21"/>
          <w:highlight w:val="none"/>
          <w:lang w:val="en-US" w:eastAsia="zh-CN"/>
        </w:rPr>
      </w:pPr>
    </w:p>
    <w:p>
      <w:pPr>
        <w:pStyle w:val="10"/>
        <w:rPr>
          <w:rFonts w:hint="eastAsia" w:ascii="仿宋" w:hAnsi="仿宋" w:eastAsia="仿宋" w:cs="仿宋"/>
          <w:b/>
          <w:color w:val="auto"/>
          <w:szCs w:val="21"/>
          <w:highlight w:val="none"/>
          <w:lang w:val="en-US" w:eastAsia="zh-CN"/>
        </w:rPr>
      </w:pPr>
    </w:p>
    <w:p>
      <w:pPr>
        <w:spacing w:line="48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格式16</w:t>
      </w:r>
    </w:p>
    <w:p>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残疾人福利性单位声明函</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本单位对上述声明的真实性负责。如有虚假，将依法承担相应责任。</w:t>
      </w:r>
    </w:p>
    <w:tbl>
      <w:tblPr>
        <w:tblStyle w:val="28"/>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1582"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品  名</w:t>
            </w:r>
          </w:p>
        </w:tc>
        <w:tc>
          <w:tcPr>
            <w:tcW w:w="1587" w:type="dxa"/>
            <w:vAlign w:val="center"/>
          </w:tcPr>
          <w:p>
            <w:pPr>
              <w:widowControl/>
              <w:jc w:val="center"/>
              <w:rPr>
                <w:rFonts w:hint="eastAsia" w:ascii="仿宋" w:hAnsi="仿宋" w:eastAsia="仿宋" w:cs="仿宋"/>
                <w:color w:val="auto"/>
                <w:highlight w:val="none"/>
              </w:rPr>
            </w:pPr>
            <w:r>
              <w:rPr>
                <w:rFonts w:hint="eastAsia" w:ascii="仿宋" w:hAnsi="仿宋" w:eastAsia="仿宋" w:cs="仿宋"/>
                <w:color w:val="auto"/>
                <w:highlight w:val="none"/>
              </w:rPr>
              <w:t>数量</w:t>
            </w:r>
          </w:p>
        </w:tc>
        <w:tc>
          <w:tcPr>
            <w:tcW w:w="1427"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规格</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型号</w:t>
            </w:r>
          </w:p>
        </w:tc>
        <w:tc>
          <w:tcPr>
            <w:tcW w:w="1427"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生产</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厂家</w:t>
            </w:r>
          </w:p>
        </w:tc>
        <w:tc>
          <w:tcPr>
            <w:tcW w:w="1344"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582" w:type="dxa"/>
            <w:vAlign w:val="center"/>
          </w:tcPr>
          <w:p>
            <w:pPr>
              <w:jc w:val="center"/>
              <w:rPr>
                <w:rFonts w:hint="eastAsia" w:ascii="仿宋" w:hAnsi="仿宋" w:eastAsia="仿宋" w:cs="仿宋"/>
                <w:color w:val="auto"/>
                <w:highlight w:val="none"/>
              </w:rPr>
            </w:pPr>
          </w:p>
        </w:tc>
        <w:tc>
          <w:tcPr>
            <w:tcW w:w="158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344" w:type="dxa"/>
            <w:vAlign w:val="center"/>
          </w:tcPr>
          <w:p>
            <w:pPr>
              <w:spacing w:line="360" w:lineRule="auto"/>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1582" w:type="dxa"/>
            <w:vAlign w:val="center"/>
          </w:tcPr>
          <w:p>
            <w:pPr>
              <w:jc w:val="center"/>
              <w:rPr>
                <w:rFonts w:hint="eastAsia" w:ascii="仿宋" w:hAnsi="仿宋" w:eastAsia="仿宋" w:cs="仿宋"/>
                <w:color w:val="auto"/>
                <w:highlight w:val="none"/>
              </w:rPr>
            </w:pPr>
          </w:p>
        </w:tc>
        <w:tc>
          <w:tcPr>
            <w:tcW w:w="158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344" w:type="dxa"/>
            <w:vAlign w:val="center"/>
          </w:tcPr>
          <w:p>
            <w:pPr>
              <w:spacing w:line="360" w:lineRule="auto"/>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1582" w:type="dxa"/>
            <w:vAlign w:val="center"/>
          </w:tcPr>
          <w:p>
            <w:pPr>
              <w:jc w:val="center"/>
              <w:rPr>
                <w:rFonts w:hint="eastAsia" w:ascii="仿宋" w:hAnsi="仿宋" w:eastAsia="仿宋" w:cs="仿宋"/>
                <w:color w:val="auto"/>
                <w:highlight w:val="none"/>
              </w:rPr>
            </w:pPr>
          </w:p>
        </w:tc>
        <w:tc>
          <w:tcPr>
            <w:tcW w:w="158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344" w:type="dxa"/>
            <w:vAlign w:val="center"/>
          </w:tcPr>
          <w:p>
            <w:pPr>
              <w:spacing w:line="360" w:lineRule="auto"/>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1582" w:type="dxa"/>
            <w:vAlign w:val="center"/>
          </w:tcPr>
          <w:p>
            <w:pPr>
              <w:jc w:val="center"/>
              <w:rPr>
                <w:rFonts w:hint="eastAsia" w:ascii="仿宋" w:hAnsi="仿宋" w:eastAsia="仿宋" w:cs="仿宋"/>
                <w:color w:val="auto"/>
                <w:highlight w:val="none"/>
              </w:rPr>
            </w:pPr>
          </w:p>
        </w:tc>
        <w:tc>
          <w:tcPr>
            <w:tcW w:w="158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427" w:type="dxa"/>
            <w:vAlign w:val="center"/>
          </w:tcPr>
          <w:p>
            <w:pPr>
              <w:jc w:val="center"/>
              <w:rPr>
                <w:rFonts w:hint="eastAsia" w:ascii="仿宋" w:hAnsi="仿宋" w:eastAsia="仿宋" w:cs="仿宋"/>
                <w:color w:val="auto"/>
                <w:highlight w:val="none"/>
              </w:rPr>
            </w:pPr>
          </w:p>
        </w:tc>
        <w:tc>
          <w:tcPr>
            <w:tcW w:w="1344" w:type="dxa"/>
            <w:vAlign w:val="center"/>
          </w:tcPr>
          <w:p>
            <w:pPr>
              <w:spacing w:line="360" w:lineRule="auto"/>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0" w:firstLineChars="200"/>
              <w:jc w:val="left"/>
              <w:rPr>
                <w:rFonts w:hint="eastAsia" w:ascii="仿宋" w:hAnsi="仿宋" w:eastAsia="仿宋" w:cs="仿宋"/>
                <w:color w:val="auto"/>
                <w:highlight w:val="none"/>
              </w:rPr>
            </w:pPr>
            <w:r>
              <w:rPr>
                <w:rFonts w:hint="eastAsia" w:ascii="仿宋" w:hAnsi="仿宋" w:eastAsia="仿宋" w:cs="仿宋"/>
                <w:b/>
                <w:bCs/>
                <w:color w:val="auto"/>
                <w:highlight w:val="none"/>
                <w:lang w:val="zh-CN"/>
              </w:rPr>
              <w:t>投标文件中所提供投标的以上伴随产品为我单位生产的产品，</w:t>
            </w:r>
            <w:r>
              <w:rPr>
                <w:rFonts w:hint="eastAsia" w:ascii="仿宋" w:hAnsi="仿宋" w:eastAsia="仿宋" w:cs="仿宋"/>
                <w:b/>
                <w:bCs/>
                <w:color w:val="auto"/>
                <w:highlight w:val="none"/>
              </w:rPr>
              <w:t>如有虚假</w:t>
            </w:r>
            <w:r>
              <w:rPr>
                <w:rFonts w:hint="eastAsia" w:ascii="仿宋" w:hAnsi="仿宋" w:eastAsia="仿宋" w:cs="仿宋"/>
                <w:b/>
                <w:bCs/>
                <w:color w:val="auto"/>
                <w:highlight w:val="none"/>
                <w:lang w:val="zh-CN"/>
              </w:rPr>
              <w:t>，我单位承担由此产生的一切后果</w:t>
            </w:r>
            <w:r>
              <w:rPr>
                <w:rFonts w:hint="eastAsia" w:ascii="仿宋" w:hAnsi="仿宋" w:eastAsia="仿宋" w:cs="仿宋"/>
                <w:color w:val="auto"/>
                <w:highlight w:val="none"/>
                <w:lang w:val="zh-CN"/>
              </w:rPr>
              <w:t>。</w:t>
            </w:r>
          </w:p>
        </w:tc>
      </w:tr>
    </w:tbl>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注：1、供应商为非残疾人福利性单位的，无需填写此声明函。</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    3、如为本项目提供本单位伴随产品的，请填写此表格。</w:t>
      </w:r>
    </w:p>
    <w:p>
      <w:pPr>
        <w:adjustRightInd w:val="0"/>
        <w:snapToGrid w:val="0"/>
        <w:spacing w:line="360" w:lineRule="auto"/>
        <w:ind w:right="105" w:rightChars="50" w:firstLine="476" w:firstLineChars="227"/>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hint="eastAsia" w:ascii="仿宋" w:hAnsi="仿宋" w:eastAsia="仿宋" w:cs="仿宋"/>
          <w:color w:val="auto"/>
          <w:highlight w:val="none"/>
        </w:rPr>
      </w:pPr>
    </w:p>
    <w:p>
      <w:pPr>
        <w:adjustRightInd w:val="0"/>
        <w:snapToGrid w:val="0"/>
        <w:spacing w:line="360" w:lineRule="auto"/>
        <w:ind w:right="105" w:rightChars="50"/>
        <w:jc w:val="left"/>
        <w:rPr>
          <w:rFonts w:hint="eastAsia" w:ascii="仿宋" w:hAnsi="仿宋" w:eastAsia="仿宋" w:cs="仿宋"/>
          <w:color w:val="auto"/>
          <w:highlight w:val="none"/>
        </w:rPr>
      </w:pPr>
    </w:p>
    <w:p>
      <w:pPr>
        <w:adjustRightInd w:val="0"/>
        <w:snapToGrid w:val="0"/>
        <w:spacing w:line="360" w:lineRule="auto"/>
        <w:ind w:right="105" w:rightChars="50"/>
        <w:jc w:val="left"/>
        <w:rPr>
          <w:rFonts w:hint="eastAsia" w:ascii="仿宋" w:hAnsi="仿宋" w:eastAsia="仿宋" w:cs="仿宋"/>
          <w:color w:val="auto"/>
          <w:highlight w:val="none"/>
        </w:rPr>
      </w:pPr>
    </w:p>
    <w:p>
      <w:pPr>
        <w:adjustRightInd w:val="0"/>
        <w:snapToGrid w:val="0"/>
        <w:spacing w:line="480" w:lineRule="auto"/>
        <w:ind w:right="105" w:rightChars="50"/>
        <w:jc w:val="left"/>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p>
      <w:pPr>
        <w:adjustRightInd w:val="0"/>
        <w:snapToGrid w:val="0"/>
        <w:spacing w:line="480" w:lineRule="auto"/>
        <w:ind w:right="105" w:rightChars="50"/>
        <w:jc w:val="left"/>
        <w:rPr>
          <w:rFonts w:hint="eastAsia" w:ascii="仿宋" w:hAnsi="仿宋" w:eastAsia="仿宋" w:cs="仿宋"/>
          <w:b/>
          <w:bCs/>
          <w:color w:val="auto"/>
          <w:sz w:val="28"/>
          <w:szCs w:val="28"/>
          <w:highlight w:val="none"/>
        </w:rPr>
      </w:pPr>
      <w:r>
        <w:rPr>
          <w:rFonts w:hint="eastAsia" w:ascii="仿宋" w:hAnsi="仿宋" w:eastAsia="仿宋" w:cs="仿宋"/>
          <w:color w:val="auto"/>
          <w:highlight w:val="none"/>
        </w:rPr>
        <w:t>日 期：</w:t>
      </w:r>
    </w:p>
    <w:p>
      <w:pPr>
        <w:pStyle w:val="36"/>
        <w:rPr>
          <w:rFonts w:hint="eastAsia" w:ascii="仿宋" w:hAnsi="仿宋" w:eastAsia="仿宋" w:cs="仿宋"/>
          <w:color w:val="auto"/>
          <w:highlight w:val="none"/>
        </w:rPr>
      </w:pPr>
    </w:p>
    <w:p>
      <w:pPr>
        <w:pStyle w:val="2"/>
        <w:snapToGrid w:val="0"/>
        <w:spacing w:before="319" w:beforeLines="100" w:after="319" w:afterLines="100" w:line="360" w:lineRule="auto"/>
        <w:rPr>
          <w:rFonts w:hint="eastAsia" w:ascii="仿宋" w:hAnsi="仿宋" w:eastAsia="仿宋" w:cs="仿宋"/>
          <w:color w:val="auto"/>
          <w:highlight w:val="none"/>
        </w:rPr>
      </w:pPr>
      <w:bookmarkStart w:id="121" w:name="_Toc17590"/>
      <w:r>
        <w:rPr>
          <w:rFonts w:hint="eastAsia" w:ascii="仿宋" w:hAnsi="仿宋" w:eastAsia="仿宋" w:cs="仿宋"/>
          <w:color w:val="auto"/>
          <w:highlight w:val="none"/>
        </w:rPr>
        <w:t>第三章 货物需求</w:t>
      </w:r>
      <w:bookmarkEnd w:id="120"/>
      <w:bookmarkEnd w:id="121"/>
    </w:p>
    <w:p>
      <w:pPr>
        <w:spacing w:line="360" w:lineRule="auto"/>
        <w:ind w:left="602"/>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详见格式12及格式13要求内容</w:t>
      </w: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b/>
          <w:bCs/>
          <w:color w:val="auto"/>
          <w:szCs w:val="21"/>
          <w:highlight w:val="none"/>
        </w:rPr>
      </w:pPr>
    </w:p>
    <w:p>
      <w:pPr>
        <w:spacing w:line="360" w:lineRule="auto"/>
        <w:ind w:left="602"/>
        <w:rPr>
          <w:rFonts w:hint="eastAsia" w:ascii="仿宋" w:hAnsi="仿宋" w:eastAsia="仿宋" w:cs="仿宋"/>
          <w:color w:val="auto"/>
          <w:szCs w:val="21"/>
          <w:highlight w:val="none"/>
        </w:rPr>
      </w:pPr>
    </w:p>
    <w:p>
      <w:pPr>
        <w:pStyle w:val="2"/>
        <w:snapToGrid w:val="0"/>
        <w:spacing w:before="319" w:beforeLines="100" w:after="319" w:afterLines="100" w:line="360" w:lineRule="auto"/>
        <w:rPr>
          <w:rFonts w:hint="eastAsia" w:ascii="仿宋" w:hAnsi="仿宋" w:eastAsia="仿宋" w:cs="仿宋"/>
          <w:color w:val="auto"/>
          <w:highlight w:val="none"/>
        </w:rPr>
      </w:pPr>
      <w:bookmarkStart w:id="122" w:name="_Toc25237"/>
      <w:bookmarkStart w:id="123" w:name="_Toc2821_WPSOffice_Level1"/>
      <w:r>
        <w:rPr>
          <w:rFonts w:hint="eastAsia" w:ascii="仿宋" w:hAnsi="仿宋" w:eastAsia="仿宋" w:cs="仿宋"/>
          <w:color w:val="auto"/>
          <w:highlight w:val="none"/>
        </w:rPr>
        <w:t>第四章 评标方法</w:t>
      </w:r>
      <w:bookmarkEnd w:id="122"/>
      <w:bookmarkEnd w:id="123"/>
    </w:p>
    <w:p>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Cs/>
          <w:color w:val="auto"/>
          <w:kern w:val="0"/>
          <w:szCs w:val="21"/>
          <w:highlight w:val="none"/>
        </w:rPr>
        <w:t>本项目将按照招标文件第一章投标人须知中“六 开标及评标”、“七 确定中标”及本章的规定评标。</w:t>
      </w:r>
    </w:p>
    <w:p>
      <w:pPr>
        <w:adjustRightInd w:val="0"/>
        <w:snapToGrid w:val="0"/>
        <w:spacing w:line="360" w:lineRule="auto"/>
        <w:ind w:firstLine="420" w:firstLineChars="200"/>
        <w:rPr>
          <w:rFonts w:hint="eastAsia" w:ascii="仿宋" w:hAnsi="仿宋" w:eastAsia="仿宋" w:cs="仿宋"/>
          <w:b/>
          <w:color w:val="auto"/>
          <w:kern w:val="0"/>
          <w:szCs w:val="21"/>
          <w:highlight w:val="none"/>
        </w:rPr>
      </w:pPr>
      <w:bookmarkStart w:id="124" w:name="_Toc22313_WPSOffice_Level2"/>
      <w:r>
        <w:rPr>
          <w:rFonts w:hint="eastAsia" w:ascii="仿宋" w:hAnsi="仿宋" w:eastAsia="仿宋" w:cs="仿宋"/>
          <w:b/>
          <w:color w:val="auto"/>
          <w:kern w:val="0"/>
          <w:szCs w:val="21"/>
          <w:highlight w:val="none"/>
        </w:rPr>
        <w:t>一、评标方法</w:t>
      </w:r>
      <w:bookmarkEnd w:id="124"/>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本项目采用</w:t>
      </w:r>
      <w:r>
        <w:rPr>
          <w:rFonts w:hint="eastAsia" w:ascii="仿宋" w:hAnsi="仿宋" w:eastAsia="仿宋" w:cs="仿宋"/>
          <w:color w:val="auto"/>
          <w:kern w:val="0"/>
          <w:szCs w:val="21"/>
          <w:highlight w:val="none"/>
          <w:u w:val="single"/>
        </w:rPr>
        <w:t>综合评分法</w:t>
      </w:r>
      <w:r>
        <w:rPr>
          <w:rFonts w:hint="eastAsia" w:ascii="仿宋" w:hAnsi="仿宋" w:eastAsia="仿宋" w:cs="仿宋"/>
          <w:color w:val="auto"/>
          <w:kern w:val="0"/>
          <w:szCs w:val="21"/>
          <w:highlight w:val="none"/>
        </w:rPr>
        <w:t>进行评标。</w:t>
      </w:r>
    </w:p>
    <w:p>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bookmarkStart w:id="125" w:name="_Toc21368_WPSOffice_Level2"/>
      <w:r>
        <w:rPr>
          <w:rFonts w:hint="eastAsia" w:ascii="仿宋" w:hAnsi="仿宋" w:eastAsia="仿宋" w:cs="仿宋"/>
          <w:b/>
          <w:color w:val="auto"/>
          <w:kern w:val="0"/>
          <w:szCs w:val="21"/>
          <w:highlight w:val="none"/>
        </w:rPr>
        <w:t>二、评标原则及程序</w:t>
      </w:r>
      <w:bookmarkEnd w:id="125"/>
    </w:p>
    <w:p>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（一）评标原则</w:t>
      </w:r>
    </w:p>
    <w:p>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color w:val="auto"/>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（二）评标程序</w:t>
      </w:r>
    </w:p>
    <w:p>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★1、资格审查</w:t>
      </w:r>
    </w:p>
    <w:p>
      <w:pPr>
        <w:adjustRightInd w:val="0"/>
        <w:snapToGrid w:val="0"/>
        <w:spacing w:line="360" w:lineRule="auto"/>
        <w:ind w:firstLine="420" w:firstLineChars="200"/>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1.1详见投标人须知22条。资格审查表详见本章附件1。</w:t>
      </w:r>
    </w:p>
    <w:p>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w:t>
      </w:r>
      <w:r>
        <w:rPr>
          <w:rFonts w:hint="eastAsia" w:ascii="仿宋" w:hAnsi="仿宋" w:eastAsia="仿宋" w:cs="仿宋"/>
          <w:b/>
          <w:bCs/>
          <w:color w:val="auto"/>
          <w:kern w:val="0"/>
          <w:szCs w:val="21"/>
          <w:highlight w:val="none"/>
        </w:rPr>
        <w:t>2、符合性审查</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2.1详见投标人须知23条。符合性审查表详见本章附件2。</w:t>
      </w:r>
    </w:p>
    <w:p>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3、样品及演示</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w:t>
      </w:r>
      <w:r>
        <w:rPr>
          <w:rFonts w:hint="eastAsia" w:ascii="仿宋" w:hAnsi="仿宋" w:eastAsia="仿宋" w:cs="仿宋"/>
          <w:color w:val="auto"/>
          <w:kern w:val="0"/>
          <w:szCs w:val="21"/>
          <w:highlight w:val="none"/>
        </w:rPr>
        <w:t>投标人须知表11.3条</w:t>
      </w:r>
      <w:r>
        <w:rPr>
          <w:rFonts w:hint="eastAsia" w:ascii="仿宋" w:hAnsi="仿宋" w:eastAsia="仿宋" w:cs="仿宋"/>
          <w:color w:val="auto"/>
          <w:szCs w:val="21"/>
          <w:highlight w:val="none"/>
        </w:rPr>
        <w:t>中要求投标人提供样品或演示的，按照</w:t>
      </w:r>
      <w:r>
        <w:rPr>
          <w:rFonts w:hint="eastAsia" w:ascii="仿宋" w:hAnsi="仿宋" w:eastAsia="仿宋" w:cs="仿宋"/>
          <w:color w:val="auto"/>
          <w:kern w:val="0"/>
          <w:szCs w:val="21"/>
          <w:highlight w:val="none"/>
        </w:rPr>
        <w:t>投标人须知表25.1条</w:t>
      </w:r>
      <w:r>
        <w:rPr>
          <w:rFonts w:hint="eastAsia" w:ascii="仿宋" w:hAnsi="仿宋" w:eastAsia="仿宋" w:cs="仿宋"/>
          <w:color w:val="auto"/>
          <w:szCs w:val="21"/>
          <w:highlight w:val="none"/>
        </w:rPr>
        <w:t>中确定的评审方法以及评审标准进行评审。(样品或演示属于符合性审查的，按照</w:t>
      </w:r>
      <w:r>
        <w:rPr>
          <w:rFonts w:hint="eastAsia" w:ascii="仿宋" w:hAnsi="仿宋" w:eastAsia="仿宋" w:cs="仿宋"/>
          <w:color w:val="auto"/>
          <w:kern w:val="0"/>
          <w:szCs w:val="21"/>
          <w:highlight w:val="none"/>
        </w:rPr>
        <w:t>投标人须知23条</w:t>
      </w:r>
      <w:r>
        <w:rPr>
          <w:rFonts w:hint="eastAsia" w:ascii="仿宋" w:hAnsi="仿宋" w:eastAsia="仿宋" w:cs="仿宋"/>
          <w:color w:val="auto"/>
          <w:szCs w:val="21"/>
          <w:highlight w:val="none"/>
        </w:rPr>
        <w:t>规定执行）</w:t>
      </w:r>
    </w:p>
    <w:p>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★4</w:t>
      </w:r>
      <w:r>
        <w:rPr>
          <w:rFonts w:hint="eastAsia" w:ascii="仿宋" w:hAnsi="仿宋" w:eastAsia="仿宋" w:cs="仿宋"/>
          <w:b/>
          <w:bCs/>
          <w:color w:val="auto"/>
          <w:kern w:val="0"/>
          <w:szCs w:val="21"/>
          <w:highlight w:val="none"/>
        </w:rPr>
        <w:t>、同一品牌产品</w:t>
      </w:r>
    </w:p>
    <w:p>
      <w:pPr>
        <w:adjustRightInd w:val="0"/>
        <w:snapToGrid w:val="0"/>
        <w:spacing w:line="360" w:lineRule="auto"/>
        <w:ind w:firstLine="420" w:firstLineChars="200"/>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4.1通过资格审查、符合性审查的不同品牌投标人不足3家的，按照</w:t>
      </w:r>
      <w:r>
        <w:rPr>
          <w:rFonts w:hint="eastAsia" w:ascii="仿宋" w:hAnsi="仿宋" w:eastAsia="仿宋" w:cs="仿宋"/>
          <w:color w:val="auto"/>
          <w:kern w:val="0"/>
          <w:szCs w:val="21"/>
          <w:highlight w:val="none"/>
        </w:rPr>
        <w:t>投标人须知28条第（1）款</w:t>
      </w:r>
      <w:r>
        <w:rPr>
          <w:rFonts w:hint="eastAsia" w:ascii="仿宋" w:hAnsi="仿宋" w:eastAsia="仿宋" w:cs="仿宋"/>
          <w:color w:val="auto"/>
          <w:szCs w:val="21"/>
          <w:highlight w:val="none"/>
        </w:rPr>
        <w:t>执行</w:t>
      </w:r>
      <w:r>
        <w:rPr>
          <w:rFonts w:hint="eastAsia" w:ascii="仿宋" w:hAnsi="仿宋" w:eastAsia="仿宋" w:cs="仿宋"/>
          <w:color w:val="auto"/>
          <w:kern w:val="0"/>
          <w:szCs w:val="21"/>
          <w:highlight w:val="none"/>
        </w:rPr>
        <w:t>。</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4.2提供相同品牌产品且通过资格审查、符合性审查的不同投标人，按一家投标人计算。</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4.3如一个分包内只有一种产品，不同投标人所投产品为同一品牌的，按如下方式处理：</w:t>
      </w:r>
    </w:p>
    <w:p>
      <w:pPr>
        <w:numPr>
          <w:ilvl w:val="0"/>
          <w:numId w:val="3"/>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如本项目使用最低评标价法，提供相同品牌产品的不同投标人以其中通过资格审查、符合性审查且报价最低的参加比较及评价；报价相同的，按</w:t>
      </w:r>
      <w:r>
        <w:rPr>
          <w:rFonts w:hint="eastAsia" w:ascii="仿宋" w:hAnsi="仿宋" w:eastAsia="仿宋" w:cs="仿宋"/>
          <w:color w:val="auto"/>
          <w:kern w:val="0"/>
          <w:szCs w:val="21"/>
          <w:highlight w:val="none"/>
        </w:rPr>
        <w:t>本章第8条</w:t>
      </w:r>
      <w:r>
        <w:rPr>
          <w:rFonts w:hint="eastAsia" w:ascii="仿宋" w:hAnsi="仿宋" w:eastAsia="仿宋" w:cs="仿宋"/>
          <w:color w:val="auto"/>
          <w:szCs w:val="21"/>
          <w:highlight w:val="none"/>
        </w:rPr>
        <w:t>“推荐中标候选人的原则”规定执行；未规定的采取随机抽取方式确定，其他</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4.4如一个分包内包含多种产品的，采购人或采购代理机构将在招标文件中载明核心产品，多家投标人提供的核心产品品牌相同的，</w:t>
      </w:r>
      <w:r>
        <w:rPr>
          <w:rFonts w:hint="eastAsia" w:ascii="仿宋" w:hAnsi="仿宋" w:eastAsia="仿宋" w:cs="仿宋"/>
          <w:color w:val="auto"/>
          <w:kern w:val="0"/>
          <w:szCs w:val="21"/>
          <w:highlight w:val="none"/>
        </w:rPr>
        <w:t>按本章第4.3条规定处理。</w:t>
      </w:r>
    </w:p>
    <w:p>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★5</w:t>
      </w:r>
      <w:r>
        <w:rPr>
          <w:rFonts w:hint="eastAsia" w:ascii="仿宋" w:hAnsi="仿宋" w:eastAsia="仿宋" w:cs="仿宋"/>
          <w:b/>
          <w:bCs/>
          <w:color w:val="auto"/>
          <w:kern w:val="0"/>
          <w:szCs w:val="21"/>
          <w:highlight w:val="none"/>
        </w:rPr>
        <w:t>、比较及评价</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5.1评标委员会对通过符合性审查的投标文件进行比较和评价。</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5.2在评标期间，对投标文件的澄清按投标人须知24条内容执行。</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eastAsia="仿宋" w:cs="仿宋"/>
          <w:color w:val="auto"/>
          <w:kern w:val="0"/>
          <w:szCs w:val="21"/>
          <w:highlight w:val="none"/>
        </w:rPr>
        <w:t>接到通知后</w:t>
      </w:r>
      <w:r>
        <w:rPr>
          <w:rFonts w:hint="eastAsia" w:ascii="仿宋" w:hAnsi="仿宋" w:eastAsia="仿宋" w:cs="仿宋"/>
          <w:color w:val="auto"/>
          <w:kern w:val="0"/>
          <w:szCs w:val="21"/>
          <w:highlight w:val="none"/>
          <w:u w:val="single"/>
        </w:rPr>
        <w:t xml:space="preserve">0.5 </w:t>
      </w:r>
      <w:r>
        <w:rPr>
          <w:rFonts w:hint="eastAsia" w:ascii="仿宋" w:hAnsi="仿宋" w:eastAsia="仿宋" w:cs="仿宋"/>
          <w:color w:val="auto"/>
          <w:kern w:val="0"/>
          <w:szCs w:val="21"/>
          <w:highlight w:val="none"/>
        </w:rPr>
        <w:t>小时</w:t>
      </w:r>
      <w:r>
        <w:rPr>
          <w:rFonts w:hint="eastAsia" w:ascii="仿宋" w:hAnsi="仿宋" w:eastAsia="仿宋" w:cs="仿宋"/>
          <w:color w:val="auto"/>
          <w:szCs w:val="21"/>
          <w:highlight w:val="none"/>
        </w:rPr>
        <w:t>）内提供书面说明，并提交相关证明材料，</w:t>
      </w:r>
      <w:r>
        <w:rPr>
          <w:rFonts w:hint="eastAsia" w:ascii="仿宋" w:hAnsi="仿宋" w:eastAsia="仿宋" w:cs="仿宋"/>
          <w:color w:val="auto"/>
          <w:kern w:val="0"/>
          <w:szCs w:val="21"/>
          <w:highlight w:val="none"/>
        </w:rPr>
        <w:t>投标人不能证明其报价合理性的，评标委员会应当将</w:t>
      </w:r>
      <w:r>
        <w:rPr>
          <w:rFonts w:hint="eastAsia" w:ascii="仿宋" w:hAnsi="仿宋" w:eastAsia="仿宋" w:cs="仿宋"/>
          <w:color w:val="auto"/>
          <w:szCs w:val="21"/>
          <w:highlight w:val="none"/>
        </w:rPr>
        <w:t>其投标作为</w:t>
      </w:r>
      <w:r>
        <w:rPr>
          <w:rFonts w:hint="eastAsia" w:ascii="仿宋" w:hAnsi="仿宋" w:eastAsia="仿宋" w:cs="仿宋"/>
          <w:b/>
          <w:bCs/>
          <w:color w:val="auto"/>
          <w:szCs w:val="21"/>
          <w:highlight w:val="none"/>
        </w:rPr>
        <w:t>无效投标处理</w:t>
      </w:r>
      <w:r>
        <w:rPr>
          <w:rFonts w:hint="eastAsia" w:ascii="仿宋" w:hAnsi="仿宋" w:eastAsia="仿宋" w:cs="仿宋"/>
          <w:color w:val="auto"/>
          <w:szCs w:val="21"/>
          <w:highlight w:val="none"/>
        </w:rPr>
        <w:t>。</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4"/>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拒绝或者变相拒绝提供有效书面说明；</w:t>
      </w:r>
    </w:p>
    <w:p>
      <w:pPr>
        <w:numPr>
          <w:ilvl w:val="0"/>
          <w:numId w:val="4"/>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书面说明不能证明其报价合理性的；</w:t>
      </w:r>
    </w:p>
    <w:p>
      <w:pPr>
        <w:numPr>
          <w:ilvl w:val="0"/>
          <w:numId w:val="4"/>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未在规定时间内递交有效书面说明书的。</w:t>
      </w:r>
    </w:p>
    <w:p>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★6</w:t>
      </w:r>
      <w:r>
        <w:rPr>
          <w:rFonts w:hint="eastAsia" w:ascii="仿宋" w:hAnsi="仿宋" w:eastAsia="仿宋" w:cs="仿宋"/>
          <w:b/>
          <w:bCs/>
          <w:color w:val="auto"/>
          <w:kern w:val="0"/>
          <w:szCs w:val="21"/>
          <w:highlight w:val="none"/>
        </w:rPr>
        <w:t>、需落实的政府采购政策性规定：</w:t>
      </w:r>
    </w:p>
    <w:p>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6.1对于中小微企业的相关规定</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6.1.1对于非专门面向中小企业的项目，在满足价格扣除条件且在投标文件中按要求提交了《中小企业声明函》</w:t>
      </w:r>
      <w:r>
        <w:rPr>
          <w:rFonts w:hint="eastAsia" w:ascii="仿宋" w:hAnsi="仿宋" w:eastAsia="仿宋" w:cs="仿宋"/>
          <w:color w:val="auto"/>
          <w:kern w:val="0"/>
          <w:szCs w:val="21"/>
          <w:highlight w:val="none"/>
        </w:rPr>
        <w:t>，投标人所投货物为其它企业生产时须提供此声明函，仅作为价格扣除条件）的，</w:t>
      </w:r>
      <w:r>
        <w:rPr>
          <w:rFonts w:hint="eastAsia" w:ascii="仿宋" w:hAnsi="仿宋" w:eastAsia="仿宋" w:cs="仿宋"/>
          <w:color w:val="auto"/>
          <w:szCs w:val="21"/>
          <w:highlight w:val="none"/>
        </w:rPr>
        <w:t>对投标报价给予价格扣除，用扣除后的价格参与评审。投标报价扣除比例如下：</w:t>
      </w:r>
    </w:p>
    <w:p>
      <w:pPr>
        <w:adjustRightInd w:val="0"/>
        <w:snapToGrid w:val="0"/>
        <w:spacing w:line="360" w:lineRule="auto"/>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（1）非联合体投标</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小型和微型企业相应产品、服务投标报价的10%</w:t>
      </w:r>
    </w:p>
    <w:p>
      <w:pPr>
        <w:adjustRightInd w:val="0"/>
        <w:snapToGrid w:val="0"/>
        <w:spacing w:line="360" w:lineRule="auto"/>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（2）联合体投标</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2%。</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 w:hAnsi="仿宋" w:eastAsia="仿宋" w:cs="仿宋"/>
          <w:color w:val="auto"/>
          <w:kern w:val="0"/>
          <w:szCs w:val="21"/>
          <w:highlight w:val="none"/>
        </w:rPr>
        <w:t>用扣除后的价格参与评审</w:t>
      </w:r>
      <w:r>
        <w:rPr>
          <w:rFonts w:hint="eastAsia" w:ascii="仿宋" w:hAnsi="仿宋" w:eastAsia="仿宋" w:cs="仿宋"/>
          <w:color w:val="auto"/>
          <w:szCs w:val="21"/>
          <w:highlight w:val="none"/>
        </w:rPr>
        <w:t>。</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b/>
          <w:color w:val="auto"/>
          <w:kern w:val="0"/>
          <w:szCs w:val="21"/>
          <w:highlight w:val="none"/>
        </w:rPr>
        <w:t>6.1.3</w:t>
      </w:r>
      <w:r>
        <w:rPr>
          <w:rFonts w:hint="eastAsia" w:ascii="仿宋" w:hAnsi="仿宋" w:eastAsia="仿宋" w:cs="仿宋"/>
          <w:color w:val="auto"/>
          <w:szCs w:val="21"/>
          <w:highlight w:val="none"/>
        </w:rPr>
        <w:t>残疾人福利性单位视同小型、微型企业，在满足价格扣除条件且在</w:t>
      </w:r>
      <w:r>
        <w:rPr>
          <w:rFonts w:hint="eastAsia" w:ascii="仿宋" w:hAnsi="仿宋" w:eastAsia="仿宋" w:cs="仿宋"/>
          <w:color w:val="auto"/>
          <w:kern w:val="0"/>
          <w:szCs w:val="21"/>
          <w:highlight w:val="none"/>
        </w:rPr>
        <w:t>投标文件中提供了《残疾人福利性单位声明函》的，</w:t>
      </w:r>
      <w:r>
        <w:rPr>
          <w:rFonts w:hint="eastAsia" w:ascii="仿宋" w:hAnsi="仿宋" w:eastAsia="仿宋" w:cs="仿宋"/>
          <w:color w:val="auto"/>
          <w:szCs w:val="21"/>
          <w:highlight w:val="none"/>
        </w:rPr>
        <w:t>对其投标报价按本章6.1.1条款的比例予以扣除</w:t>
      </w:r>
      <w:r>
        <w:rPr>
          <w:rFonts w:hint="eastAsia" w:ascii="仿宋" w:hAnsi="仿宋" w:eastAsia="仿宋" w:cs="仿宋"/>
          <w:color w:val="auto"/>
          <w:kern w:val="0"/>
          <w:szCs w:val="21"/>
          <w:highlight w:val="none"/>
        </w:rPr>
        <w:t>，用扣除后的价格参与评审。</w:t>
      </w:r>
    </w:p>
    <w:p>
      <w:pPr>
        <w:adjustRightInd w:val="0"/>
        <w:snapToGrid w:val="0"/>
        <w:spacing w:line="360" w:lineRule="auto"/>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6.1.4残疾人福利性单位属于小型、微型企业的，不重复享受政策。</w:t>
      </w:r>
    </w:p>
    <w:p>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6.2对于节能产品、环境标志产品的相关规定</w:t>
      </w:r>
    </w:p>
    <w:p>
      <w:pPr>
        <w:numPr>
          <w:ilvl w:val="0"/>
          <w:numId w:val="5"/>
        </w:num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节能产品或环境标志产品，依据品目清单和认证证书实施政府优先采购。</w:t>
      </w:r>
      <w:r>
        <w:rPr>
          <w:rFonts w:hint="eastAsia" w:ascii="仿宋" w:hAnsi="仿宋" w:eastAsia="仿宋" w:cs="仿宋"/>
          <w:color w:val="auto"/>
          <w:highlight w:val="none"/>
        </w:rPr>
        <w:t>供应商</w:t>
      </w:r>
      <w:r>
        <w:rPr>
          <w:rFonts w:hint="eastAsia" w:ascii="仿宋" w:hAnsi="仿宋" w:eastAsia="仿宋" w:cs="仿宋"/>
          <w:color w:val="auto"/>
          <w:szCs w:val="21"/>
          <w:highlight w:val="none"/>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采用最低评标价法的，</w:t>
      </w:r>
      <w:r>
        <w:rPr>
          <w:rFonts w:hint="eastAsia" w:ascii="仿宋" w:hAnsi="仿宋" w:eastAsia="仿宋" w:cs="仿宋"/>
          <w:color w:val="auto"/>
          <w:szCs w:val="21"/>
          <w:highlight w:val="none"/>
        </w:rPr>
        <w:t>对</w:t>
      </w:r>
      <w:r>
        <w:rPr>
          <w:rFonts w:hint="eastAsia" w:ascii="仿宋" w:hAnsi="仿宋" w:eastAsia="仿宋" w:cs="仿宋"/>
          <w:color w:val="auto"/>
          <w:kern w:val="0"/>
          <w:szCs w:val="21"/>
          <w:highlight w:val="none"/>
        </w:rPr>
        <w:t>清单中投标产品的报价</w:t>
      </w:r>
      <w:r>
        <w:rPr>
          <w:rFonts w:hint="eastAsia" w:ascii="仿宋" w:hAnsi="仿宋" w:eastAsia="仿宋" w:cs="仿宋"/>
          <w:color w:val="auto"/>
          <w:szCs w:val="21"/>
          <w:highlight w:val="none"/>
        </w:rPr>
        <w:t>给予价格扣除，用扣除后的价格参与评审。报价扣除比例为</w:t>
      </w:r>
      <w:r>
        <w:rPr>
          <w:rFonts w:hint="eastAsia" w:ascii="仿宋" w:hAnsi="仿宋" w:eastAsia="仿宋" w:cs="仿宋"/>
          <w:color w:val="auto"/>
          <w:kern w:val="0"/>
          <w:szCs w:val="21"/>
          <w:highlight w:val="none"/>
        </w:rPr>
        <w:t>清单中产品报价的</w:t>
      </w:r>
      <w:r>
        <w:rPr>
          <w:rFonts w:hint="eastAsia" w:ascii="仿宋" w:hAnsi="仿宋" w:eastAsia="仿宋" w:cs="仿宋"/>
          <w:color w:val="auto"/>
          <w:szCs w:val="21"/>
          <w:highlight w:val="none"/>
          <w:u w:val="single"/>
        </w:rPr>
        <w:t>2</w:t>
      </w:r>
      <w:r>
        <w:rPr>
          <w:rFonts w:hint="eastAsia" w:ascii="仿宋" w:hAnsi="仿宋" w:eastAsia="仿宋" w:cs="仿宋"/>
          <w:color w:val="auto"/>
          <w:szCs w:val="21"/>
          <w:highlight w:val="none"/>
        </w:rPr>
        <w:t xml:space="preserve"> %。</w:t>
      </w:r>
    </w:p>
    <w:p>
      <w:pPr>
        <w:adjustRightInd w:val="0"/>
        <w:snapToGrid w:val="0"/>
        <w:spacing w:line="360" w:lineRule="auto"/>
        <w:ind w:firstLine="630" w:firstLineChars="3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采用综合评分法评标的项目，对清单中产品给予相应的加分。（详见评分细则）</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（2）供应商应同时提供品目清单网络截图，并以明确标注所报产品信息和位置的方式，用以方便评审。</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（3）认证机构和获证产品信息发布媒体：详见中国政府采购网（www.ccgp.gov.cn）建立的与认证结果信息发布平台的链接。</w:t>
      </w:r>
    </w:p>
    <w:p>
      <w:pPr>
        <w:adjustRightInd w:val="0"/>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6.3对于列入《辽宁省创新产品和服务目录》内的产品、服务的相关规定</w:t>
      </w:r>
    </w:p>
    <w:p>
      <w:pPr>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采用最低评标价法的：对列入《辽宁省创新产品和服务目录》内的投标产品、服务给予其投标报价6%的价格扣除，用扣除后的价格参与评审。</w:t>
      </w:r>
    </w:p>
    <w:p>
      <w:pPr>
        <w:adjustRightInd w:val="0"/>
        <w:spacing w:line="360" w:lineRule="auto"/>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采用综合评分法评标的：对列入《辽宁省创新产品和服务目录》内的投标产品、服务给予6%的加分（详见评分细则）。</w:t>
      </w:r>
    </w:p>
    <w:p>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★7</w:t>
      </w:r>
      <w:r>
        <w:rPr>
          <w:rFonts w:hint="eastAsia" w:ascii="仿宋" w:hAnsi="仿宋" w:eastAsia="仿宋" w:cs="仿宋"/>
          <w:b/>
          <w:bCs/>
          <w:color w:val="auto"/>
          <w:kern w:val="0"/>
          <w:szCs w:val="21"/>
          <w:highlight w:val="none"/>
        </w:rPr>
        <w:t>、投标无效情况详见投标人须知。</w:t>
      </w:r>
    </w:p>
    <w:p>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★8</w:t>
      </w:r>
      <w:r>
        <w:rPr>
          <w:rFonts w:hint="eastAsia" w:ascii="仿宋" w:hAnsi="仿宋" w:eastAsia="仿宋" w:cs="仿宋"/>
          <w:b/>
          <w:bCs/>
          <w:color w:val="auto"/>
          <w:kern w:val="0"/>
          <w:szCs w:val="21"/>
          <w:highlight w:val="none"/>
        </w:rPr>
        <w:t>、推荐中标候选人的原则</w:t>
      </w:r>
    </w:p>
    <w:p>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详见第一章投标人须知第29条，具体处理办法如下：</w:t>
      </w:r>
    </w:p>
    <w:p>
      <w:pPr>
        <w:numPr>
          <w:ilvl w:val="0"/>
          <w:numId w:val="6"/>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采用最低评标价法的：</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扣除后的投标报价相同时，按投标报价由低至高排序；</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按前款不能区分的，优先采购节能产品、环境标志产品；</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按前款不能区分的，按技术指标优劣排序；</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其他情况，由评标委员会投票处理。</w:t>
      </w:r>
    </w:p>
    <w:p>
      <w:pPr>
        <w:numPr>
          <w:ilvl w:val="0"/>
          <w:numId w:val="6"/>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采用综合评分法的：</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得分相同的，按扣除后的投标报价由低到高顺序排序；</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按前款不能区分的，按投标报价由低至高顺序排序；</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按前款不能区分的，优先采购节能产品、环保产品；</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按前款不能区分的，按技术指标优劣排序；</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其他情况，由评标委员会投票处理。</w:t>
      </w:r>
    </w:p>
    <w:p>
      <w:pPr>
        <w:adjustRightInd w:val="0"/>
        <w:snapToGrid w:val="0"/>
        <w:spacing w:line="360" w:lineRule="auto"/>
        <w:ind w:firstLine="420" w:firstLineChars="200"/>
        <w:rPr>
          <w:rFonts w:hint="eastAsia" w:ascii="仿宋" w:hAnsi="仿宋" w:eastAsia="仿宋" w:cs="仿宋"/>
          <w:b/>
          <w:color w:val="auto"/>
          <w:kern w:val="0"/>
          <w:szCs w:val="21"/>
          <w:highlight w:val="none"/>
        </w:rPr>
      </w:pPr>
      <w:bookmarkStart w:id="126" w:name="_Toc30297_WPSOffice_Level2"/>
      <w:r>
        <w:rPr>
          <w:rFonts w:hint="eastAsia" w:ascii="仿宋" w:hAnsi="仿宋" w:eastAsia="仿宋" w:cs="仿宋"/>
          <w:b/>
          <w:color w:val="auto"/>
          <w:szCs w:val="21"/>
          <w:highlight w:val="none"/>
        </w:rPr>
        <w:t>三、</w:t>
      </w:r>
      <w:r>
        <w:rPr>
          <w:rFonts w:hint="eastAsia" w:ascii="仿宋" w:hAnsi="仿宋" w:eastAsia="仿宋" w:cs="仿宋"/>
          <w:b/>
          <w:color w:val="auto"/>
          <w:kern w:val="0"/>
          <w:szCs w:val="21"/>
          <w:highlight w:val="none"/>
        </w:rPr>
        <w:t>确定中标人</w:t>
      </w:r>
      <w:bookmarkEnd w:id="126"/>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采购人按照评标报告确定的中标候选人名单按顺序确定中标人，或由采购人委托评标委员会按照第一章投标人须知第31条规定的方式确定中标人。</w:t>
      </w:r>
    </w:p>
    <w:p>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highlight w:val="none"/>
        </w:rPr>
        <w:br w:type="page"/>
      </w:r>
      <w:bookmarkStart w:id="127" w:name="_Toc32318_WPSOffice_Level2"/>
      <w:r>
        <w:rPr>
          <w:rFonts w:hint="eastAsia" w:ascii="仿宋" w:hAnsi="仿宋" w:eastAsia="仿宋" w:cs="仿宋"/>
          <w:color w:val="auto"/>
          <w:szCs w:val="28"/>
          <w:highlight w:val="none"/>
        </w:rPr>
        <w:t xml:space="preserve">附件1 </w:t>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资格审查表</w:t>
      </w:r>
      <w:bookmarkEnd w:id="127"/>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3504"/>
        <w:gridCol w:w="1808"/>
        <w:gridCol w:w="899"/>
        <w:gridCol w:w="877"/>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11" w:type="dxa"/>
            <w:vMerge w:val="restart"/>
            <w:vAlign w:val="center"/>
          </w:tcPr>
          <w:p>
            <w:pPr>
              <w:ind w:left="-96" w:leftChars="-46" w:right="-86" w:rightChars="-41"/>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3504" w:type="dxa"/>
            <w:vMerge w:val="restart"/>
            <w:vAlign w:val="center"/>
          </w:tcPr>
          <w:p>
            <w:pPr>
              <w:pStyle w:val="3"/>
              <w:adjustRightInd w:val="0"/>
              <w:snapToGrid w:val="0"/>
              <w:spacing w:before="0" w:after="0" w:line="240" w:lineRule="auto"/>
              <w:ind w:left="-96"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审查项目</w:t>
            </w:r>
          </w:p>
        </w:tc>
        <w:tc>
          <w:tcPr>
            <w:tcW w:w="1808" w:type="dxa"/>
            <w:vMerge w:val="restart"/>
            <w:vAlign w:val="center"/>
          </w:tcPr>
          <w:p>
            <w:pPr>
              <w:pStyle w:val="3"/>
              <w:adjustRightInd w:val="0"/>
              <w:snapToGrid w:val="0"/>
              <w:spacing w:before="0" w:after="0" w:line="240" w:lineRule="auto"/>
              <w:ind w:left="-96"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审查标准</w:t>
            </w:r>
          </w:p>
        </w:tc>
        <w:tc>
          <w:tcPr>
            <w:tcW w:w="2590" w:type="dxa"/>
            <w:gridSpan w:val="3"/>
            <w:vAlign w:val="center"/>
          </w:tcPr>
          <w:p>
            <w:pPr>
              <w:pStyle w:val="3"/>
              <w:adjustRightInd w:val="0"/>
              <w:snapToGrid w:val="0"/>
              <w:spacing w:before="0" w:after="0" w:line="240" w:lineRule="auto"/>
              <w:ind w:left="-96"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11" w:type="dxa"/>
            <w:vMerge w:val="continue"/>
            <w:vAlign w:val="center"/>
          </w:tcPr>
          <w:p>
            <w:pPr>
              <w:pStyle w:val="3"/>
              <w:adjustRightInd w:val="0"/>
              <w:snapToGrid w:val="0"/>
              <w:spacing w:before="0" w:after="0" w:line="240" w:lineRule="auto"/>
              <w:rPr>
                <w:rFonts w:hint="eastAsia" w:ascii="仿宋" w:hAnsi="仿宋" w:eastAsia="仿宋" w:cs="仿宋"/>
                <w:color w:val="auto"/>
                <w:highlight w:val="none"/>
              </w:rPr>
            </w:pPr>
          </w:p>
        </w:tc>
        <w:tc>
          <w:tcPr>
            <w:tcW w:w="3504" w:type="dxa"/>
            <w:vMerge w:val="continue"/>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1808" w:type="dxa"/>
            <w:vMerge w:val="continue"/>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99"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11" w:type="dxa"/>
            <w:vAlign w:val="center"/>
          </w:tcPr>
          <w:p>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3504" w:type="dxa"/>
            <w:vAlign w:val="center"/>
          </w:tcPr>
          <w:p>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营业执照或事业单位法人证书或执业许可证等证明文件或自然人的身份证明</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99"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11" w:type="dxa"/>
            <w:vAlign w:val="center"/>
          </w:tcPr>
          <w:p>
            <w:pPr>
              <w:widowControl/>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2</w:t>
            </w:r>
          </w:p>
        </w:tc>
        <w:tc>
          <w:tcPr>
            <w:tcW w:w="3504" w:type="dxa"/>
            <w:vAlign w:val="center"/>
          </w:tcPr>
          <w:p>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法定代表人（或非法人组织负责人）身份证明书</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11" w:type="dxa"/>
            <w:vAlign w:val="center"/>
          </w:tcPr>
          <w:p>
            <w:pPr>
              <w:widowControl/>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3504" w:type="dxa"/>
            <w:vAlign w:val="center"/>
          </w:tcPr>
          <w:p>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法定代表人（或非法人组织</w:t>
            </w:r>
            <w:r>
              <w:rPr>
                <w:rFonts w:hint="eastAsia" w:ascii="仿宋" w:hAnsi="仿宋" w:eastAsia="仿宋" w:cs="仿宋"/>
                <w:color w:val="auto"/>
                <w:szCs w:val="21"/>
                <w:highlight w:val="none"/>
              </w:rPr>
              <w:t>负责人）</w:t>
            </w:r>
            <w:r>
              <w:rPr>
                <w:rFonts w:hint="eastAsia" w:ascii="仿宋" w:hAnsi="仿宋" w:eastAsia="仿宋" w:cs="仿宋"/>
                <w:color w:val="auto"/>
                <w:highlight w:val="none"/>
              </w:rPr>
              <w:t>授权委托书</w:t>
            </w:r>
            <w:r>
              <w:rPr>
                <w:rFonts w:hint="eastAsia" w:ascii="仿宋" w:hAnsi="仿宋" w:eastAsia="仿宋" w:cs="仿宋"/>
                <w:color w:val="auto"/>
                <w:szCs w:val="21"/>
                <w:highlight w:val="none"/>
              </w:rPr>
              <w:t>（授权委托人参加投标的须提供）</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11" w:type="dxa"/>
            <w:vAlign w:val="center"/>
          </w:tcPr>
          <w:p>
            <w:pPr>
              <w:widowControl/>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3504" w:type="dxa"/>
            <w:vAlign w:val="center"/>
          </w:tcPr>
          <w:p>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具有良好的商业信誉和健全的财务会计制度的承诺函</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1.信息完整</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11" w:type="dxa"/>
            <w:vAlign w:val="center"/>
          </w:tcPr>
          <w:p>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3504" w:type="dxa"/>
            <w:vAlign w:val="center"/>
          </w:tcPr>
          <w:p>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开标时间前六个月内任一个月的依法缴纳税收的缴款凭据</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11" w:type="dxa"/>
            <w:vAlign w:val="center"/>
          </w:tcPr>
          <w:p>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3504" w:type="dxa"/>
            <w:vAlign w:val="center"/>
          </w:tcPr>
          <w:p>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开标时间前六个月内任一个月的依法缴纳社会保障资金的缴款凭据</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11" w:type="dxa"/>
            <w:vAlign w:val="center"/>
          </w:tcPr>
          <w:p>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3504" w:type="dxa"/>
            <w:vAlign w:val="center"/>
          </w:tcPr>
          <w:p>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具备履行合同所必需的设备和专业技术能力声明函</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1.信息完整</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11" w:type="dxa"/>
            <w:vAlign w:val="center"/>
          </w:tcPr>
          <w:p>
            <w:pPr>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8</w:t>
            </w:r>
          </w:p>
        </w:tc>
        <w:tc>
          <w:tcPr>
            <w:tcW w:w="3504" w:type="dxa"/>
            <w:vAlign w:val="center"/>
          </w:tcPr>
          <w:p>
            <w:pPr>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参加政府采购活动前3年内在经营活动中没有重大违法记录的书面声明</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11" w:type="dxa"/>
            <w:vAlign w:val="center"/>
          </w:tcPr>
          <w:p>
            <w:pPr>
              <w:snapToGrid w:val="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9</w:t>
            </w:r>
          </w:p>
        </w:tc>
        <w:tc>
          <w:tcPr>
            <w:tcW w:w="3504" w:type="dxa"/>
            <w:vAlign w:val="center"/>
          </w:tcPr>
          <w:p>
            <w:pPr>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t>信用记录（</w:t>
            </w:r>
            <w:r>
              <w:rPr>
                <w:rFonts w:hint="eastAsia" w:ascii="仿宋" w:hAnsi="仿宋" w:eastAsia="仿宋" w:cs="仿宋"/>
                <w:color w:val="auto"/>
                <w:szCs w:val="21"/>
                <w:highlight w:val="none"/>
              </w:rPr>
              <w:t>采购人或采购代理机构将按照招标文件规定的审查期间内进行查询</w:t>
            </w:r>
            <w:r>
              <w:rPr>
                <w:rFonts w:hint="eastAsia" w:ascii="仿宋" w:hAnsi="仿宋" w:eastAsia="仿宋" w:cs="仿宋"/>
                <w:color w:val="auto"/>
                <w:highlight w:val="none"/>
              </w:rPr>
              <w:t>）</w:t>
            </w:r>
          </w:p>
        </w:tc>
        <w:tc>
          <w:tcPr>
            <w:tcW w:w="1808"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无投标须知22.2.1所述的不良记录</w:t>
            </w: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11" w:type="dxa"/>
            <w:vAlign w:val="center"/>
          </w:tcPr>
          <w:p>
            <w:pPr>
              <w:snapToGrid w:val="0"/>
              <w:jc w:val="center"/>
              <w:rPr>
                <w:rFonts w:hint="eastAsia" w:ascii="仿宋" w:hAnsi="仿宋" w:eastAsia="仿宋" w:cs="仿宋"/>
                <w:color w:val="auto"/>
                <w:highlight w:val="none"/>
              </w:rPr>
            </w:pPr>
          </w:p>
        </w:tc>
        <w:tc>
          <w:tcPr>
            <w:tcW w:w="3504" w:type="dxa"/>
            <w:vAlign w:val="center"/>
          </w:tcPr>
          <w:p>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结论</w:t>
            </w:r>
          </w:p>
        </w:tc>
        <w:tc>
          <w:tcPr>
            <w:tcW w:w="1808"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99"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77"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14"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bl>
    <w:p>
      <w:pPr>
        <w:snapToGrid w:val="0"/>
        <w:rPr>
          <w:rFonts w:hint="eastAsia" w:ascii="仿宋" w:hAnsi="仿宋" w:eastAsia="仿宋" w:cs="仿宋"/>
          <w:color w:val="auto"/>
          <w:highlight w:val="none"/>
        </w:rPr>
      </w:pPr>
      <w:r>
        <w:rPr>
          <w:rFonts w:hint="eastAsia" w:ascii="仿宋" w:hAnsi="仿宋" w:eastAsia="仿宋" w:cs="仿宋"/>
          <w:color w:val="auto"/>
          <w:highlight w:val="none"/>
        </w:rPr>
        <w:t>填表说明：1、每项内容审查合格，在表中填写“√”；不合格填写“×”</w:t>
      </w:r>
    </w:p>
    <w:p>
      <w:pPr>
        <w:snapToGrid w:val="0"/>
        <w:rPr>
          <w:rFonts w:hint="eastAsia" w:ascii="仿宋" w:hAnsi="仿宋" w:eastAsia="仿宋" w:cs="仿宋"/>
          <w:color w:val="auto"/>
          <w:highlight w:val="none"/>
        </w:rPr>
      </w:pPr>
      <w:r>
        <w:rPr>
          <w:rFonts w:hint="eastAsia" w:ascii="仿宋" w:hAnsi="仿宋" w:eastAsia="仿宋" w:cs="仿宋"/>
          <w:color w:val="auto"/>
          <w:highlight w:val="none"/>
        </w:rPr>
        <w:t xml:space="preserve">          2、审查结论填写“通过”或“不通过”</w:t>
      </w: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24"/>
        <w:widowControl w:val="0"/>
        <w:snapToGrid w:val="0"/>
        <w:spacing w:before="0" w:beforeAutospacing="0" w:after="0" w:afterAutospacing="0" w:line="48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审查人签字：</w:t>
      </w:r>
    </w:p>
    <w:p>
      <w:pPr>
        <w:pStyle w:val="24"/>
        <w:widowControl w:val="0"/>
        <w:snapToGrid w:val="0"/>
        <w:spacing w:before="0" w:beforeAutospacing="0" w:after="0" w:afterAutospacing="0" w:line="480" w:lineRule="auto"/>
        <w:jc w:val="both"/>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日      期：</w:t>
      </w:r>
    </w:p>
    <w:p>
      <w:pPr>
        <w:pStyle w:val="24"/>
        <w:widowControl w:val="0"/>
        <w:snapToGrid w:val="0"/>
        <w:spacing w:before="0" w:beforeAutospacing="0" w:after="0" w:afterAutospacing="0" w:line="480" w:lineRule="auto"/>
        <w:jc w:val="both"/>
        <w:rPr>
          <w:rFonts w:hint="eastAsia" w:ascii="仿宋" w:hAnsi="仿宋" w:eastAsia="仿宋" w:cs="仿宋"/>
          <w:bCs/>
          <w:color w:val="auto"/>
          <w:sz w:val="21"/>
          <w:szCs w:val="21"/>
          <w:highlight w:val="none"/>
        </w:rPr>
      </w:pPr>
    </w:p>
    <w:p>
      <w:pPr>
        <w:pStyle w:val="24"/>
        <w:widowControl w:val="0"/>
        <w:snapToGrid w:val="0"/>
        <w:spacing w:before="0" w:beforeAutospacing="0" w:after="0" w:afterAutospacing="0" w:line="480" w:lineRule="auto"/>
        <w:jc w:val="both"/>
        <w:rPr>
          <w:rFonts w:hint="eastAsia" w:ascii="仿宋" w:hAnsi="仿宋" w:eastAsia="仿宋" w:cs="仿宋"/>
          <w:bCs/>
          <w:color w:val="auto"/>
          <w:sz w:val="21"/>
          <w:szCs w:val="21"/>
          <w:highlight w:val="none"/>
        </w:rPr>
      </w:pPr>
    </w:p>
    <w:p>
      <w:pPr>
        <w:pStyle w:val="24"/>
        <w:widowControl w:val="0"/>
        <w:snapToGrid w:val="0"/>
        <w:spacing w:before="0" w:beforeAutospacing="0" w:after="0" w:afterAutospacing="0" w:line="480" w:lineRule="auto"/>
        <w:jc w:val="both"/>
        <w:rPr>
          <w:rFonts w:hint="eastAsia" w:ascii="仿宋" w:hAnsi="仿宋" w:eastAsia="仿宋" w:cs="仿宋"/>
          <w:b/>
          <w:color w:val="auto"/>
          <w:sz w:val="21"/>
          <w:szCs w:val="21"/>
          <w:highlight w:val="none"/>
        </w:rPr>
      </w:pPr>
    </w:p>
    <w:p>
      <w:pPr>
        <w:pStyle w:val="3"/>
        <w:adjustRightInd w:val="0"/>
        <w:snapToGrid w:val="0"/>
        <w:spacing w:before="0" w:after="0" w:line="240" w:lineRule="auto"/>
        <w:jc w:val="left"/>
        <w:rPr>
          <w:rFonts w:hint="eastAsia" w:ascii="仿宋" w:hAnsi="仿宋" w:eastAsia="仿宋" w:cs="仿宋"/>
          <w:color w:val="auto"/>
          <w:szCs w:val="28"/>
          <w:highlight w:val="none"/>
        </w:rPr>
      </w:pPr>
      <w:bookmarkStart w:id="128" w:name="_Toc11558_WPSOffice_Level2"/>
      <w:r>
        <w:rPr>
          <w:rFonts w:hint="eastAsia" w:ascii="仿宋" w:hAnsi="仿宋" w:eastAsia="仿宋" w:cs="仿宋"/>
          <w:color w:val="auto"/>
          <w:szCs w:val="28"/>
          <w:highlight w:val="none"/>
        </w:rPr>
        <w:br w:type="page"/>
      </w:r>
      <w:r>
        <w:rPr>
          <w:rFonts w:hint="eastAsia" w:ascii="仿宋" w:hAnsi="仿宋" w:eastAsia="仿宋" w:cs="仿宋"/>
          <w:color w:val="auto"/>
          <w:szCs w:val="28"/>
          <w:highlight w:val="none"/>
        </w:rPr>
        <w:t xml:space="preserve">附件2                  </w:t>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符合性审查表</w:t>
      </w:r>
      <w:bookmarkEnd w:id="128"/>
    </w:p>
    <w:tbl>
      <w:tblPr>
        <w:tblStyle w:val="28"/>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3415"/>
        <w:gridCol w:w="3090"/>
        <w:gridCol w:w="443"/>
        <w:gridCol w:w="695"/>
        <w:gridCol w:w="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0" w:type="dxa"/>
            <w:vMerge w:val="restart"/>
            <w:vAlign w:val="center"/>
          </w:tcPr>
          <w:p>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3415" w:type="dxa"/>
            <w:vMerge w:val="restart"/>
            <w:vAlign w:val="center"/>
          </w:tcPr>
          <w:p>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审查项目</w:t>
            </w:r>
          </w:p>
        </w:tc>
        <w:tc>
          <w:tcPr>
            <w:tcW w:w="3090" w:type="dxa"/>
            <w:vMerge w:val="restart"/>
            <w:vAlign w:val="center"/>
          </w:tcPr>
          <w:p>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审查标准</w:t>
            </w:r>
          </w:p>
        </w:tc>
        <w:tc>
          <w:tcPr>
            <w:tcW w:w="1683" w:type="dxa"/>
            <w:gridSpan w:val="3"/>
            <w:vAlign w:val="center"/>
          </w:tcPr>
          <w:p>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0" w:type="dxa"/>
            <w:vMerge w:val="continue"/>
            <w:vAlign w:val="center"/>
          </w:tcPr>
          <w:p>
            <w:pPr>
              <w:pStyle w:val="3"/>
              <w:adjustRightInd w:val="0"/>
              <w:snapToGrid w:val="0"/>
              <w:spacing w:before="0" w:after="0" w:line="240" w:lineRule="auto"/>
              <w:rPr>
                <w:rFonts w:hint="eastAsia" w:ascii="仿宋" w:hAnsi="仿宋" w:eastAsia="仿宋" w:cs="仿宋"/>
                <w:color w:val="auto"/>
                <w:highlight w:val="none"/>
              </w:rPr>
            </w:pPr>
          </w:p>
        </w:tc>
        <w:tc>
          <w:tcPr>
            <w:tcW w:w="3415" w:type="dxa"/>
            <w:vMerge w:val="continue"/>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3090" w:type="dxa"/>
            <w:vMerge w:val="continue"/>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443"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61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kern w:val="0"/>
                <w:sz w:val="20"/>
                <w:szCs w:val="21"/>
                <w:highlight w:val="none"/>
              </w:rPr>
              <w:t>1</w:t>
            </w:r>
          </w:p>
        </w:tc>
        <w:tc>
          <w:tcPr>
            <w:tcW w:w="3415" w:type="dxa"/>
            <w:vAlign w:val="center"/>
          </w:tcPr>
          <w:p>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投标函</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443"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10" w:type="dxa"/>
            <w:vAlign w:val="center"/>
          </w:tcPr>
          <w:p>
            <w:pPr>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2</w:t>
            </w:r>
          </w:p>
        </w:tc>
        <w:tc>
          <w:tcPr>
            <w:tcW w:w="3415" w:type="dxa"/>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递交投标保证金证明</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443"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vAlign w:val="center"/>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61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3</w:t>
            </w:r>
          </w:p>
        </w:tc>
        <w:tc>
          <w:tcPr>
            <w:tcW w:w="3415" w:type="dxa"/>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开标一览表</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61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4</w:t>
            </w:r>
          </w:p>
        </w:tc>
        <w:tc>
          <w:tcPr>
            <w:tcW w:w="3415" w:type="dxa"/>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分项报价表</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1.按给定格式填写，信息完整</w:t>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61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5</w:t>
            </w:r>
          </w:p>
        </w:tc>
        <w:tc>
          <w:tcPr>
            <w:tcW w:w="3415" w:type="dxa"/>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技术规格偏离表</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1.按给定格式及填表要求填写</w:t>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61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6</w:t>
            </w:r>
          </w:p>
        </w:tc>
        <w:tc>
          <w:tcPr>
            <w:tcW w:w="3415" w:type="dxa"/>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商务条款偏离表</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1.按给定格式及填表要求填写</w:t>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7</w:t>
            </w:r>
          </w:p>
        </w:tc>
        <w:tc>
          <w:tcPr>
            <w:tcW w:w="3415" w:type="dxa"/>
            <w:vAlign w:val="center"/>
          </w:tcPr>
          <w:p>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投标人关联单位说明</w:t>
            </w:r>
          </w:p>
        </w:tc>
        <w:tc>
          <w:tcPr>
            <w:tcW w:w="3090" w:type="dxa"/>
            <w:vAlign w:val="center"/>
          </w:tcPr>
          <w:p>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无投标须知1.5所述情形</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10" w:type="dxa"/>
            <w:vAlign w:val="center"/>
          </w:tcPr>
          <w:p>
            <w:pPr>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8</w:t>
            </w:r>
          </w:p>
        </w:tc>
        <w:tc>
          <w:tcPr>
            <w:tcW w:w="3415" w:type="dxa"/>
            <w:vAlign w:val="center"/>
          </w:tcPr>
          <w:p>
            <w:pPr>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1.响应招标文件实质性要求</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2.无投标须知26.2所述情形</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10" w:type="dxa"/>
            <w:vAlign w:val="center"/>
          </w:tcPr>
          <w:p>
            <w:pPr>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9</w:t>
            </w:r>
          </w:p>
        </w:tc>
        <w:tc>
          <w:tcPr>
            <w:tcW w:w="3415" w:type="dxa"/>
            <w:vAlign w:val="center"/>
          </w:tcPr>
          <w:p>
            <w:pPr>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电子文件和电子备份文件一致性承诺函</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610" w:type="dxa"/>
            <w:vAlign w:val="center"/>
          </w:tcPr>
          <w:p>
            <w:pPr>
              <w:spacing w:line="360" w:lineRule="exact"/>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10</w:t>
            </w:r>
          </w:p>
        </w:tc>
        <w:tc>
          <w:tcPr>
            <w:tcW w:w="3415" w:type="dxa"/>
            <w:vAlign w:val="center"/>
          </w:tcPr>
          <w:p>
            <w:pP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其他符合性证明材料：</w:t>
            </w:r>
          </w:p>
          <w:p>
            <w:pP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货物主要技术指标和性能的详细说明（产品技术说明书、官网技术参数截图、技术白皮书、产品彩页等文字资料、图纸和数据均可）</w:t>
            </w:r>
          </w:p>
        </w:tc>
        <w:tc>
          <w:tcPr>
            <w:tcW w:w="3090" w:type="dxa"/>
          </w:tcPr>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610" w:type="dxa"/>
            <w:vAlign w:val="center"/>
          </w:tcPr>
          <w:p>
            <w:pPr>
              <w:snapToGrid w:val="0"/>
              <w:jc w:val="center"/>
              <w:rPr>
                <w:rFonts w:hint="eastAsia" w:ascii="仿宋" w:hAnsi="仿宋" w:eastAsia="仿宋" w:cs="仿宋"/>
                <w:color w:val="auto"/>
                <w:highlight w:val="none"/>
              </w:rPr>
            </w:pPr>
          </w:p>
        </w:tc>
        <w:tc>
          <w:tcPr>
            <w:tcW w:w="3415" w:type="dxa"/>
            <w:vAlign w:val="center"/>
          </w:tcPr>
          <w:p>
            <w:pPr>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结论</w:t>
            </w:r>
          </w:p>
        </w:tc>
        <w:tc>
          <w:tcPr>
            <w:tcW w:w="3090"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443"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69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545" w:type="dxa"/>
          </w:tcPr>
          <w:p>
            <w:pPr>
              <w:pStyle w:val="3"/>
              <w:adjustRightInd w:val="0"/>
              <w:snapToGrid w:val="0"/>
              <w:spacing w:before="0" w:after="0" w:line="240" w:lineRule="auto"/>
              <w:rPr>
                <w:rFonts w:hint="eastAsia" w:ascii="仿宋" w:hAnsi="仿宋" w:eastAsia="仿宋" w:cs="仿宋"/>
                <w:color w:val="auto"/>
                <w:sz w:val="21"/>
                <w:szCs w:val="21"/>
                <w:highlight w:val="none"/>
              </w:rPr>
            </w:pPr>
          </w:p>
        </w:tc>
      </w:tr>
    </w:tbl>
    <w:p>
      <w:pPr>
        <w:ind w:right="-630" w:rightChars="-300"/>
        <w:rPr>
          <w:rFonts w:hint="eastAsia" w:ascii="仿宋" w:hAnsi="仿宋" w:eastAsia="仿宋" w:cs="仿宋"/>
          <w:color w:val="auto"/>
          <w:highlight w:val="none"/>
        </w:rPr>
      </w:pPr>
      <w:r>
        <w:rPr>
          <w:rFonts w:hint="eastAsia" w:ascii="仿宋" w:hAnsi="仿宋" w:eastAsia="仿宋" w:cs="仿宋"/>
          <w:color w:val="auto"/>
          <w:highlight w:val="none"/>
        </w:rPr>
        <w:t>注：1、进口产品的制造厂家的授权书（可视具体情况调整至符合性证明材料及符合性审查表中）</w:t>
      </w:r>
    </w:p>
    <w:p>
      <w:pPr>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2、《辽宁省创新产品和服务目录》内产品、服务证明材料（可视具体情况调整至符合性证明材料及符合性审查表中）</w:t>
      </w:r>
    </w:p>
    <w:p>
      <w:pPr>
        <w:rPr>
          <w:rFonts w:hint="eastAsia" w:ascii="仿宋" w:hAnsi="仿宋" w:eastAsia="仿宋" w:cs="仿宋"/>
          <w:color w:val="auto"/>
          <w:highlight w:val="none"/>
        </w:rPr>
      </w:pPr>
      <w:r>
        <w:rPr>
          <w:rFonts w:hint="eastAsia" w:ascii="仿宋" w:hAnsi="仿宋" w:eastAsia="仿宋" w:cs="仿宋"/>
          <w:color w:val="auto"/>
          <w:highlight w:val="none"/>
        </w:rPr>
        <w:t>填表说明：1、每项内容审查合格，在表中填写“√”；不合格填写“×”</w:t>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          2、审查结论填写“通过”或“不通过”</w:t>
      </w:r>
    </w:p>
    <w:p>
      <w:pPr>
        <w:pStyle w:val="24"/>
        <w:widowControl w:val="0"/>
        <w:snapToGrid w:val="0"/>
        <w:spacing w:before="0" w:beforeAutospacing="0" w:after="0" w:afterAutospacing="0" w:line="480" w:lineRule="auto"/>
        <w:ind w:left="5880" w:hanging="5880" w:hangingChars="28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审查人签字： </w:t>
      </w:r>
    </w:p>
    <w:p>
      <w:pPr>
        <w:pStyle w:val="24"/>
        <w:widowControl w:val="0"/>
        <w:snapToGrid w:val="0"/>
        <w:spacing w:before="0" w:beforeAutospacing="0" w:after="0" w:afterAutospacing="0" w:line="480" w:lineRule="auto"/>
        <w:ind w:left="5880" w:hanging="5880" w:hangingChars="28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日      期：</w:t>
      </w:r>
    </w:p>
    <w:p>
      <w:pPr>
        <w:pStyle w:val="24"/>
        <w:widowControl w:val="0"/>
        <w:snapToGrid w:val="0"/>
        <w:spacing w:before="0" w:beforeAutospacing="0" w:after="0" w:afterAutospacing="0" w:line="480" w:lineRule="auto"/>
        <w:ind w:left="5880" w:hanging="5880" w:hangingChars="2800"/>
        <w:rPr>
          <w:rFonts w:hint="eastAsia" w:ascii="仿宋" w:hAnsi="仿宋" w:eastAsia="仿宋" w:cs="仿宋"/>
          <w:bCs/>
          <w:color w:val="auto"/>
          <w:sz w:val="21"/>
          <w:szCs w:val="21"/>
          <w:highlight w:val="none"/>
        </w:rPr>
      </w:pPr>
    </w:p>
    <w:p>
      <w:pPr>
        <w:pStyle w:val="3"/>
        <w:adjustRightInd w:val="0"/>
        <w:snapToGrid w:val="0"/>
        <w:spacing w:before="0" w:after="0" w:line="240" w:lineRule="auto"/>
        <w:jc w:val="left"/>
        <w:rPr>
          <w:rFonts w:hint="eastAsia" w:ascii="仿宋" w:hAnsi="仿宋" w:eastAsia="仿宋" w:cs="仿宋"/>
          <w:color w:val="auto"/>
          <w:sz w:val="32"/>
          <w:szCs w:val="32"/>
          <w:highlight w:val="none"/>
        </w:rPr>
      </w:pPr>
      <w:r>
        <w:rPr>
          <w:rFonts w:hint="eastAsia" w:ascii="仿宋" w:hAnsi="仿宋" w:eastAsia="仿宋" w:cs="仿宋"/>
          <w:color w:val="auto"/>
          <w:szCs w:val="28"/>
          <w:highlight w:val="none"/>
        </w:rPr>
        <w:t xml:space="preserve">附件3                   </w:t>
      </w:r>
    </w:p>
    <w:p>
      <w:pPr>
        <w:jc w:val="center"/>
        <w:rPr>
          <w:rFonts w:hint="eastAsia" w:ascii="仿宋" w:hAnsi="仿宋" w:eastAsia="仿宋" w:cs="仿宋"/>
          <w:b/>
          <w:color w:val="auto"/>
          <w:sz w:val="32"/>
          <w:szCs w:val="32"/>
          <w:highlight w:val="none"/>
        </w:rPr>
      </w:pPr>
      <w:bookmarkStart w:id="129" w:name="_Toc25922_WPSOffice_Level1"/>
      <w:bookmarkStart w:id="130" w:name="_Toc19588"/>
      <w:r>
        <w:rPr>
          <w:rFonts w:hint="eastAsia" w:ascii="仿宋" w:hAnsi="仿宋" w:eastAsia="仿宋" w:cs="仿宋"/>
          <w:b/>
          <w:color w:val="auto"/>
          <w:sz w:val="32"/>
          <w:szCs w:val="32"/>
          <w:highlight w:val="none"/>
        </w:rPr>
        <w:t>评分细则</w:t>
      </w:r>
    </w:p>
    <w:p>
      <w:pPr>
        <w:numPr>
          <w:ilvl w:val="0"/>
          <w:numId w:val="7"/>
        </w:numPr>
        <w:jc w:val="left"/>
        <w:rPr>
          <w:rFonts w:hint="eastAsia" w:ascii="仿宋" w:hAnsi="仿宋" w:eastAsia="仿宋" w:cs="仿宋"/>
          <w:color w:val="auto"/>
          <w:highlight w:val="none"/>
        </w:rPr>
      </w:pPr>
      <w:r>
        <w:rPr>
          <w:rFonts w:hint="eastAsia" w:ascii="仿宋" w:hAnsi="仿宋" w:eastAsia="仿宋" w:cs="仿宋"/>
          <w:b/>
          <w:color w:val="auto"/>
          <w:szCs w:val="21"/>
          <w:highlight w:val="none"/>
        </w:rPr>
        <w:t>基本评分标准</w:t>
      </w:r>
    </w:p>
    <w:tbl>
      <w:tblPr>
        <w:tblStyle w:val="28"/>
        <w:tblpPr w:leftFromText="180" w:rightFromText="180" w:vertAnchor="text" w:horzAnchor="page" w:tblpX="1466" w:tblpY="544"/>
        <w:tblOverlap w:val="never"/>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9"/>
        <w:gridCol w:w="1276"/>
        <w:gridCol w:w="6102"/>
        <w:gridCol w:w="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7" w:hRule="atLeast"/>
        </w:trPr>
        <w:tc>
          <w:tcPr>
            <w:tcW w:w="2295" w:type="dxa"/>
            <w:gridSpan w:val="2"/>
            <w:vAlign w:val="center"/>
          </w:tcPr>
          <w:p>
            <w:pPr>
              <w:adjustRightInd w:val="0"/>
              <w:snapToGrid w:val="0"/>
              <w:ind w:firstLine="422"/>
              <w:jc w:val="center"/>
              <w:rPr>
                <w:rFonts w:hint="eastAsia" w:ascii="仿宋" w:hAnsi="仿宋" w:eastAsia="仿宋" w:cs="仿宋"/>
                <w:b/>
                <w:color w:val="auto"/>
                <w:szCs w:val="21"/>
              </w:rPr>
            </w:pPr>
            <w:r>
              <w:rPr>
                <w:rFonts w:hint="eastAsia" w:ascii="仿宋" w:hAnsi="仿宋" w:eastAsia="仿宋" w:cs="仿宋"/>
                <w:b/>
                <w:color w:val="auto"/>
                <w:szCs w:val="21"/>
              </w:rPr>
              <w:t>包号</w:t>
            </w:r>
          </w:p>
        </w:tc>
        <w:tc>
          <w:tcPr>
            <w:tcW w:w="6625" w:type="dxa"/>
            <w:gridSpan w:val="2"/>
            <w:vAlign w:val="center"/>
          </w:tcPr>
          <w:p>
            <w:pPr>
              <w:adjustRightInd w:val="0"/>
              <w:snapToGrid w:val="0"/>
              <w:ind w:firstLine="422"/>
              <w:jc w:val="center"/>
              <w:rPr>
                <w:rFonts w:hint="eastAsia" w:ascii="仿宋" w:hAnsi="仿宋" w:eastAsia="仿宋" w:cs="仿宋"/>
                <w:b/>
                <w:color w:val="auto"/>
                <w:szCs w:val="21"/>
                <w:lang w:eastAsia="zh-CN"/>
              </w:rPr>
            </w:pPr>
            <w:r>
              <w:rPr>
                <w:rFonts w:hint="eastAsia" w:ascii="仿宋" w:hAnsi="仿宋" w:eastAsia="仿宋" w:cs="仿宋"/>
                <w:b/>
                <w:color w:val="auto"/>
                <w:szCs w:val="21"/>
              </w:rPr>
              <w:t>00</w:t>
            </w:r>
            <w:r>
              <w:rPr>
                <w:rFonts w:hint="eastAsia" w:ascii="仿宋" w:hAnsi="仿宋" w:cs="仿宋"/>
                <w:b/>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5" w:hRule="atLeast"/>
        </w:trPr>
        <w:tc>
          <w:tcPr>
            <w:tcW w:w="1019" w:type="dxa"/>
            <w:vAlign w:val="center"/>
          </w:tcPr>
          <w:p>
            <w:pPr>
              <w:adjustRightInd w:val="0"/>
              <w:snapToGrid w:val="0"/>
              <w:ind w:firstLine="422"/>
              <w:jc w:val="center"/>
              <w:rPr>
                <w:rFonts w:hint="eastAsia" w:ascii="仿宋" w:hAnsi="仿宋" w:eastAsia="仿宋" w:cs="仿宋"/>
                <w:b/>
                <w:color w:val="auto"/>
                <w:szCs w:val="21"/>
              </w:rPr>
            </w:pPr>
            <w:r>
              <w:rPr>
                <w:rFonts w:hint="eastAsia" w:ascii="仿宋" w:hAnsi="仿宋" w:eastAsia="仿宋" w:cs="仿宋"/>
                <w:b/>
                <w:color w:val="auto"/>
                <w:szCs w:val="21"/>
              </w:rPr>
              <w:t>项目</w:t>
            </w:r>
          </w:p>
        </w:tc>
        <w:tc>
          <w:tcPr>
            <w:tcW w:w="1276" w:type="dxa"/>
            <w:vAlign w:val="center"/>
          </w:tcPr>
          <w:p>
            <w:pPr>
              <w:adjustRightInd w:val="0"/>
              <w:snapToGrid w:val="0"/>
              <w:ind w:firstLine="422"/>
              <w:jc w:val="center"/>
              <w:rPr>
                <w:rFonts w:hint="eastAsia" w:ascii="仿宋" w:hAnsi="仿宋" w:eastAsia="仿宋" w:cs="仿宋"/>
                <w:b/>
                <w:color w:val="auto"/>
                <w:szCs w:val="21"/>
              </w:rPr>
            </w:pPr>
            <w:r>
              <w:rPr>
                <w:rFonts w:hint="eastAsia" w:ascii="仿宋" w:hAnsi="仿宋" w:eastAsia="仿宋" w:cs="仿宋"/>
                <w:b/>
                <w:color w:val="auto"/>
                <w:szCs w:val="21"/>
              </w:rPr>
              <w:t>分项名称</w:t>
            </w:r>
          </w:p>
        </w:tc>
        <w:tc>
          <w:tcPr>
            <w:tcW w:w="6102" w:type="dxa"/>
            <w:vAlign w:val="center"/>
          </w:tcPr>
          <w:p>
            <w:pPr>
              <w:adjustRightInd w:val="0"/>
              <w:snapToGrid w:val="0"/>
              <w:ind w:firstLine="422"/>
              <w:jc w:val="center"/>
              <w:rPr>
                <w:rFonts w:hint="eastAsia" w:ascii="仿宋" w:hAnsi="仿宋" w:eastAsia="仿宋" w:cs="仿宋"/>
                <w:b/>
                <w:color w:val="auto"/>
                <w:szCs w:val="21"/>
              </w:rPr>
            </w:pPr>
            <w:r>
              <w:rPr>
                <w:rFonts w:hint="eastAsia" w:ascii="仿宋" w:hAnsi="仿宋" w:eastAsia="仿宋" w:cs="仿宋"/>
                <w:b/>
                <w:color w:val="auto"/>
                <w:szCs w:val="21"/>
              </w:rPr>
              <w:t>评分标准</w:t>
            </w:r>
          </w:p>
        </w:tc>
        <w:tc>
          <w:tcPr>
            <w:tcW w:w="523" w:type="dxa"/>
            <w:vAlign w:val="center"/>
          </w:tcPr>
          <w:p>
            <w:pPr>
              <w:adjustRightInd w:val="0"/>
              <w:snapToGrid w:val="0"/>
              <w:rPr>
                <w:rFonts w:hint="eastAsia" w:ascii="仿宋" w:hAnsi="仿宋" w:eastAsia="仿宋" w:cs="仿宋"/>
                <w:b/>
                <w:color w:val="auto"/>
                <w:szCs w:val="21"/>
              </w:rPr>
            </w:pPr>
            <w:r>
              <w:rPr>
                <w:rFonts w:hint="eastAsia" w:ascii="仿宋" w:hAnsi="仿宋" w:eastAsia="仿宋" w:cs="仿宋"/>
                <w:b/>
                <w:color w:val="auto"/>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trPr>
        <w:tc>
          <w:tcPr>
            <w:tcW w:w="1019"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价格部分</w:t>
            </w:r>
          </w:p>
        </w:tc>
        <w:tc>
          <w:tcPr>
            <w:tcW w:w="1276"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投标报价</w:t>
            </w:r>
          </w:p>
        </w:tc>
        <w:tc>
          <w:tcPr>
            <w:tcW w:w="6102" w:type="dxa"/>
            <w:vAlign w:val="center"/>
          </w:tcPr>
          <w:p>
            <w:pPr>
              <w:ind w:firstLine="420" w:firstLineChars="200"/>
              <w:rPr>
                <w:rFonts w:hint="eastAsia" w:ascii="仿宋" w:hAnsi="仿宋" w:eastAsia="仿宋" w:cs="仿宋"/>
                <w:color w:val="auto"/>
                <w:szCs w:val="21"/>
              </w:rPr>
            </w:pPr>
            <w:r>
              <w:rPr>
                <w:rFonts w:hint="eastAsia" w:ascii="仿宋" w:hAnsi="仿宋" w:eastAsia="仿宋" w:cs="仿宋"/>
                <w:color w:val="auto"/>
                <w:szCs w:val="21"/>
              </w:rPr>
              <w:t>供应商报价得分＝（评标基准价/投标报价）×30</w:t>
            </w:r>
          </w:p>
          <w:p>
            <w:pPr>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评标基准价为满足采购文件要求且投标价格最低的报价。得分结果四舍五入保留两位小数。</w:t>
            </w:r>
          </w:p>
        </w:tc>
        <w:tc>
          <w:tcPr>
            <w:tcW w:w="523"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trPr>
        <w:tc>
          <w:tcPr>
            <w:tcW w:w="1019" w:type="dxa"/>
            <w:vMerge w:val="restart"/>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技术部分</w:t>
            </w:r>
          </w:p>
        </w:tc>
        <w:tc>
          <w:tcPr>
            <w:tcW w:w="1276" w:type="dxa"/>
            <w:vAlign w:val="center"/>
          </w:tcPr>
          <w:p>
            <w:pPr>
              <w:pStyle w:val="24"/>
              <w:adjustRightInd w:val="0"/>
              <w:snapToGrid w:val="0"/>
              <w:spacing w:before="0" w:beforeAutospacing="0" w:after="0" w:afterAutospacing="0"/>
              <w:jc w:val="center"/>
              <w:rPr>
                <w:rFonts w:hint="eastAsia" w:ascii="仿宋" w:hAnsi="仿宋" w:eastAsia="仿宋" w:cs="仿宋"/>
                <w:color w:val="auto"/>
                <w:szCs w:val="21"/>
              </w:rPr>
            </w:pPr>
            <w:r>
              <w:rPr>
                <w:rFonts w:hint="eastAsia" w:ascii="仿宋" w:hAnsi="仿宋" w:eastAsia="仿宋" w:cs="仿宋"/>
                <w:color w:val="auto"/>
                <w:kern w:val="2"/>
                <w:sz w:val="21"/>
                <w:szCs w:val="21"/>
              </w:rPr>
              <w:t>产品技术参数要求</w:t>
            </w:r>
          </w:p>
        </w:tc>
        <w:tc>
          <w:tcPr>
            <w:tcW w:w="6102" w:type="dxa"/>
            <w:vAlign w:val="center"/>
          </w:tcPr>
          <w:p>
            <w:pPr>
              <w:adjustRightInd w:val="0"/>
              <w:snapToGrid w:val="0"/>
              <w:jc w:val="left"/>
              <w:rPr>
                <w:rFonts w:hint="eastAsia" w:ascii="仿宋" w:hAnsi="仿宋" w:eastAsia="仿宋" w:cs="仿宋"/>
                <w:color w:val="auto"/>
                <w:szCs w:val="21"/>
              </w:rPr>
            </w:pPr>
            <w:r>
              <w:rPr>
                <w:rFonts w:hint="eastAsia" w:ascii="仿宋" w:hAnsi="仿宋" w:eastAsia="仿宋" w:cs="仿宋"/>
                <w:color w:val="auto"/>
                <w:szCs w:val="21"/>
              </w:rPr>
              <w:t>实质性要求及重要指标用★标注，★标注项不得负偏离，如果负偏离，则投标文件无效。非★号为非重要技术指标。投标人应对招标文件要求的内容理解透彻，并按照标文件中所有产品技术参数要求进行逐条响应：非★标注项技术指标共计</w:t>
            </w:r>
            <w:r>
              <w:rPr>
                <w:rFonts w:hint="eastAsia" w:ascii="仿宋" w:hAnsi="仿宋" w:cs="仿宋"/>
                <w:color w:val="auto"/>
                <w:szCs w:val="21"/>
                <w:lang w:val="en-US" w:eastAsia="zh-CN"/>
              </w:rPr>
              <w:t>34</w:t>
            </w:r>
            <w:r>
              <w:rPr>
                <w:rFonts w:hint="eastAsia" w:ascii="仿宋" w:hAnsi="仿宋" w:eastAsia="仿宋" w:cs="仿宋"/>
                <w:color w:val="auto"/>
                <w:szCs w:val="21"/>
              </w:rPr>
              <w:t>项，全部满足得</w:t>
            </w:r>
            <w:r>
              <w:rPr>
                <w:rFonts w:hint="eastAsia" w:ascii="仿宋" w:hAnsi="仿宋" w:cs="仿宋"/>
                <w:color w:val="auto"/>
                <w:szCs w:val="21"/>
                <w:lang w:val="en-US" w:eastAsia="zh-CN"/>
              </w:rPr>
              <w:t>34</w:t>
            </w:r>
            <w:r>
              <w:rPr>
                <w:rFonts w:hint="eastAsia" w:ascii="仿宋" w:hAnsi="仿宋" w:eastAsia="仿宋" w:cs="仿宋"/>
                <w:color w:val="auto"/>
                <w:szCs w:val="21"/>
              </w:rPr>
              <w:t>分，每负偏离一项扣</w:t>
            </w:r>
            <w:r>
              <w:rPr>
                <w:rFonts w:hint="eastAsia" w:ascii="仿宋" w:hAnsi="仿宋" w:cs="仿宋"/>
                <w:color w:val="auto"/>
                <w:szCs w:val="21"/>
                <w:lang w:val="en-US" w:eastAsia="zh-CN"/>
              </w:rPr>
              <w:t>1</w:t>
            </w:r>
            <w:r>
              <w:rPr>
                <w:rFonts w:hint="eastAsia" w:ascii="仿宋" w:hAnsi="仿宋" w:eastAsia="仿宋" w:cs="仿宋"/>
                <w:color w:val="auto"/>
                <w:szCs w:val="21"/>
              </w:rPr>
              <w:t>分，扣完为止。</w:t>
            </w:r>
          </w:p>
          <w:p>
            <w:pPr>
              <w:adjustRightInd w:val="0"/>
              <w:snapToGrid w:val="0"/>
              <w:jc w:val="left"/>
              <w:rPr>
                <w:rFonts w:hint="eastAsia" w:ascii="仿宋" w:hAnsi="仿宋" w:eastAsia="仿宋" w:cs="仿宋"/>
                <w:color w:val="auto"/>
                <w:szCs w:val="21"/>
                <w:lang w:val="zh-CN"/>
              </w:rPr>
            </w:pPr>
            <w:r>
              <w:rPr>
                <w:rFonts w:hint="eastAsia" w:ascii="仿宋" w:hAnsi="仿宋" w:eastAsia="仿宋" w:cs="仿宋"/>
                <w:color w:val="auto"/>
                <w:szCs w:val="21"/>
              </w:rPr>
              <w:t>备注：技术指标的响应程度需提供有效证明材料，评标委员会根据投标人提供的技术证明文件对技术参数进行评判，而不以投标人自身应答及响应作为评标依据，投标人的技术参数仅做出响应而未提供证明文件的视为无效应答。</w:t>
            </w:r>
          </w:p>
        </w:tc>
        <w:tc>
          <w:tcPr>
            <w:tcW w:w="523" w:type="dxa"/>
            <w:vAlign w:val="center"/>
          </w:tcPr>
          <w:p>
            <w:pPr>
              <w:jc w:val="center"/>
              <w:textAlignment w:val="center"/>
              <w:rPr>
                <w:rFonts w:hint="default" w:ascii="仿宋" w:hAnsi="仿宋" w:eastAsia="仿宋" w:cs="仿宋"/>
                <w:color w:val="auto"/>
                <w:kern w:val="0"/>
                <w:szCs w:val="21"/>
                <w:lang w:val="en-US" w:eastAsia="zh-CN"/>
              </w:rPr>
            </w:pPr>
            <w:r>
              <w:rPr>
                <w:rFonts w:hint="eastAsia" w:ascii="仿宋" w:hAnsi="仿宋" w:cs="仿宋"/>
                <w:color w:val="auto"/>
                <w:kern w:val="0"/>
                <w:szCs w:val="21"/>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trPr>
        <w:tc>
          <w:tcPr>
            <w:tcW w:w="1019" w:type="dxa"/>
            <w:vMerge w:val="continue"/>
            <w:vAlign w:val="center"/>
          </w:tcPr>
          <w:p>
            <w:pPr>
              <w:adjustRightInd w:val="0"/>
              <w:snapToGrid w:val="0"/>
              <w:jc w:val="center"/>
              <w:rPr>
                <w:rFonts w:hint="eastAsia" w:ascii="仿宋" w:hAnsi="仿宋" w:eastAsia="仿宋" w:cs="仿宋"/>
                <w:color w:val="auto"/>
                <w:kern w:val="0"/>
                <w:szCs w:val="21"/>
              </w:rPr>
            </w:pPr>
          </w:p>
        </w:tc>
        <w:tc>
          <w:tcPr>
            <w:tcW w:w="1276"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供货方案</w:t>
            </w:r>
          </w:p>
        </w:tc>
        <w:tc>
          <w:tcPr>
            <w:tcW w:w="6102" w:type="dxa"/>
            <w:vAlign w:val="center"/>
          </w:tcPr>
          <w:p>
            <w:pPr>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供货方案至少包含下述3项要点，供货时间、运输条件、供货实施计划；</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（1）上述要点全部具备得</w:t>
            </w:r>
            <w:r>
              <w:rPr>
                <w:rFonts w:hint="eastAsia" w:ascii="仿宋" w:hAnsi="仿宋" w:cs="仿宋"/>
                <w:color w:val="auto"/>
                <w:szCs w:val="21"/>
                <w:lang w:val="en-US" w:eastAsia="zh-CN"/>
              </w:rPr>
              <w:t>1</w:t>
            </w:r>
            <w:r>
              <w:rPr>
                <w:rFonts w:hint="eastAsia" w:ascii="仿宋" w:hAnsi="仿宋" w:eastAsia="仿宋" w:cs="仿宋"/>
                <w:color w:val="auto"/>
                <w:szCs w:val="21"/>
              </w:rPr>
              <w:t>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（2）供货时间安排排序满足要求的，得1分；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（3）运输车辆配置可行的，得1分；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（4）供货实施计划流程时效清晰的，得2分。</w:t>
            </w:r>
          </w:p>
          <w:p>
            <w:pPr>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每项评分内容完全满足得相应分值，每项评分内容有瑕疵得0.5分，其他不得分。</w:t>
            </w:r>
            <w:r>
              <w:rPr>
                <w:rFonts w:hint="eastAsia" w:ascii="仿宋" w:hAnsi="仿宋" w:eastAsia="仿宋" w:cs="仿宋"/>
                <w:color w:val="auto"/>
              </w:rPr>
              <w:t>瑕疵指存在前后矛盾内容、未针对本项目编写、出现与本项目无关内容等任意一种情形。</w:t>
            </w:r>
          </w:p>
        </w:tc>
        <w:tc>
          <w:tcPr>
            <w:tcW w:w="523" w:type="dxa"/>
            <w:vAlign w:val="center"/>
          </w:tcPr>
          <w:p>
            <w:pPr>
              <w:adjustRightInd w:val="0"/>
              <w:snapToGrid w:val="0"/>
              <w:jc w:val="center"/>
              <w:rPr>
                <w:rFonts w:hint="eastAsia" w:ascii="仿宋" w:hAnsi="仿宋" w:eastAsia="仿宋" w:cs="仿宋"/>
                <w:color w:val="auto"/>
                <w:kern w:val="0"/>
                <w:szCs w:val="21"/>
                <w:lang w:eastAsia="zh-CN"/>
              </w:rPr>
            </w:pPr>
            <w:r>
              <w:rPr>
                <w:rFonts w:hint="eastAsia" w:ascii="仿宋" w:hAnsi="仿宋" w:cs="仿宋"/>
                <w:color w:val="auto"/>
                <w:kern w:val="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trPr>
        <w:tc>
          <w:tcPr>
            <w:tcW w:w="1019" w:type="dxa"/>
            <w:vMerge w:val="continue"/>
            <w:vAlign w:val="center"/>
          </w:tcPr>
          <w:p>
            <w:pPr>
              <w:adjustRightInd w:val="0"/>
              <w:snapToGrid w:val="0"/>
              <w:jc w:val="center"/>
              <w:rPr>
                <w:rFonts w:hint="eastAsia" w:ascii="仿宋" w:hAnsi="仿宋" w:eastAsia="仿宋" w:cs="仿宋"/>
                <w:color w:val="auto"/>
                <w:kern w:val="0"/>
                <w:szCs w:val="21"/>
              </w:rPr>
            </w:pPr>
          </w:p>
        </w:tc>
        <w:tc>
          <w:tcPr>
            <w:tcW w:w="1276"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安装调试</w:t>
            </w:r>
          </w:p>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方案</w:t>
            </w:r>
          </w:p>
        </w:tc>
        <w:tc>
          <w:tcPr>
            <w:tcW w:w="6102" w:type="dxa"/>
            <w:vAlign w:val="center"/>
          </w:tcPr>
          <w:p>
            <w:pPr>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安装调试方案至少包含下述3项要点，现场安装调试、现场验收测试、安装调试人员配置计划；</w:t>
            </w:r>
          </w:p>
          <w:p>
            <w:pPr>
              <w:pStyle w:val="19"/>
              <w:rPr>
                <w:rFonts w:hint="eastAsia" w:ascii="仿宋" w:hAnsi="仿宋" w:eastAsia="仿宋" w:cs="仿宋"/>
                <w:color w:val="auto"/>
              </w:rPr>
            </w:pPr>
            <w:r>
              <w:rPr>
                <w:rFonts w:hint="eastAsia" w:ascii="仿宋" w:hAnsi="仿宋" w:eastAsia="仿宋" w:cs="仿宋"/>
                <w:color w:val="auto"/>
              </w:rPr>
              <w:t>（1）上述要点全部具备得</w:t>
            </w:r>
            <w:r>
              <w:rPr>
                <w:rFonts w:hint="eastAsia" w:ascii="仿宋" w:hAnsi="仿宋" w:eastAsia="仿宋" w:cs="仿宋"/>
                <w:color w:val="auto"/>
                <w:lang w:val="en-US" w:eastAsia="zh-CN"/>
              </w:rPr>
              <w:t>2</w:t>
            </w:r>
            <w:r>
              <w:rPr>
                <w:rFonts w:hint="eastAsia" w:ascii="仿宋" w:hAnsi="仿宋" w:eastAsia="仿宋" w:cs="仿宋"/>
                <w:color w:val="auto"/>
              </w:rPr>
              <w:t>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（2）现场安装调试方法得当的得2分；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（3）现场验收测试方案流程清晰的得1分；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（4）安装调试人员配置计划满足时限的得1分。</w:t>
            </w:r>
          </w:p>
          <w:p>
            <w:pPr>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每项评分内容完全满足得相应分值，每项评分内容有瑕疵得0.5分，其他不得分。</w:t>
            </w:r>
            <w:r>
              <w:rPr>
                <w:rFonts w:hint="eastAsia" w:ascii="仿宋" w:hAnsi="仿宋" w:eastAsia="仿宋" w:cs="仿宋"/>
                <w:color w:val="auto"/>
              </w:rPr>
              <w:t>瑕疵指存在前后矛盾内容、未针对本项目编写、出现与本项目无关内容等任意一种情形。</w:t>
            </w:r>
          </w:p>
        </w:tc>
        <w:tc>
          <w:tcPr>
            <w:tcW w:w="523" w:type="dxa"/>
            <w:vAlign w:val="center"/>
          </w:tcPr>
          <w:p>
            <w:pPr>
              <w:adjustRightInd w:val="0"/>
              <w:snapToGrid w:val="0"/>
              <w:jc w:val="center"/>
              <w:rPr>
                <w:rFonts w:hint="eastAsia" w:ascii="仿宋" w:hAnsi="仿宋" w:eastAsia="仿宋" w:cs="仿宋"/>
                <w:color w:val="auto"/>
                <w:kern w:val="0"/>
                <w:szCs w:val="21"/>
                <w:lang w:eastAsia="zh-CN"/>
              </w:rPr>
            </w:pPr>
            <w:r>
              <w:rPr>
                <w:rFonts w:hint="eastAsia" w:ascii="仿宋" w:hAnsi="仿宋" w:eastAsia="仿宋" w:cs="仿宋"/>
                <w:color w:val="auto"/>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trPr>
        <w:tc>
          <w:tcPr>
            <w:tcW w:w="1019" w:type="dxa"/>
            <w:vMerge w:val="continue"/>
            <w:vAlign w:val="center"/>
          </w:tcPr>
          <w:p>
            <w:pPr>
              <w:adjustRightInd w:val="0"/>
              <w:snapToGrid w:val="0"/>
              <w:jc w:val="center"/>
              <w:rPr>
                <w:rFonts w:hint="eastAsia" w:ascii="仿宋" w:hAnsi="仿宋" w:eastAsia="仿宋" w:cs="仿宋"/>
                <w:color w:val="auto"/>
                <w:kern w:val="0"/>
                <w:szCs w:val="21"/>
              </w:rPr>
            </w:pPr>
          </w:p>
        </w:tc>
        <w:tc>
          <w:tcPr>
            <w:tcW w:w="1276"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质量保障方案</w:t>
            </w:r>
          </w:p>
        </w:tc>
        <w:tc>
          <w:tcPr>
            <w:tcW w:w="6102" w:type="dxa"/>
            <w:vAlign w:val="center"/>
          </w:tcPr>
          <w:p>
            <w:pPr>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质量保障方案至少包括下述3项要点，货物质量控制措施、货物质量管理制度、设施设备投入使用前安全管理工作等内容；</w:t>
            </w:r>
          </w:p>
          <w:p>
            <w:pPr>
              <w:pStyle w:val="19"/>
              <w:rPr>
                <w:rFonts w:hint="eastAsia" w:ascii="仿宋" w:hAnsi="仿宋" w:eastAsia="仿宋" w:cs="仿宋"/>
                <w:color w:val="auto"/>
              </w:rPr>
            </w:pPr>
            <w:r>
              <w:rPr>
                <w:rFonts w:hint="eastAsia" w:ascii="仿宋" w:hAnsi="仿宋" w:eastAsia="仿宋" w:cs="仿宋"/>
                <w:color w:val="auto"/>
              </w:rPr>
              <w:t>（1）上述要点全部具备得</w:t>
            </w:r>
            <w:r>
              <w:rPr>
                <w:rFonts w:hint="eastAsia" w:ascii="仿宋" w:hAnsi="仿宋" w:eastAsia="仿宋" w:cs="仿宋"/>
                <w:color w:val="auto"/>
                <w:lang w:val="en-US" w:eastAsia="zh-CN"/>
              </w:rPr>
              <w:t>2</w:t>
            </w:r>
            <w:r>
              <w:rPr>
                <w:rFonts w:hint="eastAsia" w:ascii="仿宋" w:hAnsi="仿宋" w:eastAsia="仿宋" w:cs="仿宋"/>
                <w:color w:val="auto"/>
              </w:rPr>
              <w:t>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（2）货物质量控制措施方法得当的得2分；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（3）货物质量管理制度可行的得</w:t>
            </w:r>
            <w:r>
              <w:rPr>
                <w:rFonts w:hint="eastAsia" w:ascii="仿宋" w:hAnsi="仿宋" w:eastAsia="仿宋" w:cs="仿宋"/>
                <w:color w:val="auto"/>
                <w:szCs w:val="21"/>
                <w:lang w:val="en-US" w:eastAsia="zh-CN"/>
              </w:rPr>
              <w:t>2</w:t>
            </w:r>
            <w:r>
              <w:rPr>
                <w:rFonts w:hint="eastAsia" w:ascii="仿宋" w:hAnsi="仿宋" w:eastAsia="仿宋" w:cs="仿宋"/>
                <w:color w:val="auto"/>
                <w:szCs w:val="21"/>
              </w:rPr>
              <w:t>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（4）设备投入使用前安全管理工作方案明确了人员责任的得</w:t>
            </w:r>
            <w:r>
              <w:rPr>
                <w:rFonts w:hint="eastAsia" w:ascii="仿宋" w:hAnsi="仿宋" w:eastAsia="仿宋" w:cs="仿宋"/>
                <w:color w:val="auto"/>
                <w:szCs w:val="21"/>
                <w:lang w:val="en-US" w:eastAsia="zh-CN"/>
              </w:rPr>
              <w:t>2</w:t>
            </w:r>
            <w:r>
              <w:rPr>
                <w:rFonts w:hint="eastAsia" w:ascii="仿宋" w:hAnsi="仿宋" w:eastAsia="仿宋" w:cs="仿宋"/>
                <w:color w:val="auto"/>
                <w:szCs w:val="21"/>
              </w:rPr>
              <w:t>分；</w:t>
            </w:r>
          </w:p>
          <w:p>
            <w:pPr>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每项评分内容完全满足得相应分值，每项评分内容有瑕疵得</w:t>
            </w:r>
            <w:r>
              <w:rPr>
                <w:rFonts w:hint="eastAsia" w:ascii="仿宋" w:hAnsi="仿宋" w:eastAsia="仿宋" w:cs="仿宋"/>
                <w:color w:val="auto"/>
                <w:szCs w:val="21"/>
                <w:lang w:val="en-US" w:eastAsia="zh-CN"/>
              </w:rPr>
              <w:t>1</w:t>
            </w:r>
            <w:r>
              <w:rPr>
                <w:rFonts w:hint="eastAsia" w:ascii="仿宋" w:hAnsi="仿宋" w:eastAsia="仿宋" w:cs="仿宋"/>
                <w:color w:val="auto"/>
                <w:szCs w:val="21"/>
              </w:rPr>
              <w:t>分，其他不得分。</w:t>
            </w:r>
            <w:r>
              <w:rPr>
                <w:rFonts w:hint="eastAsia" w:ascii="仿宋" w:hAnsi="仿宋" w:eastAsia="仿宋" w:cs="仿宋"/>
                <w:color w:val="auto"/>
              </w:rPr>
              <w:t>瑕疵指存在前后矛盾内容、未针对本项目编写、出现与本项目无关内容等任意一种情形。</w:t>
            </w:r>
          </w:p>
        </w:tc>
        <w:tc>
          <w:tcPr>
            <w:tcW w:w="523" w:type="dxa"/>
            <w:vAlign w:val="center"/>
          </w:tcPr>
          <w:p>
            <w:pPr>
              <w:adjustRightInd w:val="0"/>
              <w:snapToGrid w:val="0"/>
              <w:jc w:val="center"/>
              <w:rPr>
                <w:rFonts w:hint="eastAsia" w:ascii="仿宋" w:hAnsi="仿宋" w:eastAsia="仿宋" w:cs="仿宋"/>
                <w:color w:val="auto"/>
                <w:kern w:val="0"/>
                <w:szCs w:val="21"/>
                <w:lang w:eastAsia="zh-CN"/>
              </w:rPr>
            </w:pPr>
            <w:r>
              <w:rPr>
                <w:rFonts w:hint="eastAsia" w:ascii="仿宋" w:hAnsi="仿宋" w:eastAsia="仿宋" w:cs="仿宋"/>
                <w:color w:val="auto"/>
                <w:kern w:val="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19" w:type="dxa"/>
            <w:vMerge w:val="restart"/>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商务部分</w:t>
            </w:r>
          </w:p>
        </w:tc>
        <w:tc>
          <w:tcPr>
            <w:tcW w:w="1276"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szCs w:val="21"/>
              </w:rPr>
              <w:t>项目培训方案</w:t>
            </w:r>
          </w:p>
        </w:tc>
        <w:tc>
          <w:tcPr>
            <w:tcW w:w="6102" w:type="dxa"/>
            <w:vAlign w:val="center"/>
          </w:tcPr>
          <w:p>
            <w:pPr>
              <w:pStyle w:val="90"/>
              <w:ind w:firstLine="420" w:firstLineChars="200"/>
              <w:rPr>
                <w:rFonts w:hint="eastAsia" w:ascii="仿宋" w:hAnsi="仿宋" w:eastAsia="仿宋" w:cs="仿宋"/>
                <w:color w:val="auto"/>
                <w:szCs w:val="21"/>
              </w:rPr>
            </w:pPr>
            <w:r>
              <w:rPr>
                <w:rFonts w:hint="eastAsia" w:ascii="仿宋" w:hAnsi="仿宋" w:eastAsia="仿宋" w:cs="仿宋"/>
                <w:color w:val="auto"/>
                <w:szCs w:val="21"/>
              </w:rPr>
              <w:t>培训方案包含至少包括下述</w:t>
            </w:r>
            <w:r>
              <w:rPr>
                <w:rFonts w:hint="eastAsia" w:ascii="仿宋" w:hAnsi="仿宋" w:cs="仿宋"/>
                <w:color w:val="auto"/>
                <w:szCs w:val="21"/>
                <w:lang w:val="en-US" w:eastAsia="zh-CN"/>
              </w:rPr>
              <w:t>5</w:t>
            </w:r>
            <w:r>
              <w:rPr>
                <w:rFonts w:hint="eastAsia" w:ascii="仿宋" w:hAnsi="仿宋" w:eastAsia="仿宋" w:cs="仿宋"/>
                <w:color w:val="auto"/>
                <w:szCs w:val="21"/>
              </w:rPr>
              <w:t>项要点，培训目的、培训计划、培训内容、课程安排、培训次数；</w:t>
            </w:r>
          </w:p>
          <w:p>
            <w:pPr>
              <w:pStyle w:val="90"/>
              <w:rPr>
                <w:rFonts w:hint="eastAsia" w:ascii="仿宋" w:hAnsi="仿宋" w:eastAsia="仿宋" w:cs="仿宋"/>
                <w:color w:val="auto"/>
                <w:szCs w:val="21"/>
              </w:rPr>
            </w:pPr>
            <w:r>
              <w:rPr>
                <w:rFonts w:hint="eastAsia" w:ascii="仿宋" w:hAnsi="仿宋" w:eastAsia="仿宋" w:cs="仿宋"/>
                <w:color w:val="auto"/>
                <w:szCs w:val="21"/>
              </w:rPr>
              <w:t>（1）培训目的明确得1分；</w:t>
            </w:r>
          </w:p>
          <w:p>
            <w:pPr>
              <w:pStyle w:val="90"/>
              <w:rPr>
                <w:rFonts w:hint="eastAsia" w:ascii="仿宋" w:hAnsi="仿宋" w:eastAsia="仿宋" w:cs="仿宋"/>
                <w:color w:val="auto"/>
                <w:szCs w:val="21"/>
              </w:rPr>
            </w:pPr>
            <w:r>
              <w:rPr>
                <w:rFonts w:hint="eastAsia" w:ascii="仿宋" w:hAnsi="仿宋" w:eastAsia="仿宋" w:cs="仿宋"/>
                <w:color w:val="auto"/>
                <w:szCs w:val="21"/>
              </w:rPr>
              <w:t>（2）培训计划清晰得1分；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（3）培训内容全面，至少包括日常操作使用方法、常见故障维修、设备维护和保养，得1分；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（4）提供课程安排计划表的得1分；</w:t>
            </w:r>
          </w:p>
          <w:p>
            <w:pPr>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w:t>
            </w:r>
            <w:r>
              <w:rPr>
                <w:rFonts w:hint="eastAsia" w:ascii="仿宋" w:hAnsi="仿宋" w:cs="仿宋"/>
                <w:color w:val="auto"/>
                <w:szCs w:val="21"/>
                <w:lang w:val="en-US" w:eastAsia="zh-CN"/>
              </w:rPr>
              <w:t>5</w:t>
            </w:r>
            <w:r>
              <w:rPr>
                <w:rFonts w:hint="eastAsia" w:ascii="仿宋" w:hAnsi="仿宋" w:eastAsia="仿宋" w:cs="仿宋"/>
                <w:color w:val="auto"/>
                <w:szCs w:val="21"/>
              </w:rPr>
              <w:t>）提供至少2次培训，得1分。</w:t>
            </w:r>
          </w:p>
          <w:p>
            <w:pPr>
              <w:pStyle w:val="90"/>
              <w:ind w:firstLine="420" w:firstLineChars="200"/>
              <w:rPr>
                <w:rFonts w:hint="eastAsia" w:ascii="仿宋" w:hAnsi="仿宋" w:eastAsia="仿宋" w:cs="仿宋"/>
                <w:color w:val="auto"/>
                <w:szCs w:val="21"/>
              </w:rPr>
            </w:pPr>
            <w:r>
              <w:rPr>
                <w:rFonts w:hint="eastAsia" w:ascii="仿宋" w:hAnsi="仿宋" w:eastAsia="仿宋" w:cs="仿宋"/>
                <w:color w:val="auto"/>
                <w:szCs w:val="21"/>
              </w:rPr>
              <w:t>每项评分内容完全满足得相应分值，每项评分内容有瑕疵得0.5分，其他不得分。</w:t>
            </w:r>
            <w:r>
              <w:rPr>
                <w:rFonts w:hint="eastAsia" w:ascii="仿宋" w:hAnsi="仿宋" w:eastAsia="仿宋" w:cs="仿宋"/>
                <w:color w:val="auto"/>
              </w:rPr>
              <w:t>瑕疵指存在前后矛盾内容、未针对本项目编写、出现与本项目无关内容等任意一种情形。</w:t>
            </w:r>
          </w:p>
        </w:tc>
        <w:tc>
          <w:tcPr>
            <w:tcW w:w="523" w:type="dxa"/>
            <w:vAlign w:val="center"/>
          </w:tcPr>
          <w:p>
            <w:pPr>
              <w:adjustRightInd w:val="0"/>
              <w:snapToGrid w:val="0"/>
              <w:jc w:val="center"/>
              <w:rPr>
                <w:rFonts w:hint="eastAsia" w:ascii="仿宋" w:hAnsi="仿宋" w:eastAsia="仿宋" w:cs="仿宋"/>
                <w:color w:val="auto"/>
                <w:kern w:val="0"/>
                <w:szCs w:val="21"/>
                <w:lang w:eastAsia="zh-CN"/>
              </w:rPr>
            </w:pPr>
            <w:r>
              <w:rPr>
                <w:rFonts w:hint="eastAsia" w:ascii="仿宋" w:hAnsi="仿宋" w:cs="仿宋"/>
                <w:color w:val="auto"/>
                <w:kern w:val="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trPr>
        <w:tc>
          <w:tcPr>
            <w:tcW w:w="1019" w:type="dxa"/>
            <w:vMerge w:val="continue"/>
            <w:vAlign w:val="center"/>
          </w:tcPr>
          <w:p>
            <w:pPr>
              <w:adjustRightInd w:val="0"/>
              <w:snapToGrid w:val="0"/>
              <w:jc w:val="center"/>
              <w:rPr>
                <w:rFonts w:hint="eastAsia" w:ascii="仿宋" w:hAnsi="仿宋" w:eastAsia="仿宋" w:cs="仿宋"/>
                <w:color w:val="auto"/>
                <w:kern w:val="0"/>
                <w:szCs w:val="21"/>
              </w:rPr>
            </w:pPr>
          </w:p>
        </w:tc>
        <w:tc>
          <w:tcPr>
            <w:tcW w:w="1276"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szCs w:val="21"/>
              </w:rPr>
              <w:t>售后服务方案</w:t>
            </w:r>
          </w:p>
        </w:tc>
        <w:tc>
          <w:tcPr>
            <w:tcW w:w="6102" w:type="dxa"/>
            <w:vAlign w:val="center"/>
          </w:tcPr>
          <w:p>
            <w:pPr>
              <w:widowControl/>
              <w:adjustRightInd w:val="0"/>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售后服务方案至少包括下述4项要点，质保期内售后服务流程、售后服务响应时间</w:t>
            </w:r>
            <w:r>
              <w:rPr>
                <w:rFonts w:hint="eastAsia" w:ascii="仿宋" w:hAnsi="仿宋" w:eastAsia="仿宋" w:cs="仿宋"/>
                <w:color w:val="auto"/>
                <w:szCs w:val="21"/>
                <w:lang w:eastAsia="zh-CN"/>
              </w:rPr>
              <w:t>及维修到达服务时间</w:t>
            </w:r>
            <w:r>
              <w:rPr>
                <w:rFonts w:hint="eastAsia" w:ascii="仿宋" w:hAnsi="仿宋" w:eastAsia="仿宋" w:cs="仿宋"/>
                <w:color w:val="auto"/>
                <w:szCs w:val="21"/>
              </w:rPr>
              <w:t>、售后服务团队、质保期外服务：</w:t>
            </w:r>
          </w:p>
          <w:p>
            <w:pPr>
              <w:pStyle w:val="19"/>
              <w:rPr>
                <w:rFonts w:hint="eastAsia" w:ascii="仿宋" w:hAnsi="仿宋" w:eastAsia="仿宋" w:cs="仿宋"/>
                <w:color w:val="auto"/>
              </w:rPr>
            </w:pPr>
            <w:r>
              <w:rPr>
                <w:rFonts w:hint="eastAsia" w:ascii="仿宋" w:hAnsi="仿宋" w:eastAsia="仿宋" w:cs="仿宋"/>
                <w:color w:val="auto"/>
                <w:szCs w:val="21"/>
              </w:rPr>
              <w:t>（1）上述要点全部具备得1分；</w:t>
            </w:r>
          </w:p>
          <w:p>
            <w:pPr>
              <w:widowControl/>
              <w:adjustRightInd w:val="0"/>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（2）质保期内售后服务流程清晰可行，得2分；</w:t>
            </w:r>
          </w:p>
          <w:p>
            <w:pPr>
              <w:pStyle w:val="19"/>
              <w:rPr>
                <w:rFonts w:hint="eastAsia" w:ascii="仿宋" w:hAnsi="仿宋" w:eastAsia="仿宋" w:cs="仿宋"/>
                <w:color w:val="auto"/>
              </w:rPr>
            </w:pPr>
            <w:r>
              <w:rPr>
                <w:rFonts w:hint="eastAsia" w:ascii="仿宋" w:hAnsi="仿宋" w:eastAsia="仿宋" w:cs="仿宋"/>
                <w:color w:val="auto"/>
              </w:rPr>
              <w:t>（3）售后服务响应时间</w:t>
            </w:r>
            <w:r>
              <w:rPr>
                <w:rFonts w:hint="eastAsia" w:ascii="仿宋" w:hAnsi="仿宋" w:eastAsia="仿宋" w:cs="仿宋"/>
                <w:color w:val="auto"/>
                <w:lang w:eastAsia="zh-CN"/>
              </w:rPr>
              <w:t>及维修到达服务时间</w:t>
            </w:r>
            <w:r>
              <w:rPr>
                <w:rFonts w:hint="eastAsia" w:ascii="仿宋" w:hAnsi="仿宋" w:cs="仿宋"/>
                <w:color w:val="auto"/>
                <w:lang w:eastAsia="zh-CN"/>
              </w:rPr>
              <w:t>符合</w:t>
            </w:r>
            <w:r>
              <w:rPr>
                <w:rFonts w:hint="eastAsia" w:ascii="仿宋" w:hAnsi="仿宋" w:eastAsia="仿宋" w:cs="仿宋"/>
                <w:color w:val="auto"/>
              </w:rPr>
              <w:t>项目需求，得1分；</w:t>
            </w:r>
          </w:p>
          <w:p>
            <w:pPr>
              <w:widowControl/>
              <w:adjustRightInd w:val="0"/>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（4）售后服务团队人员的职责明确的，得1分；</w:t>
            </w:r>
          </w:p>
          <w:p>
            <w:pPr>
              <w:widowControl/>
              <w:adjustRightInd w:val="0"/>
              <w:snapToGrid w:val="0"/>
              <w:textAlignment w:val="center"/>
              <w:rPr>
                <w:rFonts w:hint="eastAsia" w:ascii="仿宋" w:hAnsi="仿宋" w:eastAsia="仿宋" w:cs="仿宋"/>
                <w:color w:val="auto"/>
                <w:szCs w:val="21"/>
              </w:rPr>
            </w:pPr>
            <w:r>
              <w:rPr>
                <w:rFonts w:hint="eastAsia" w:ascii="仿宋" w:hAnsi="仿宋" w:eastAsia="仿宋" w:cs="仿宋"/>
                <w:color w:val="auto"/>
                <w:szCs w:val="21"/>
              </w:rPr>
              <w:t>（5）提供了质保期外服务方案且内容可行的，得1分；</w:t>
            </w:r>
          </w:p>
          <w:p>
            <w:pPr>
              <w:widowControl/>
              <w:adjustRightInd w:val="0"/>
              <w:snapToGrid w:val="0"/>
              <w:ind w:firstLine="420" w:firstLineChars="200"/>
              <w:textAlignment w:val="center"/>
              <w:rPr>
                <w:rFonts w:hint="eastAsia" w:ascii="仿宋" w:hAnsi="仿宋" w:eastAsia="仿宋" w:cs="仿宋"/>
                <w:color w:val="auto"/>
                <w:szCs w:val="21"/>
              </w:rPr>
            </w:pPr>
            <w:r>
              <w:rPr>
                <w:rFonts w:hint="eastAsia" w:ascii="仿宋" w:hAnsi="仿宋" w:eastAsia="仿宋" w:cs="仿宋"/>
                <w:color w:val="auto"/>
                <w:szCs w:val="21"/>
              </w:rPr>
              <w:t>每项评分内容完全满足得相应分值，每项评分内容有瑕疵得0.5分，其他不得分。</w:t>
            </w:r>
            <w:r>
              <w:rPr>
                <w:rFonts w:hint="eastAsia" w:ascii="仿宋" w:hAnsi="仿宋" w:eastAsia="仿宋" w:cs="仿宋"/>
                <w:color w:val="auto"/>
              </w:rPr>
              <w:t>瑕疵指存在前后矛盾内容、未针对本项目编写、出现与本项目无关内容等任意一种情形。</w:t>
            </w:r>
          </w:p>
        </w:tc>
        <w:tc>
          <w:tcPr>
            <w:tcW w:w="523" w:type="dxa"/>
            <w:vAlign w:val="center"/>
          </w:tcPr>
          <w:p>
            <w:pPr>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 w:hRule="atLeast"/>
        </w:trPr>
        <w:tc>
          <w:tcPr>
            <w:tcW w:w="1019" w:type="dxa"/>
            <w:vMerge w:val="continue"/>
            <w:vAlign w:val="center"/>
          </w:tcPr>
          <w:p>
            <w:pPr>
              <w:adjustRightInd w:val="0"/>
              <w:snapToGrid w:val="0"/>
              <w:rPr>
                <w:rFonts w:hint="eastAsia" w:ascii="仿宋" w:hAnsi="仿宋" w:eastAsia="仿宋" w:cs="仿宋"/>
                <w:color w:val="auto"/>
                <w:kern w:val="0"/>
                <w:szCs w:val="21"/>
              </w:rPr>
            </w:pPr>
          </w:p>
        </w:tc>
        <w:tc>
          <w:tcPr>
            <w:tcW w:w="1276" w:type="dxa"/>
            <w:vAlign w:val="center"/>
          </w:tcPr>
          <w:p>
            <w:pPr>
              <w:adjustRightInd w:val="0"/>
              <w:snapToGrid w:val="0"/>
              <w:jc w:val="center"/>
              <w:rPr>
                <w:rFonts w:hint="eastAsia" w:ascii="仿宋" w:hAnsi="仿宋" w:eastAsia="仿宋" w:cs="仿宋"/>
                <w:color w:val="auto"/>
                <w:szCs w:val="21"/>
              </w:rPr>
            </w:pPr>
            <w:r>
              <w:rPr>
                <w:rFonts w:hint="eastAsia" w:ascii="仿宋" w:hAnsi="仿宋" w:eastAsia="仿宋" w:cs="仿宋"/>
                <w:color w:val="auto"/>
                <w:szCs w:val="21"/>
              </w:rPr>
              <w:t>类似业绩</w:t>
            </w:r>
          </w:p>
        </w:tc>
        <w:tc>
          <w:tcPr>
            <w:tcW w:w="6102" w:type="dxa"/>
            <w:vAlign w:val="center"/>
          </w:tcPr>
          <w:p>
            <w:pPr>
              <w:adjustRightInd w:val="0"/>
              <w:snapToGrid w:val="0"/>
              <w:ind w:firstLine="420" w:firstLineChars="200"/>
              <w:jc w:val="left"/>
              <w:textAlignment w:val="center"/>
              <w:rPr>
                <w:rFonts w:hint="eastAsia" w:ascii="仿宋" w:hAnsi="仿宋" w:eastAsia="仿宋" w:cs="仿宋"/>
                <w:color w:val="auto"/>
                <w:szCs w:val="21"/>
              </w:rPr>
            </w:pPr>
            <w:r>
              <w:rPr>
                <w:rFonts w:hint="eastAsia" w:ascii="仿宋" w:hAnsi="仿宋" w:eastAsia="仿宋" w:cs="仿宋"/>
                <w:color w:val="auto"/>
                <w:szCs w:val="21"/>
              </w:rPr>
              <w:t>评审内容：类似业绩；</w:t>
            </w:r>
          </w:p>
          <w:p>
            <w:pPr>
              <w:adjustRightInd w:val="0"/>
              <w:snapToGrid w:val="0"/>
              <w:ind w:firstLine="420" w:firstLineChars="200"/>
              <w:jc w:val="left"/>
              <w:textAlignment w:val="center"/>
              <w:rPr>
                <w:rFonts w:hint="eastAsia" w:ascii="仿宋" w:hAnsi="仿宋" w:eastAsia="仿宋" w:cs="仿宋"/>
                <w:color w:val="auto"/>
                <w:szCs w:val="21"/>
              </w:rPr>
            </w:pPr>
            <w:r>
              <w:rPr>
                <w:rFonts w:hint="eastAsia" w:ascii="仿宋" w:hAnsi="仿宋" w:eastAsia="仿宋" w:cs="仿宋"/>
                <w:color w:val="auto"/>
                <w:szCs w:val="21"/>
              </w:rPr>
              <w:t>评审标准：供应商提供类似产品销售业绩或所投核心产品生产厂商所投核心产品销售业绩，每提供一项得</w:t>
            </w:r>
            <w:r>
              <w:rPr>
                <w:rFonts w:hint="eastAsia" w:ascii="仿宋" w:hAnsi="仿宋" w:eastAsia="仿宋" w:cs="仿宋"/>
                <w:color w:val="auto"/>
                <w:szCs w:val="21"/>
                <w:lang w:val="en-US" w:eastAsia="zh-CN"/>
              </w:rPr>
              <w:t>2</w:t>
            </w:r>
            <w:r>
              <w:rPr>
                <w:rFonts w:hint="eastAsia" w:ascii="仿宋" w:hAnsi="仿宋" w:eastAsia="仿宋" w:cs="仿宋"/>
                <w:color w:val="auto"/>
                <w:szCs w:val="21"/>
              </w:rPr>
              <w:t>分，满分为</w:t>
            </w:r>
            <w:r>
              <w:rPr>
                <w:rFonts w:hint="eastAsia" w:ascii="仿宋" w:hAnsi="仿宋" w:cs="仿宋"/>
                <w:color w:val="auto"/>
                <w:szCs w:val="21"/>
                <w:lang w:val="en-US" w:eastAsia="zh-CN"/>
              </w:rPr>
              <w:t>6</w:t>
            </w:r>
            <w:r>
              <w:rPr>
                <w:rFonts w:hint="eastAsia" w:ascii="仿宋" w:hAnsi="仿宋" w:eastAsia="仿宋" w:cs="仿宋"/>
                <w:color w:val="auto"/>
                <w:szCs w:val="21"/>
              </w:rPr>
              <w:t>分。</w:t>
            </w:r>
          </w:p>
          <w:p>
            <w:pPr>
              <w:adjustRightInd w:val="0"/>
              <w:snapToGrid w:val="0"/>
              <w:ind w:firstLine="420" w:firstLineChars="200"/>
              <w:jc w:val="left"/>
              <w:textAlignment w:val="center"/>
              <w:rPr>
                <w:rFonts w:hint="eastAsia" w:ascii="仿宋" w:hAnsi="仿宋" w:eastAsia="仿宋" w:cs="仿宋"/>
                <w:color w:val="auto"/>
                <w:szCs w:val="21"/>
              </w:rPr>
            </w:pPr>
            <w:r>
              <w:rPr>
                <w:rFonts w:hint="eastAsia" w:ascii="仿宋" w:hAnsi="仿宋" w:eastAsia="仿宋" w:cs="仿宋"/>
                <w:color w:val="auto"/>
                <w:szCs w:val="21"/>
              </w:rPr>
              <w:t>注：业绩时间以合同签订时间为准，提供有效合同复印件，未提供或不满足不得分。</w:t>
            </w:r>
          </w:p>
        </w:tc>
        <w:tc>
          <w:tcPr>
            <w:tcW w:w="523" w:type="dxa"/>
            <w:vAlign w:val="center"/>
          </w:tcPr>
          <w:p>
            <w:pPr>
              <w:widowControl/>
              <w:adjustRightInd w:val="0"/>
              <w:snapToGrid w:val="0"/>
              <w:jc w:val="center"/>
              <w:rPr>
                <w:rFonts w:hint="eastAsia" w:ascii="仿宋" w:hAnsi="仿宋" w:eastAsia="仿宋" w:cs="仿宋"/>
                <w:color w:val="auto"/>
                <w:kern w:val="0"/>
                <w:szCs w:val="21"/>
                <w:lang w:val="en-US" w:eastAsia="zh-CN"/>
              </w:rPr>
            </w:pPr>
            <w:r>
              <w:rPr>
                <w:rFonts w:hint="eastAsia" w:ascii="仿宋" w:hAnsi="仿宋" w:cs="仿宋"/>
                <w:color w:val="auto"/>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4" w:hRule="atLeast"/>
        </w:trPr>
        <w:tc>
          <w:tcPr>
            <w:tcW w:w="2295" w:type="dxa"/>
            <w:gridSpan w:val="2"/>
            <w:vAlign w:val="center"/>
          </w:tcPr>
          <w:p>
            <w:pPr>
              <w:widowControl/>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合计</w:t>
            </w:r>
          </w:p>
        </w:tc>
        <w:tc>
          <w:tcPr>
            <w:tcW w:w="6625" w:type="dxa"/>
            <w:gridSpan w:val="2"/>
            <w:vAlign w:val="center"/>
          </w:tcPr>
          <w:p>
            <w:pPr>
              <w:widowControl/>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kern w:val="0"/>
                <w:szCs w:val="21"/>
              </w:rPr>
              <w:t>100</w:t>
            </w:r>
          </w:p>
        </w:tc>
      </w:tr>
    </w:tbl>
    <w:p>
      <w:pPr>
        <w:pStyle w:val="17"/>
        <w:rPr>
          <w:rFonts w:hint="eastAsia" w:ascii="仿宋" w:hAnsi="仿宋" w:eastAsia="仿宋" w:cs="仿宋"/>
          <w:color w:val="auto"/>
          <w:highlight w:val="none"/>
        </w:rPr>
      </w:pPr>
    </w:p>
    <w:p>
      <w:pPr>
        <w:numPr>
          <w:ilvl w:val="0"/>
          <w:numId w:val="8"/>
        </w:numP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加分项评分标准</w:t>
      </w:r>
    </w:p>
    <w:p>
      <w:pPr>
        <w:pStyle w:val="17"/>
        <w:rPr>
          <w:rFonts w:hint="eastAsia" w:ascii="仿宋" w:hAnsi="仿宋" w:eastAsia="仿宋" w:cs="仿宋"/>
          <w:color w:val="auto"/>
          <w:highlight w:val="none"/>
        </w:rPr>
      </w:pPr>
    </w:p>
    <w:tbl>
      <w:tblPr>
        <w:tblStyle w:val="28"/>
        <w:tblW w:w="8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7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加分</w:t>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因素</w:t>
            </w:r>
          </w:p>
        </w:tc>
        <w:tc>
          <w:tcPr>
            <w:tcW w:w="767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w:t>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w:t>
            </w:r>
          </w:p>
        </w:tc>
        <w:tc>
          <w:tcPr>
            <w:tcW w:w="7670"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对于清单中的投标产品价格给予价格部分总分值</w:t>
            </w:r>
            <w:r>
              <w:rPr>
                <w:rFonts w:hint="eastAsia" w:ascii="仿宋" w:hAnsi="仿宋" w:eastAsia="仿宋" w:cs="仿宋"/>
                <w:color w:val="auto"/>
                <w:kern w:val="0"/>
                <w:szCs w:val="21"/>
                <w:highlight w:val="none"/>
                <w:u w:val="single"/>
              </w:rPr>
              <w:t>2</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的加分，计算公式如下：</w:t>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节能产品加分＝（节能产品投标报价之和/投标总价）×价格部分总分值</w:t>
            </w:r>
            <w:r>
              <w:rPr>
                <w:rFonts w:hint="eastAsia" w:ascii="仿宋" w:hAnsi="仿宋" w:eastAsia="仿宋" w:cs="仿宋"/>
                <w:color w:val="auto"/>
                <w:szCs w:val="21"/>
                <w:highlight w:val="none"/>
                <w:u w:val="single"/>
              </w:rPr>
              <w:t>30</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2</w:t>
            </w:r>
            <w:r>
              <w:rPr>
                <w:rFonts w:hint="eastAsia" w:ascii="仿宋" w:hAnsi="仿宋" w:eastAsia="仿宋" w:cs="仿宋"/>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环保</w:t>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w:t>
            </w:r>
          </w:p>
        </w:tc>
        <w:tc>
          <w:tcPr>
            <w:tcW w:w="7670"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对于清单中的投标产品价格给予价格部分总分值</w:t>
            </w:r>
            <w:r>
              <w:rPr>
                <w:rFonts w:hint="eastAsia" w:ascii="仿宋" w:hAnsi="仿宋" w:eastAsia="仿宋" w:cs="仿宋"/>
                <w:color w:val="auto"/>
                <w:szCs w:val="21"/>
                <w:highlight w:val="none"/>
                <w:u w:val="single"/>
              </w:rPr>
              <w:t>2</w:t>
            </w:r>
            <w:r>
              <w:rPr>
                <w:rFonts w:hint="eastAsia" w:ascii="仿宋" w:hAnsi="仿宋" w:eastAsia="仿宋" w:cs="仿宋"/>
                <w:color w:val="auto"/>
                <w:szCs w:val="21"/>
                <w:highlight w:val="none"/>
              </w:rPr>
              <w:t>%的加分，计算公式如下：</w:t>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环保产品加分＝（环保产品投标报价之和/投标总价）×价格部分总分值</w:t>
            </w:r>
            <w:r>
              <w:rPr>
                <w:rFonts w:hint="eastAsia" w:ascii="仿宋" w:hAnsi="仿宋" w:eastAsia="仿宋" w:cs="仿宋"/>
                <w:color w:val="auto"/>
                <w:szCs w:val="21"/>
                <w:highlight w:val="none"/>
                <w:u w:val="single"/>
              </w:rPr>
              <w:t>30</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2</w:t>
            </w:r>
            <w:r>
              <w:rPr>
                <w:rFonts w:hint="eastAsia" w:ascii="仿宋" w:hAnsi="仿宋" w:eastAsia="仿宋" w:cs="仿宋"/>
                <w:color w:val="auto"/>
                <w:szCs w:val="21"/>
                <w:highlight w:val="none"/>
              </w:rPr>
              <w:t>%。</w:t>
            </w:r>
          </w:p>
        </w:tc>
      </w:tr>
    </w:tbl>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17"/>
        <w:rPr>
          <w:rFonts w:hint="eastAsia" w:ascii="仿宋" w:hAnsi="仿宋" w:eastAsia="仿宋" w:cs="仿宋"/>
          <w:color w:val="auto"/>
          <w:highlight w:val="none"/>
        </w:rPr>
      </w:pPr>
    </w:p>
    <w:p>
      <w:pPr>
        <w:pStyle w:val="2"/>
        <w:keepNext w:val="0"/>
        <w:adjustRightInd w:val="0"/>
        <w:snapToGrid w:val="0"/>
        <w:spacing w:before="0" w:after="0"/>
        <w:rPr>
          <w:rFonts w:hint="eastAsia" w:ascii="仿宋" w:hAnsi="仿宋" w:eastAsia="仿宋" w:cs="仿宋"/>
          <w:color w:val="auto"/>
          <w:szCs w:val="28"/>
          <w:highlight w:val="none"/>
        </w:rPr>
      </w:pPr>
      <w:r>
        <w:rPr>
          <w:rFonts w:hint="eastAsia" w:ascii="仿宋" w:hAnsi="仿宋" w:eastAsia="仿宋" w:cs="仿宋"/>
          <w:color w:val="auto"/>
          <w:highlight w:val="none"/>
        </w:rPr>
        <w:t>第五章 政府采购合同条款</w:t>
      </w:r>
      <w:bookmarkEnd w:id="129"/>
      <w:r>
        <w:rPr>
          <w:rFonts w:hint="eastAsia" w:ascii="仿宋" w:hAnsi="仿宋" w:eastAsia="仿宋" w:cs="仿宋"/>
          <w:color w:val="auto"/>
          <w:highlight w:val="none"/>
        </w:rPr>
        <w:t>及格式</w:t>
      </w:r>
      <w:bookmarkEnd w:id="130"/>
      <w:bookmarkStart w:id="131" w:name="_Toc23704_WPSOffice_Level1"/>
      <w:r>
        <w:rPr>
          <w:rFonts w:hint="eastAsia" w:ascii="仿宋" w:hAnsi="仿宋" w:eastAsia="仿宋" w:cs="仿宋"/>
          <w:color w:val="auto"/>
          <w:szCs w:val="28"/>
          <w:highlight w:val="none"/>
        </w:rPr>
        <w:br w:type="page"/>
      </w:r>
      <w:r>
        <w:rPr>
          <w:rFonts w:hint="eastAsia" w:ascii="仿宋" w:hAnsi="仿宋" w:eastAsia="仿宋" w:cs="仿宋"/>
          <w:color w:val="auto"/>
          <w:szCs w:val="28"/>
          <w:highlight w:val="none"/>
        </w:rPr>
        <w:t>合同条款</w:t>
      </w:r>
    </w:p>
    <w:p>
      <w:pPr>
        <w:spacing w:before="319" w:beforeLines="100" w:after="319" w:afterLines="100" w:line="480" w:lineRule="exact"/>
        <w:jc w:val="center"/>
        <w:rPr>
          <w:rFonts w:hint="eastAsia" w:ascii="仿宋" w:hAnsi="仿宋" w:eastAsia="仿宋" w:cs="仿宋"/>
          <w:b/>
          <w:color w:val="auto"/>
          <w:sz w:val="44"/>
          <w:szCs w:val="44"/>
          <w:highlight w:val="none"/>
        </w:rPr>
      </w:pPr>
      <w:bookmarkStart w:id="132" w:name="_Toc30224_WPSOffice_Level1"/>
      <w:r>
        <w:rPr>
          <w:rFonts w:hint="eastAsia" w:ascii="仿宋" w:hAnsi="仿宋" w:eastAsia="仿宋" w:cs="仿宋"/>
          <w:b/>
          <w:color w:val="auto"/>
          <w:sz w:val="44"/>
          <w:szCs w:val="44"/>
          <w:highlight w:val="none"/>
        </w:rPr>
        <w:t>政府采购合同条款</w:t>
      </w:r>
      <w:bookmarkEnd w:id="132"/>
    </w:p>
    <w:p>
      <w:pPr>
        <w:wordWrap w:val="0"/>
        <w:adjustRightInd w:val="0"/>
        <w:snapToGrid w:val="0"/>
        <w:spacing w:line="360" w:lineRule="auto"/>
        <w:jc w:val="right"/>
        <w:rPr>
          <w:rFonts w:hint="eastAsia" w:ascii="仿宋" w:hAnsi="仿宋" w:eastAsia="仿宋" w:cs="仿宋"/>
          <w:color w:val="auto"/>
          <w:szCs w:val="21"/>
          <w:highlight w:val="none"/>
        </w:rPr>
      </w:pPr>
    </w:p>
    <w:p>
      <w:pPr>
        <w:adjustRightInd w:val="0"/>
        <w:snapToGrid w:val="0"/>
        <w:spacing w:line="360" w:lineRule="auto"/>
        <w:ind w:firstLine="411" w:firstLineChars="196"/>
        <w:rPr>
          <w:rFonts w:hint="eastAsia" w:ascii="仿宋" w:hAnsi="仿宋" w:eastAsia="仿宋" w:cs="仿宋"/>
          <w:b/>
          <w:bCs/>
          <w:color w:val="auto"/>
          <w:szCs w:val="21"/>
          <w:highlight w:val="none"/>
        </w:rPr>
      </w:pPr>
      <w:bookmarkStart w:id="133" w:name="_Toc25596_WPSOffice_Level1"/>
      <w:bookmarkStart w:id="134" w:name="_Toc10117_WPSOffice_Level1"/>
      <w:bookmarkStart w:id="135" w:name="_Toc398_WPSOffice_Level1"/>
      <w:r>
        <w:rPr>
          <w:rFonts w:hint="eastAsia" w:ascii="仿宋" w:hAnsi="仿宋" w:eastAsia="仿宋" w:cs="仿宋"/>
          <w:b/>
          <w:bCs/>
          <w:color w:val="auto"/>
          <w:szCs w:val="21"/>
          <w:highlight w:val="none"/>
        </w:rPr>
        <w:t>1.术语定义</w:t>
      </w:r>
      <w:bookmarkEnd w:id="133"/>
      <w:bookmarkEnd w:id="134"/>
      <w:bookmarkEnd w:id="135"/>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本政府采购合同下列术语应解释为：</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1.5“需方”指项目基本内容及要求中所述取得货物和服务的采购人。</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1.6“供方”指项目基本内容及要求中所述提供产品和服务的中标人。</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1.8“验收书”指需方对供方履行政府采购合同情况及结果进行现场检验和评估意见的文件。</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1.10“保修期”指自验收书签署之日起，供方以自担费用方式保证政府采购合同货物正常运行的时期。</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1.11“第三人”是指本政府采购合同双方以外的任何中国境内外的自然人、法人或其它经济组织。</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1.12“法律、法规”是指由中国各级政府及有关部门制定的法律、行政法规、地方性法规、规章及其它规范性文件的有关规定。</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1.13“招标文件”指采购人或者采购代理机构发布的招标文件。</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1.14“投标文件”指供方按照采购代理机构招标文件的要求编制和递交，并最终被评标委员会接受的投标文件。</w:t>
      </w:r>
    </w:p>
    <w:p>
      <w:pPr>
        <w:rPr>
          <w:rFonts w:hint="eastAsia" w:ascii="仿宋" w:hAnsi="仿宋" w:eastAsia="仿宋" w:cs="仿宋"/>
          <w:color w:val="auto"/>
          <w:highlight w:val="none"/>
        </w:rPr>
      </w:pPr>
      <w:bookmarkStart w:id="136" w:name="_Toc750_WPSOffice_Level1"/>
      <w:bookmarkStart w:id="137" w:name="_Toc22454_WPSOffice_Level1"/>
      <w:bookmarkStart w:id="138" w:name="_Toc29737_WPSOffice_Level1"/>
      <w:r>
        <w:rPr>
          <w:rFonts w:hint="eastAsia" w:ascii="仿宋" w:hAnsi="仿宋" w:eastAsia="仿宋" w:cs="仿宋"/>
          <w:color w:val="auto"/>
          <w:highlight w:val="none"/>
        </w:rPr>
        <w:t>2.技术指标</w:t>
      </w:r>
      <w:bookmarkEnd w:id="136"/>
      <w:bookmarkEnd w:id="137"/>
      <w:bookmarkEnd w:id="138"/>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2.2 除技术指标另有规定外，计量单位应该使用公制。</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39" w:name="_Toc19640_WPSOffice_Level1"/>
      <w:bookmarkStart w:id="140" w:name="_Toc17648_WPSOffice_Level1"/>
      <w:bookmarkStart w:id="141" w:name="_Toc1538_WPSOffice_Level1"/>
      <w:r>
        <w:rPr>
          <w:rFonts w:hint="eastAsia" w:ascii="仿宋" w:hAnsi="仿宋" w:eastAsia="仿宋" w:cs="仿宋"/>
          <w:b/>
          <w:color w:val="auto"/>
          <w:szCs w:val="21"/>
          <w:highlight w:val="none"/>
        </w:rPr>
        <w:t>3.交货</w:t>
      </w:r>
      <w:bookmarkEnd w:id="139"/>
      <w:bookmarkEnd w:id="140"/>
      <w:bookmarkEnd w:id="141"/>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3.1供方按照合同约定的时间、地点交货</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42" w:name="_Toc11745_WPSOffice_Level1"/>
      <w:bookmarkStart w:id="143" w:name="_Toc15048_WPSOffice_Level1"/>
      <w:bookmarkStart w:id="144" w:name="_Toc1266_WPSOffice_Level1"/>
      <w:r>
        <w:rPr>
          <w:rFonts w:hint="eastAsia" w:ascii="仿宋" w:hAnsi="仿宋" w:eastAsia="仿宋" w:cs="仿宋"/>
          <w:b/>
          <w:color w:val="auto"/>
          <w:szCs w:val="21"/>
          <w:highlight w:val="none"/>
        </w:rPr>
        <w:t>4.合同金额</w:t>
      </w:r>
      <w:bookmarkEnd w:id="142"/>
      <w:bookmarkEnd w:id="143"/>
      <w:bookmarkEnd w:id="144"/>
    </w:p>
    <w:p>
      <w:pPr>
        <w:adjustRightInd w:val="0"/>
        <w:snapToGrid w:val="0"/>
        <w:spacing w:line="360" w:lineRule="auto"/>
        <w:ind w:firstLine="411" w:firstLineChars="196"/>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根据政府采购合同文件要求，确定政府采购合同的总金额。</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45" w:name="_Toc22359_WPSOffice_Level1"/>
      <w:bookmarkStart w:id="146" w:name="_Toc941_WPSOffice_Level1"/>
      <w:bookmarkStart w:id="147" w:name="_Toc11969_WPSOffice_Level1"/>
      <w:r>
        <w:rPr>
          <w:rFonts w:hint="eastAsia" w:ascii="仿宋" w:hAnsi="仿宋" w:eastAsia="仿宋" w:cs="仿宋"/>
          <w:b/>
          <w:color w:val="auto"/>
          <w:szCs w:val="21"/>
          <w:highlight w:val="none"/>
        </w:rPr>
        <w:t>5.付款</w:t>
      </w:r>
      <w:bookmarkEnd w:id="145"/>
      <w:bookmarkEnd w:id="146"/>
      <w:bookmarkEnd w:id="147"/>
    </w:p>
    <w:p>
      <w:pPr>
        <w:adjustRightInd w:val="0"/>
        <w:snapToGrid w:val="0"/>
        <w:spacing w:line="360" w:lineRule="auto"/>
        <w:ind w:firstLine="411" w:firstLineChars="196"/>
        <w:rPr>
          <w:rFonts w:hint="eastAsia" w:ascii="仿宋" w:hAnsi="仿宋" w:eastAsia="仿宋" w:cs="仿宋"/>
          <w:color w:val="auto"/>
          <w:szCs w:val="21"/>
          <w:highlight w:val="none"/>
          <w:u w:val="single"/>
        </w:rPr>
      </w:pPr>
      <w:bookmarkStart w:id="148" w:name="_Toc22351_WPSOffice_Level2"/>
      <w:r>
        <w:rPr>
          <w:rFonts w:hint="eastAsia" w:ascii="仿宋" w:hAnsi="仿宋" w:eastAsia="仿宋" w:cs="仿宋"/>
          <w:color w:val="auto"/>
          <w:szCs w:val="21"/>
          <w:highlight w:val="none"/>
        </w:rPr>
        <w:t>5.1付款方式、条件：需方按照合同约定的方式和条件付款。</w:t>
      </w:r>
      <w:bookmarkEnd w:id="148"/>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49" w:name="_Toc30478_WPSOffice_Level1"/>
      <w:bookmarkStart w:id="150" w:name="_Toc27769_WPSOffice_Level1"/>
      <w:bookmarkStart w:id="151" w:name="_Toc10526_WPSOffice_Level1"/>
      <w:r>
        <w:rPr>
          <w:rFonts w:hint="eastAsia" w:ascii="仿宋" w:hAnsi="仿宋" w:eastAsia="仿宋" w:cs="仿宋"/>
          <w:b/>
          <w:color w:val="auto"/>
          <w:szCs w:val="21"/>
          <w:highlight w:val="none"/>
        </w:rPr>
        <w:t>6.验收</w:t>
      </w:r>
      <w:bookmarkEnd w:id="149"/>
      <w:bookmarkEnd w:id="150"/>
      <w:bookmarkEnd w:id="151"/>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6.1供方提交的货物由需方或者需方的最终用户负责验收。</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6.2需方或者需方的最终用户应当按照采购合同规定的技术、服务等要求组织对供应商履约的验收，并出具验收书。验收书应当包括每一项技术、服务等要求的履约情况。</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6.3大型或者复杂的项目，应当邀请国家认可的质量检测机构参加验收。</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6.6货物保修期自验收书签署之日起计算。</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52" w:name="_Toc23127_WPSOffice_Level1"/>
      <w:bookmarkStart w:id="153" w:name="_Toc21868_WPSOffice_Level1"/>
      <w:bookmarkStart w:id="154" w:name="_Toc31292_WPSOffice_Level1"/>
      <w:r>
        <w:rPr>
          <w:rFonts w:hint="eastAsia" w:ascii="仿宋" w:hAnsi="仿宋" w:eastAsia="仿宋" w:cs="仿宋"/>
          <w:b/>
          <w:color w:val="auto"/>
          <w:szCs w:val="21"/>
          <w:highlight w:val="none"/>
        </w:rPr>
        <w:t>7.知识产权及有关规定</w:t>
      </w:r>
      <w:bookmarkEnd w:id="152"/>
      <w:bookmarkEnd w:id="153"/>
      <w:bookmarkEnd w:id="154"/>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7.4本合同中涉及保密和知识产权任何条款，在合同期限内及合同终止后持续有效。</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55" w:name="_Toc26796_WPSOffice_Level1"/>
      <w:bookmarkStart w:id="156" w:name="_Toc21090_WPSOffice_Level1"/>
      <w:bookmarkStart w:id="157" w:name="_Toc24765_WPSOffice_Level1"/>
      <w:r>
        <w:rPr>
          <w:rFonts w:hint="eastAsia" w:ascii="仿宋" w:hAnsi="仿宋" w:eastAsia="仿宋" w:cs="仿宋"/>
          <w:b/>
          <w:color w:val="auto"/>
          <w:szCs w:val="21"/>
          <w:highlight w:val="none"/>
        </w:rPr>
        <w:t>8.包装要求</w:t>
      </w:r>
      <w:bookmarkEnd w:id="155"/>
      <w:bookmarkEnd w:id="156"/>
      <w:bookmarkEnd w:id="157"/>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8.2每一个包装箱内应附一份详细的装箱单和质量合格证书。</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8.3包装费由供方承担，包装物不回收。</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58" w:name="_Toc2304_WPSOffice_Level1"/>
      <w:bookmarkStart w:id="159" w:name="_Toc1308_WPSOffice_Level1"/>
      <w:bookmarkStart w:id="160" w:name="_Toc26447_WPSOffice_Level1"/>
      <w:r>
        <w:rPr>
          <w:rFonts w:hint="eastAsia" w:ascii="仿宋" w:hAnsi="仿宋" w:eastAsia="仿宋" w:cs="仿宋"/>
          <w:b/>
          <w:color w:val="auto"/>
          <w:szCs w:val="21"/>
          <w:highlight w:val="none"/>
        </w:rPr>
        <w:t>9.伴随服务</w:t>
      </w:r>
      <w:bookmarkEnd w:id="158"/>
      <w:bookmarkEnd w:id="159"/>
      <w:bookmarkEnd w:id="160"/>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9.2供方还应提供下列服务：</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9.2.1货物的现场安装、启动和试运行；</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9.2.2提供货物组装和维修所需的工具；</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9.3伴随服务的费用应含在合同价中，不单独进行支付。</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61" w:name="_Toc14320_WPSOffice_Level1"/>
      <w:bookmarkStart w:id="162" w:name="_Toc8205_WPSOffice_Level1"/>
      <w:bookmarkStart w:id="163" w:name="_Toc7636_WPSOffice_Level1"/>
      <w:r>
        <w:rPr>
          <w:rFonts w:hint="eastAsia" w:ascii="仿宋" w:hAnsi="仿宋" w:eastAsia="仿宋" w:cs="仿宋"/>
          <w:b/>
          <w:color w:val="auto"/>
          <w:szCs w:val="21"/>
          <w:highlight w:val="none"/>
        </w:rPr>
        <w:t>10.质量保证期</w:t>
      </w:r>
      <w:bookmarkEnd w:id="161"/>
      <w:bookmarkEnd w:id="162"/>
      <w:bookmarkEnd w:id="163"/>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10.1以招标文件中的规定为准，如果投标文件中的承诺优于招标文件规定，则以投标文件为准。</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64" w:name="_Toc18427_WPSOffice_Level1"/>
      <w:bookmarkStart w:id="165" w:name="_Toc13950_WPSOffice_Level1"/>
      <w:bookmarkStart w:id="166" w:name="_Toc16220_WPSOffice_Level1"/>
      <w:r>
        <w:rPr>
          <w:rFonts w:hint="eastAsia" w:ascii="仿宋" w:hAnsi="仿宋" w:eastAsia="仿宋" w:cs="仿宋"/>
          <w:b/>
          <w:color w:val="auto"/>
          <w:szCs w:val="21"/>
          <w:highlight w:val="none"/>
        </w:rPr>
        <w:t>11.质量保证</w:t>
      </w:r>
      <w:bookmarkEnd w:id="164"/>
      <w:bookmarkEnd w:id="165"/>
      <w:bookmarkEnd w:id="166"/>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67" w:name="_Toc9090_WPSOffice_Level1"/>
      <w:bookmarkStart w:id="168" w:name="_Toc29469_WPSOffice_Level1"/>
      <w:bookmarkStart w:id="169" w:name="_Toc24667_WPSOffice_Level1"/>
      <w:r>
        <w:rPr>
          <w:rFonts w:hint="eastAsia" w:ascii="仿宋" w:hAnsi="仿宋" w:eastAsia="仿宋" w:cs="仿宋"/>
          <w:b/>
          <w:color w:val="auto"/>
          <w:szCs w:val="21"/>
          <w:highlight w:val="none"/>
        </w:rPr>
        <w:t>12.技术服务和保修责任</w:t>
      </w:r>
      <w:bookmarkEnd w:id="167"/>
      <w:bookmarkEnd w:id="168"/>
      <w:bookmarkEnd w:id="169"/>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12.2供方应按如下内容提供售后服务：</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12.2.6保修期内，供方应投标时的承诺提供相关服务。</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70" w:name="_Toc8548_WPSOffice_Level1"/>
      <w:bookmarkStart w:id="171" w:name="_Toc11781_WPSOffice_Level1"/>
      <w:bookmarkStart w:id="172" w:name="_Toc16924_WPSOffice_Level1"/>
      <w:r>
        <w:rPr>
          <w:rFonts w:hint="eastAsia" w:ascii="仿宋" w:hAnsi="仿宋" w:eastAsia="仿宋" w:cs="仿宋"/>
          <w:b/>
          <w:color w:val="auto"/>
          <w:szCs w:val="21"/>
          <w:highlight w:val="none"/>
        </w:rPr>
        <w:t>13.违约责任</w:t>
      </w:r>
      <w:bookmarkEnd w:id="170"/>
      <w:bookmarkEnd w:id="171"/>
      <w:bookmarkEnd w:id="172"/>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13.1.1在需方同意延长的期限内交付全部货物、提供服务并承担由此给需方造成的一切损失；</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13.3延期交货的违约责任</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13.4以上各项交付的违约金并不影响违约方履行政府采购合同的各项义务。</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73" w:name="_Toc21833_WPSOffice_Level1"/>
      <w:bookmarkStart w:id="174" w:name="_Toc32310_WPSOffice_Level1"/>
      <w:bookmarkStart w:id="175" w:name="_Toc28610_WPSOffice_Level1"/>
      <w:r>
        <w:rPr>
          <w:rFonts w:hint="eastAsia" w:ascii="仿宋" w:hAnsi="仿宋" w:eastAsia="仿宋" w:cs="仿宋"/>
          <w:b/>
          <w:color w:val="auto"/>
          <w:szCs w:val="21"/>
          <w:highlight w:val="none"/>
        </w:rPr>
        <w:t>14.不可抗力</w:t>
      </w:r>
      <w:bookmarkEnd w:id="173"/>
      <w:bookmarkEnd w:id="174"/>
      <w:bookmarkEnd w:id="175"/>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76" w:name="_Toc3262_WPSOffice_Level1"/>
      <w:bookmarkStart w:id="177" w:name="_Toc12037_WPSOffice_Level1"/>
      <w:bookmarkStart w:id="178" w:name="_Toc13390_WPSOffice_Level1"/>
      <w:r>
        <w:rPr>
          <w:rFonts w:hint="eastAsia" w:ascii="仿宋" w:hAnsi="仿宋" w:eastAsia="仿宋" w:cs="仿宋"/>
          <w:b/>
          <w:color w:val="auto"/>
          <w:szCs w:val="21"/>
          <w:highlight w:val="none"/>
        </w:rPr>
        <w:t>15.争端的解决</w:t>
      </w:r>
      <w:bookmarkEnd w:id="176"/>
      <w:bookmarkEnd w:id="177"/>
      <w:bookmarkEnd w:id="178"/>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15.1政府采购合同的履行、违约责任和解决争议的方法等适用《中华人民共和国民法典》。</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15.2需方和供方应通过友好协商，解决在执行本政府采购合同过程中所发生的或与本政府采购合同有关的一切争端。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15.3如果协商不成，双方中的任何一方可向需方所在地的人民法院提起诉讼。</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15.4因政府采购合同部分履行引发诉讼的，在诉讼期间，除正在进行诉讼的部分外，本政府采购合同的其它部分应继续执行。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79" w:name="_Toc27539_WPSOffice_Level1"/>
      <w:bookmarkStart w:id="180" w:name="_Toc1917_WPSOffice_Level1"/>
      <w:bookmarkStart w:id="181" w:name="_Toc7773_WPSOffice_Level1"/>
      <w:r>
        <w:rPr>
          <w:rFonts w:hint="eastAsia" w:ascii="仿宋" w:hAnsi="仿宋" w:eastAsia="仿宋" w:cs="仿宋"/>
          <w:b/>
          <w:color w:val="auto"/>
          <w:szCs w:val="21"/>
          <w:highlight w:val="none"/>
        </w:rPr>
        <w:t>16.违约终止政府采购合同</w:t>
      </w:r>
      <w:bookmarkEnd w:id="179"/>
      <w:bookmarkEnd w:id="180"/>
      <w:bookmarkEnd w:id="181"/>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16.1.1如果供方未能在政府采购合同规定的限期或需方同意延长的限期内提供部分或全部货物和服务；</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16.1.2未经需方事先书面同意，供方部分转让和分包或全部转让和分包其应履行的政府采购合同义务。</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82" w:name="_Toc11967_WPSOffice_Level1"/>
      <w:bookmarkStart w:id="183" w:name="_Toc4220_WPSOffice_Level1"/>
      <w:bookmarkStart w:id="184" w:name="_Toc27976_WPSOffice_Level1"/>
      <w:r>
        <w:rPr>
          <w:rFonts w:hint="eastAsia" w:ascii="仿宋" w:hAnsi="仿宋" w:eastAsia="仿宋" w:cs="仿宋"/>
          <w:b/>
          <w:color w:val="auto"/>
          <w:szCs w:val="21"/>
          <w:highlight w:val="none"/>
        </w:rPr>
        <w:t>17.政府采购合同转让和分包</w:t>
      </w:r>
      <w:bookmarkEnd w:id="182"/>
      <w:bookmarkEnd w:id="183"/>
      <w:bookmarkEnd w:id="184"/>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85" w:name="_Toc737_WPSOffice_Level1"/>
      <w:bookmarkStart w:id="186" w:name="_Toc16873_WPSOffice_Level1"/>
      <w:bookmarkStart w:id="187" w:name="_Toc30020_WPSOffice_Level1"/>
      <w:r>
        <w:rPr>
          <w:rFonts w:hint="eastAsia" w:ascii="仿宋" w:hAnsi="仿宋" w:eastAsia="仿宋" w:cs="仿宋"/>
          <w:b/>
          <w:color w:val="auto"/>
          <w:szCs w:val="21"/>
          <w:highlight w:val="none"/>
        </w:rPr>
        <w:t>18.适用法律：</w:t>
      </w:r>
      <w:bookmarkEnd w:id="185"/>
      <w:bookmarkEnd w:id="186"/>
      <w:bookmarkEnd w:id="187"/>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本政府采购合同按照中华人民共和国的现行法律进行解释。</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88" w:name="_Toc20985_WPSOffice_Level1"/>
      <w:bookmarkStart w:id="189" w:name="_Toc23749_WPSOffice_Level1"/>
      <w:bookmarkStart w:id="190" w:name="_Toc29009_WPSOffice_Level1"/>
      <w:r>
        <w:rPr>
          <w:rFonts w:hint="eastAsia" w:ascii="仿宋" w:hAnsi="仿宋" w:eastAsia="仿宋" w:cs="仿宋"/>
          <w:b/>
          <w:color w:val="auto"/>
          <w:szCs w:val="21"/>
          <w:highlight w:val="none"/>
        </w:rPr>
        <w:t>19.政府采购合同生效</w:t>
      </w:r>
      <w:bookmarkEnd w:id="188"/>
      <w:bookmarkEnd w:id="189"/>
      <w:bookmarkEnd w:id="190"/>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19.1本政府采购合同在供需双方法定代表人或其授权代理人签字和加盖公章后生效。</w:t>
      </w:r>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19.2本政府采购合同一式五份，需方执二份，供方、采购代理机构、财政部门各执一份。</w:t>
      </w:r>
    </w:p>
    <w:p>
      <w:pPr>
        <w:adjustRightInd w:val="0"/>
        <w:snapToGrid w:val="0"/>
        <w:spacing w:line="360" w:lineRule="auto"/>
        <w:ind w:firstLine="411" w:firstLineChars="196"/>
        <w:rPr>
          <w:rFonts w:hint="eastAsia" w:ascii="仿宋" w:hAnsi="仿宋" w:eastAsia="仿宋" w:cs="仿宋"/>
          <w:b/>
          <w:color w:val="auto"/>
          <w:szCs w:val="21"/>
          <w:highlight w:val="none"/>
        </w:rPr>
      </w:pPr>
      <w:bookmarkStart w:id="191" w:name="_Toc12339_WPSOffice_Level1"/>
      <w:bookmarkStart w:id="192" w:name="_Toc405_WPSOffice_Level1"/>
      <w:bookmarkStart w:id="193" w:name="_Toc20274_WPSOffice_Level1"/>
      <w:r>
        <w:rPr>
          <w:rFonts w:hint="eastAsia" w:ascii="仿宋" w:hAnsi="仿宋" w:eastAsia="仿宋" w:cs="仿宋"/>
          <w:b/>
          <w:color w:val="auto"/>
          <w:szCs w:val="21"/>
          <w:highlight w:val="none"/>
        </w:rPr>
        <w:t>20.政府采购合同附件</w:t>
      </w:r>
      <w:bookmarkEnd w:id="191"/>
      <w:bookmarkEnd w:id="192"/>
      <w:bookmarkEnd w:id="193"/>
    </w:p>
    <w:p>
      <w:pPr>
        <w:adjustRightInd w:val="0"/>
        <w:snapToGrid w:val="0"/>
        <w:spacing w:line="360" w:lineRule="auto"/>
        <w:ind w:firstLine="411" w:firstLineChars="196"/>
        <w:rPr>
          <w:rFonts w:hint="eastAsia" w:ascii="仿宋" w:hAnsi="仿宋" w:eastAsia="仿宋" w:cs="仿宋"/>
          <w:color w:val="auto"/>
          <w:szCs w:val="21"/>
          <w:highlight w:val="none"/>
        </w:rPr>
      </w:pPr>
      <w:r>
        <w:rPr>
          <w:rFonts w:hint="eastAsia" w:ascii="仿宋" w:hAnsi="仿宋" w:eastAsia="仿宋" w:cs="仿宋"/>
          <w:color w:val="auto"/>
          <w:szCs w:val="21"/>
          <w:highlight w:val="none"/>
        </w:rPr>
        <w:t>下列文件构成本政府采购合同不可分割的组成部分，与本政府采购合同具有同等法律效力：</w:t>
      </w:r>
    </w:p>
    <w:p>
      <w:pPr>
        <w:adjustRightInd w:val="0"/>
        <w:snapToGrid w:val="0"/>
        <w:spacing w:line="360" w:lineRule="auto"/>
        <w:ind w:firstLine="411" w:firstLineChars="196"/>
        <w:rPr>
          <w:rFonts w:hint="eastAsia" w:ascii="仿宋" w:hAnsi="仿宋" w:eastAsia="仿宋" w:cs="仿宋"/>
          <w:color w:val="auto"/>
          <w:szCs w:val="21"/>
          <w:highlight w:val="none"/>
        </w:rPr>
      </w:pPr>
      <w:bookmarkStart w:id="194" w:name="_Toc3518_WPSOffice_Level2"/>
      <w:r>
        <w:rPr>
          <w:rFonts w:hint="eastAsia" w:ascii="仿宋" w:hAnsi="仿宋" w:eastAsia="仿宋" w:cs="仿宋"/>
          <w:color w:val="auto"/>
          <w:szCs w:val="21"/>
          <w:highlight w:val="none"/>
        </w:rPr>
        <w:t>20.1招标文件；</w:t>
      </w:r>
      <w:bookmarkEnd w:id="194"/>
    </w:p>
    <w:p>
      <w:pPr>
        <w:adjustRightInd w:val="0"/>
        <w:snapToGrid w:val="0"/>
        <w:spacing w:line="360" w:lineRule="auto"/>
        <w:ind w:firstLine="411" w:firstLineChars="196"/>
        <w:rPr>
          <w:rFonts w:hint="eastAsia" w:ascii="仿宋" w:hAnsi="仿宋" w:eastAsia="仿宋" w:cs="仿宋"/>
          <w:color w:val="auto"/>
          <w:szCs w:val="21"/>
          <w:highlight w:val="none"/>
        </w:rPr>
      </w:pPr>
      <w:bookmarkStart w:id="195" w:name="_Toc7342_WPSOffice_Level2"/>
      <w:r>
        <w:rPr>
          <w:rFonts w:hint="eastAsia" w:ascii="仿宋" w:hAnsi="仿宋" w:eastAsia="仿宋" w:cs="仿宋"/>
          <w:color w:val="auto"/>
          <w:szCs w:val="21"/>
          <w:highlight w:val="none"/>
        </w:rPr>
        <w:t>20.2招标文件的更正公告、变更公告；</w:t>
      </w:r>
      <w:bookmarkEnd w:id="195"/>
    </w:p>
    <w:p>
      <w:pPr>
        <w:adjustRightInd w:val="0"/>
        <w:snapToGrid w:val="0"/>
        <w:spacing w:line="360" w:lineRule="auto"/>
        <w:ind w:firstLine="411" w:firstLineChars="196"/>
        <w:rPr>
          <w:rFonts w:hint="eastAsia" w:ascii="仿宋" w:hAnsi="仿宋" w:eastAsia="仿宋" w:cs="仿宋"/>
          <w:color w:val="auto"/>
          <w:szCs w:val="21"/>
          <w:highlight w:val="none"/>
        </w:rPr>
      </w:pPr>
      <w:bookmarkStart w:id="196" w:name="_Toc576_WPSOffice_Level2"/>
      <w:r>
        <w:rPr>
          <w:rFonts w:hint="eastAsia" w:ascii="仿宋" w:hAnsi="仿宋" w:eastAsia="仿宋" w:cs="仿宋"/>
          <w:color w:val="auto"/>
          <w:szCs w:val="21"/>
          <w:highlight w:val="none"/>
        </w:rPr>
        <w:t>20.3中标人提交的投标文件；</w:t>
      </w:r>
      <w:bookmarkEnd w:id="196"/>
    </w:p>
    <w:p>
      <w:pPr>
        <w:adjustRightInd w:val="0"/>
        <w:snapToGrid w:val="0"/>
        <w:spacing w:line="360" w:lineRule="auto"/>
        <w:ind w:firstLine="411" w:firstLineChars="196"/>
        <w:rPr>
          <w:rFonts w:hint="eastAsia" w:ascii="仿宋" w:hAnsi="仿宋" w:eastAsia="仿宋" w:cs="仿宋"/>
          <w:color w:val="auto"/>
          <w:szCs w:val="21"/>
          <w:highlight w:val="none"/>
        </w:rPr>
      </w:pPr>
      <w:bookmarkStart w:id="197" w:name="_Toc25464_WPSOffice_Level2"/>
      <w:r>
        <w:rPr>
          <w:rFonts w:hint="eastAsia" w:ascii="仿宋" w:hAnsi="仿宋" w:eastAsia="仿宋" w:cs="仿宋"/>
          <w:color w:val="auto"/>
          <w:szCs w:val="21"/>
          <w:highlight w:val="none"/>
        </w:rPr>
        <w:t>20.4政府采购合同条款；</w:t>
      </w:r>
      <w:bookmarkEnd w:id="197"/>
    </w:p>
    <w:p>
      <w:pPr>
        <w:adjustRightInd w:val="0"/>
        <w:snapToGrid w:val="0"/>
        <w:spacing w:line="360" w:lineRule="auto"/>
        <w:ind w:firstLine="411" w:firstLineChars="196"/>
        <w:rPr>
          <w:rFonts w:hint="eastAsia" w:ascii="仿宋" w:hAnsi="仿宋" w:eastAsia="仿宋" w:cs="仿宋"/>
          <w:color w:val="auto"/>
          <w:szCs w:val="21"/>
          <w:highlight w:val="none"/>
        </w:rPr>
      </w:pPr>
      <w:bookmarkStart w:id="198" w:name="_Toc25590_WPSOffice_Level2"/>
      <w:r>
        <w:rPr>
          <w:rFonts w:hint="eastAsia" w:ascii="仿宋" w:hAnsi="仿宋" w:eastAsia="仿宋" w:cs="仿宋"/>
          <w:color w:val="auto"/>
          <w:szCs w:val="21"/>
          <w:highlight w:val="none"/>
        </w:rPr>
        <w:t>20.5中标通知书；</w:t>
      </w:r>
      <w:bookmarkEnd w:id="198"/>
    </w:p>
    <w:p>
      <w:pPr>
        <w:adjustRightInd w:val="0"/>
        <w:snapToGrid w:val="0"/>
        <w:spacing w:line="360" w:lineRule="auto"/>
        <w:ind w:firstLine="411" w:firstLineChars="196"/>
        <w:rPr>
          <w:rFonts w:hint="eastAsia" w:ascii="仿宋" w:hAnsi="仿宋" w:eastAsia="仿宋" w:cs="仿宋"/>
          <w:color w:val="auto"/>
          <w:szCs w:val="21"/>
          <w:highlight w:val="none"/>
        </w:rPr>
      </w:pPr>
      <w:bookmarkStart w:id="199" w:name="_Toc10297_WPSOffice_Level2"/>
      <w:r>
        <w:rPr>
          <w:rFonts w:hint="eastAsia" w:ascii="仿宋" w:hAnsi="仿宋" w:eastAsia="仿宋" w:cs="仿宋"/>
          <w:color w:val="auto"/>
          <w:szCs w:val="21"/>
          <w:highlight w:val="none"/>
        </w:rPr>
        <w:t>20.6政府采购合同的其它附件。</w:t>
      </w:r>
      <w:bookmarkEnd w:id="199"/>
    </w:p>
    <w:p>
      <w:pPr>
        <w:ind w:firstLine="470" w:firstLineChars="196"/>
        <w:rPr>
          <w:rFonts w:hint="eastAsia" w:ascii="仿宋" w:hAnsi="仿宋" w:eastAsia="仿宋" w:cs="仿宋"/>
          <w:color w:val="auto"/>
          <w:sz w:val="24"/>
          <w:highlight w:val="none"/>
        </w:rPr>
      </w:pPr>
    </w:p>
    <w:p>
      <w:pPr>
        <w:ind w:firstLine="470" w:firstLineChars="196"/>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3"/>
        <w:adjustRightInd w:val="0"/>
        <w:snapToGrid w:val="0"/>
        <w:spacing w:before="0" w:after="0" w:line="240" w:lineRule="auto"/>
        <w:jc w:val="left"/>
        <w:rPr>
          <w:rFonts w:hint="eastAsia" w:ascii="仿宋" w:hAnsi="仿宋" w:eastAsia="仿宋" w:cs="仿宋"/>
          <w:color w:val="auto"/>
          <w:sz w:val="21"/>
          <w:szCs w:val="21"/>
          <w:highlight w:val="none"/>
        </w:rPr>
      </w:pPr>
      <w:bookmarkStart w:id="200" w:name="_Toc3044_WPSOffice_Level1"/>
      <w:bookmarkStart w:id="201" w:name="_Toc372_WPSOffice_Level1"/>
      <w:bookmarkStart w:id="202" w:name="_Toc7342_WPSOffice_Level1"/>
      <w:r>
        <w:rPr>
          <w:rFonts w:hint="eastAsia" w:ascii="仿宋" w:hAnsi="仿宋" w:eastAsia="仿宋" w:cs="仿宋"/>
          <w:color w:val="auto"/>
          <w:szCs w:val="28"/>
          <w:highlight w:val="none"/>
        </w:rPr>
        <w:t>合同格式</w:t>
      </w:r>
      <w:bookmarkEnd w:id="200"/>
      <w:bookmarkEnd w:id="201"/>
      <w:bookmarkEnd w:id="202"/>
    </w:p>
    <w:p>
      <w:pPr>
        <w:adjustRightInd w:val="0"/>
        <w:snapToGrid w:val="0"/>
        <w:spacing w:line="360" w:lineRule="auto"/>
        <w:jc w:val="center"/>
        <w:rPr>
          <w:rFonts w:hint="eastAsia" w:ascii="仿宋" w:hAnsi="仿宋" w:eastAsia="仿宋" w:cs="仿宋"/>
          <w:b/>
          <w:bCs/>
          <w:color w:val="auto"/>
          <w:sz w:val="44"/>
          <w:szCs w:val="44"/>
          <w:highlight w:val="none"/>
        </w:rPr>
      </w:pPr>
      <w:bookmarkStart w:id="203" w:name="_Toc7832_WPSOffice_Level1"/>
      <w:bookmarkStart w:id="204" w:name="_Toc11644_WPSOffice_Level1"/>
      <w:r>
        <w:rPr>
          <w:rFonts w:hint="eastAsia" w:ascii="仿宋" w:hAnsi="仿宋" w:eastAsia="仿宋" w:cs="仿宋"/>
          <w:b/>
          <w:bCs/>
          <w:color w:val="auto"/>
          <w:sz w:val="44"/>
          <w:szCs w:val="44"/>
          <w:highlight w:val="none"/>
        </w:rPr>
        <w:t>政府采购合同格式</w:t>
      </w:r>
      <w:bookmarkEnd w:id="203"/>
      <w:bookmarkEnd w:id="204"/>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政府采购合同编号：</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签订地点：</w:t>
      </w:r>
    </w:p>
    <w:p>
      <w:pPr>
        <w:adjustRightInd w:val="0"/>
        <w:snapToGrid w:val="0"/>
        <w:spacing w:line="360" w:lineRule="auto"/>
        <w:ind w:firstLine="64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(需方名称</w:t>
      </w:r>
      <w:r>
        <w:rPr>
          <w:rFonts w:hint="eastAsia" w:ascii="仿宋" w:hAnsi="仿宋" w:eastAsia="仿宋" w:cs="仿宋"/>
          <w:color w:val="auto"/>
          <w:szCs w:val="21"/>
          <w:highlight w:val="none"/>
        </w:rPr>
        <w:t>) （以下简称需方）和</w:t>
      </w:r>
      <w:r>
        <w:rPr>
          <w:rFonts w:hint="eastAsia" w:ascii="仿宋" w:hAnsi="仿宋" w:eastAsia="仿宋" w:cs="仿宋"/>
          <w:color w:val="auto"/>
          <w:szCs w:val="21"/>
          <w:highlight w:val="none"/>
          <w:u w:val="single"/>
        </w:rPr>
        <w:t xml:space="preserve">   (供方名称)    </w:t>
      </w:r>
      <w:r>
        <w:rPr>
          <w:rFonts w:hint="eastAsia" w:ascii="仿宋" w:hAnsi="仿宋" w:eastAsia="仿宋" w:cs="仿宋"/>
          <w:color w:val="auto"/>
          <w:szCs w:val="21"/>
          <w:highlight w:val="none"/>
        </w:rPr>
        <w:t xml:space="preserve"> （以下简称供方）根据《中华人民共和国民法典》和有关法律法规，遵循平等、自愿、公平和诚实信用原则，同意按照下面的条款和条件订立本政府采购合同，共同信守。</w:t>
      </w:r>
    </w:p>
    <w:p>
      <w:pPr>
        <w:adjustRightInd w:val="0"/>
        <w:snapToGrid w:val="0"/>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w:t>
      </w:r>
      <w:bookmarkStart w:id="205" w:name="_Toc13230_WPSOffice_Level2"/>
      <w:r>
        <w:rPr>
          <w:rFonts w:hint="eastAsia" w:ascii="仿宋" w:hAnsi="仿宋" w:eastAsia="仿宋" w:cs="仿宋"/>
          <w:b/>
          <w:color w:val="auto"/>
          <w:szCs w:val="21"/>
          <w:highlight w:val="none"/>
        </w:rPr>
        <w:t>一、政府采购合同文件</w:t>
      </w:r>
      <w:bookmarkEnd w:id="205"/>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本政府采购合同所附下列文件是构成本政府采购合同不可分割的部分：</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1.招标文件（招标文件编号）；</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2.招标文件的更正公告、变更公告；</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3.中标人提交的投标文件；</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4.政府采购合同条款；</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5.中标通知书；</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6.政府采购合同的其它附件。</w:t>
      </w:r>
    </w:p>
    <w:p>
      <w:pPr>
        <w:adjustRightInd w:val="0"/>
        <w:snapToGrid w:val="0"/>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w:t>
      </w:r>
      <w:bookmarkStart w:id="206" w:name="_Toc19527_WPSOffice_Level2"/>
      <w:r>
        <w:rPr>
          <w:rFonts w:hint="eastAsia" w:ascii="仿宋" w:hAnsi="仿宋" w:eastAsia="仿宋" w:cs="仿宋"/>
          <w:b/>
          <w:color w:val="auto"/>
          <w:szCs w:val="21"/>
          <w:highlight w:val="none"/>
        </w:rPr>
        <w:t>二、政府采购合同范围和条件</w:t>
      </w:r>
      <w:bookmarkEnd w:id="206"/>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本政府采购合同的范围和条件与上述政府采购合同文件的规定相一致。</w:t>
      </w:r>
    </w:p>
    <w:p>
      <w:pPr>
        <w:adjustRightInd w:val="0"/>
        <w:snapToGrid w:val="0"/>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w:t>
      </w:r>
      <w:bookmarkStart w:id="207" w:name="_Toc18050_WPSOffice_Level2"/>
      <w:r>
        <w:rPr>
          <w:rFonts w:hint="eastAsia" w:ascii="仿宋" w:hAnsi="仿宋" w:eastAsia="仿宋" w:cs="仿宋"/>
          <w:b/>
          <w:color w:val="auto"/>
          <w:szCs w:val="21"/>
          <w:highlight w:val="none"/>
        </w:rPr>
        <w:t>三、政府采购合同标的</w:t>
      </w:r>
      <w:bookmarkEnd w:id="207"/>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本政府采购合同的标的为招标文件中所列货物及相关服务。</w:t>
      </w:r>
    </w:p>
    <w:p>
      <w:pPr>
        <w:adjustRightInd w:val="0"/>
        <w:snapToGrid w:val="0"/>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w:t>
      </w:r>
      <w:bookmarkStart w:id="208" w:name="_Toc27886_WPSOffice_Level2"/>
      <w:r>
        <w:rPr>
          <w:rFonts w:hint="eastAsia" w:ascii="仿宋" w:hAnsi="仿宋" w:eastAsia="仿宋" w:cs="仿宋"/>
          <w:b/>
          <w:color w:val="auto"/>
          <w:szCs w:val="21"/>
          <w:highlight w:val="none"/>
        </w:rPr>
        <w:t>四、政府采购合同金额</w:t>
      </w:r>
      <w:bookmarkEnd w:id="208"/>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根据上述政府采购合同文件要求，政府采购合同的总金额为人民币</w:t>
      </w:r>
      <w:r>
        <w:rPr>
          <w:rFonts w:hint="eastAsia" w:ascii="仿宋" w:hAnsi="仿宋" w:eastAsia="仿宋" w:cs="仿宋"/>
          <w:color w:val="auto"/>
          <w:szCs w:val="21"/>
          <w:highlight w:val="none"/>
          <w:u w:val="single"/>
        </w:rPr>
        <w:t xml:space="preserve">  （大写）                </w:t>
      </w:r>
      <w:r>
        <w:rPr>
          <w:rFonts w:hint="eastAsia" w:ascii="仿宋" w:hAnsi="仿宋" w:eastAsia="仿宋" w:cs="仿宋"/>
          <w:color w:val="auto"/>
          <w:szCs w:val="21"/>
          <w:highlight w:val="none"/>
        </w:rPr>
        <w:t xml:space="preserve"> 元。</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注：存在分项产品的必须清晰列明分项产品明细，包括名称、数量、分项报价等，并作为合同组成部分。</w:t>
      </w:r>
    </w:p>
    <w:p>
      <w:pPr>
        <w:adjustRightInd w:val="0"/>
        <w:snapToGrid w:val="0"/>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w:t>
      </w:r>
      <w:bookmarkStart w:id="209" w:name="_Toc22211_WPSOffice_Level2"/>
      <w:r>
        <w:rPr>
          <w:rFonts w:hint="eastAsia" w:ascii="仿宋" w:hAnsi="仿宋" w:eastAsia="仿宋" w:cs="仿宋"/>
          <w:b/>
          <w:color w:val="auto"/>
          <w:szCs w:val="21"/>
          <w:highlight w:val="none"/>
        </w:rPr>
        <w:t>五、付款方式及条件</w:t>
      </w:r>
      <w:bookmarkEnd w:id="209"/>
    </w:p>
    <w:p>
      <w:pPr>
        <w:adjustRightInd w:val="0"/>
        <w:snapToGrid w:val="0"/>
        <w:spacing w:line="360" w:lineRule="auto"/>
        <w:jc w:val="left"/>
        <w:rPr>
          <w:rFonts w:hint="eastAsia" w:ascii="仿宋" w:hAnsi="仿宋" w:eastAsia="仿宋" w:cs="仿宋"/>
          <w:b/>
          <w:color w:val="auto"/>
          <w:szCs w:val="21"/>
          <w:highlight w:val="none"/>
        </w:rPr>
      </w:pP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　　</w:t>
      </w:r>
      <w:bookmarkStart w:id="210" w:name="_Toc27813_WPSOffice_Level2"/>
      <w:r>
        <w:rPr>
          <w:rFonts w:hint="eastAsia" w:ascii="仿宋" w:hAnsi="仿宋" w:eastAsia="仿宋" w:cs="仿宋"/>
          <w:b/>
          <w:color w:val="auto"/>
          <w:szCs w:val="21"/>
          <w:highlight w:val="none"/>
        </w:rPr>
        <w:t>六、交货时间和交货地点</w:t>
      </w:r>
      <w:bookmarkEnd w:id="210"/>
    </w:p>
    <w:p>
      <w:pPr>
        <w:adjustRightInd w:val="0"/>
        <w:snapToGrid w:val="0"/>
        <w:spacing w:line="360" w:lineRule="auto"/>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1.交货时间：</w:t>
      </w:r>
    </w:p>
    <w:p>
      <w:pPr>
        <w:adjustRightInd w:val="0"/>
        <w:snapToGrid w:val="0"/>
        <w:spacing w:line="360" w:lineRule="auto"/>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2.交货地点：</w:t>
      </w:r>
    </w:p>
    <w:p>
      <w:pPr>
        <w:adjustRightInd w:val="0"/>
        <w:snapToGrid w:val="0"/>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w:t>
      </w:r>
      <w:bookmarkStart w:id="211" w:name="_Toc12497_WPSOffice_Level2"/>
      <w:r>
        <w:rPr>
          <w:rFonts w:hint="eastAsia" w:ascii="仿宋" w:hAnsi="仿宋" w:eastAsia="仿宋" w:cs="仿宋"/>
          <w:b/>
          <w:color w:val="auto"/>
          <w:szCs w:val="21"/>
          <w:highlight w:val="none"/>
        </w:rPr>
        <w:t>七、验收要求</w:t>
      </w:r>
      <w:bookmarkEnd w:id="211"/>
    </w:p>
    <w:p>
      <w:pPr>
        <w:adjustRightInd w:val="0"/>
        <w:snapToGrid w:val="0"/>
        <w:spacing w:line="360" w:lineRule="auto"/>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供方完全履行合同义务后，需方或需方的最终用户按照上述政府采购合同文件列明的标准进行验收，验收不合格的，供方需按照第八条第2款的约定承担相应违约责任。</w:t>
      </w:r>
    </w:p>
    <w:p>
      <w:pPr>
        <w:adjustRightInd w:val="0"/>
        <w:snapToGrid w:val="0"/>
        <w:spacing w:line="360" w:lineRule="auto"/>
        <w:jc w:val="left"/>
        <w:rPr>
          <w:rFonts w:hint="eastAsia" w:ascii="仿宋" w:hAnsi="仿宋" w:eastAsia="仿宋" w:cs="仿宋"/>
          <w:b/>
          <w:color w:val="auto"/>
          <w:szCs w:val="21"/>
          <w:highlight w:val="none"/>
        </w:rPr>
      </w:pPr>
      <w:bookmarkStart w:id="212" w:name="_Toc4868_WPSOffice_Level2"/>
      <w:r>
        <w:rPr>
          <w:rFonts w:hint="eastAsia" w:ascii="仿宋" w:hAnsi="仿宋" w:eastAsia="仿宋" w:cs="仿宋"/>
          <w:b/>
          <w:color w:val="auto"/>
          <w:szCs w:val="21"/>
          <w:highlight w:val="none"/>
        </w:rPr>
        <w:t>八、违约责任</w:t>
      </w:r>
      <w:bookmarkEnd w:id="212"/>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1.供方逾期供货的，每逾期一天向需方支付逾期供货金额%的违约金，逾期日的，需方有权单方面解除本协议。</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3.需方逾期付款的，每逾期一天向供方支付逾期金额%的违约金，逾期日的，供方有权单方面解除本协议。</w:t>
      </w:r>
    </w:p>
    <w:p>
      <w:pPr>
        <w:adjustRightInd w:val="0"/>
        <w:snapToGrid w:val="0"/>
        <w:spacing w:line="360" w:lineRule="auto"/>
        <w:jc w:val="left"/>
        <w:rPr>
          <w:rFonts w:hint="eastAsia" w:ascii="仿宋" w:hAnsi="仿宋" w:eastAsia="仿宋" w:cs="仿宋"/>
          <w:b/>
          <w:color w:val="auto"/>
          <w:szCs w:val="21"/>
          <w:highlight w:val="none"/>
        </w:rPr>
      </w:pPr>
      <w:bookmarkStart w:id="213" w:name="_Toc24496_WPSOffice_Level2"/>
      <w:r>
        <w:rPr>
          <w:rFonts w:hint="eastAsia" w:ascii="仿宋" w:hAnsi="仿宋" w:eastAsia="仿宋" w:cs="仿宋"/>
          <w:b/>
          <w:color w:val="auto"/>
          <w:szCs w:val="21"/>
          <w:highlight w:val="none"/>
        </w:rPr>
        <w:t>九、争议解决</w:t>
      </w:r>
      <w:bookmarkEnd w:id="213"/>
    </w:p>
    <w:p>
      <w:pPr>
        <w:adjustRightInd w:val="0"/>
        <w:snapToGrid w:val="0"/>
        <w:spacing w:line="360" w:lineRule="auto"/>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    双方因履行本协议而产生的争议，应友好协商解决，协商不成的，任何一方可向需方所在地的人民法院提起诉讼。</w:t>
      </w:r>
    </w:p>
    <w:p>
      <w:pPr>
        <w:adjustRightInd w:val="0"/>
        <w:snapToGrid w:val="0"/>
        <w:spacing w:line="360" w:lineRule="auto"/>
        <w:jc w:val="left"/>
        <w:rPr>
          <w:rFonts w:hint="eastAsia" w:ascii="仿宋" w:hAnsi="仿宋" w:eastAsia="仿宋" w:cs="仿宋"/>
          <w:b/>
          <w:color w:val="auto"/>
          <w:szCs w:val="21"/>
          <w:highlight w:val="none"/>
        </w:rPr>
      </w:pPr>
      <w:bookmarkStart w:id="214" w:name="_Toc24974_WPSOffice_Level2"/>
      <w:r>
        <w:rPr>
          <w:rFonts w:hint="eastAsia" w:ascii="仿宋" w:hAnsi="仿宋" w:eastAsia="仿宋" w:cs="仿宋"/>
          <w:b/>
          <w:color w:val="auto"/>
          <w:szCs w:val="21"/>
          <w:highlight w:val="none"/>
        </w:rPr>
        <w:t>十、合同生效</w:t>
      </w:r>
      <w:bookmarkEnd w:id="214"/>
    </w:p>
    <w:p>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本政府采购合同经双方授权代表签字盖章后生效。</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需方（公章）:                         供方(公章):</w:t>
      </w:r>
    </w:p>
    <w:p>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法定代表人或授权代表人(签字):         法定代表人或授权代表人(签字):</w:t>
      </w:r>
    </w:p>
    <w:p>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地址：                                地址：</w:t>
      </w:r>
    </w:p>
    <w:p>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联系人：                              联系人：</w:t>
      </w:r>
    </w:p>
    <w:p>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电话：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电话：</w:t>
      </w:r>
    </w:p>
    <w:p>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传真：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传真：</w:t>
      </w:r>
    </w:p>
    <w:p>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邮编：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邮编：</w:t>
      </w:r>
    </w:p>
    <w:p>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年      月      日</w:t>
      </w:r>
      <w:r>
        <w:rPr>
          <w:rFonts w:hint="eastAsia" w:ascii="仿宋" w:hAnsi="仿宋" w:eastAsia="仿宋" w:cs="仿宋"/>
          <w:color w:val="auto"/>
          <w:szCs w:val="21"/>
          <w:highlight w:val="none"/>
        </w:rPr>
        <w:t xml:space="preserve">        日期：</w:t>
      </w:r>
      <w:r>
        <w:rPr>
          <w:rFonts w:hint="eastAsia" w:ascii="仿宋" w:hAnsi="仿宋" w:eastAsia="仿宋" w:cs="仿宋"/>
          <w:color w:val="auto"/>
          <w:szCs w:val="21"/>
          <w:highlight w:val="none"/>
          <w:u w:val="single"/>
        </w:rPr>
        <w:t xml:space="preserve">       年      月     日</w:t>
      </w:r>
    </w:p>
    <w:p>
      <w:pPr>
        <w:widowControl/>
        <w:jc w:val="left"/>
        <w:rPr>
          <w:rFonts w:hint="eastAsia" w:ascii="仿宋" w:hAnsi="仿宋" w:eastAsia="仿宋" w:cs="仿宋"/>
          <w:b/>
          <w:color w:val="auto"/>
          <w:sz w:val="28"/>
          <w:szCs w:val="28"/>
          <w:highlight w:val="none"/>
        </w:rPr>
      </w:pPr>
    </w:p>
    <w:bookmarkEnd w:id="131"/>
    <w:p>
      <w:pPr>
        <w:wordWrap w:val="0"/>
        <w:adjustRightInd w:val="0"/>
        <w:snapToGrid w:val="0"/>
        <w:spacing w:line="360" w:lineRule="auto"/>
        <w:jc w:val="right"/>
        <w:rPr>
          <w:rFonts w:hint="eastAsia" w:ascii="仿宋" w:hAnsi="仿宋" w:eastAsia="仿宋" w:cs="仿宋"/>
          <w:color w:val="auto"/>
          <w:szCs w:val="21"/>
          <w:highlight w:val="none"/>
        </w:rPr>
      </w:pPr>
    </w:p>
    <w:p>
      <w:pPr>
        <w:wordWrap w:val="0"/>
        <w:adjustRightInd w:val="0"/>
        <w:snapToGrid w:val="0"/>
        <w:spacing w:line="360" w:lineRule="auto"/>
        <w:jc w:val="right"/>
        <w:rPr>
          <w:rFonts w:hint="eastAsia" w:ascii="仿宋" w:hAnsi="仿宋" w:eastAsia="仿宋" w:cs="仿宋"/>
          <w:color w:val="auto"/>
          <w:szCs w:val="21"/>
          <w:highlight w:val="none"/>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MicrosoftYaHei">
    <w:altName w:val="微软雅黑"/>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pPr>
                            <w:pStyle w:val="17"/>
                            <w:jc w:val="center"/>
                          </w:pPr>
                          <w:r>
                            <w:fldChar w:fldCharType="begin"/>
                          </w:r>
                          <w:r>
                            <w:instrText xml:space="preserve">PAGE   \* MERGEFORMAT</w:instrText>
                          </w:r>
                          <w:r>
                            <w:fldChar w:fldCharType="separate"/>
                          </w:r>
                          <w:r>
                            <w:rPr>
                              <w:lang w:val="zh-CN"/>
                            </w:rPr>
                            <w:t>45</w:t>
                          </w:r>
                          <w:r>
                            <w:rPr>
                              <w:lang w:val="zh-CN"/>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V+SdAAAAADAQAADwAAAAAAAAABACAAAAAiAAAAZHJzL2Rvd25yZXYueG1sUEsB&#10;AhQAFAAAAAgAh07iQN1LLeb9AQAADwQAAA4AAAAAAAAAAQAgAAAAHwEAAGRycy9lMm9Eb2MueG1s&#10;UEsFBgAAAAAGAAYAWQEAAI4FAAAAAA==&#10;">
              <v:fill on="f" focussize="0,0"/>
              <v:stroke on="f"/>
              <v:imagedata o:title=""/>
              <o:lock v:ext="edit" aspectratio="f"/>
              <v:textbox inset="0mm,0mm,0mm,0mm" style="mso-fit-shape-to-text:t;">
                <w:txbxContent>
                  <w:p>
                    <w:pPr>
                      <w:pStyle w:val="17"/>
                      <w:jc w:val="center"/>
                    </w:pPr>
                    <w:r>
                      <w:fldChar w:fldCharType="begin"/>
                    </w:r>
                    <w:r>
                      <w:instrText xml:space="preserve">PAGE   \* MERGEFORMAT</w:instrText>
                    </w:r>
                    <w:r>
                      <w:fldChar w:fldCharType="separate"/>
                    </w:r>
                    <w:r>
                      <w:rPr>
                        <w:lang w:val="zh-CN"/>
                      </w:rPr>
                      <w:t>45</w:t>
                    </w:r>
                    <w:r>
                      <w:rPr>
                        <w:lang w:val="zh-CN"/>
                      </w:rPr>
                      <w:fldChar w:fldCharType="end"/>
                    </w:r>
                  </w:p>
                </w:txbxContent>
              </v:textbox>
            </v:shape>
          </w:pict>
        </mc:Fallback>
      </mc:AlternateContent>
    </w:r>
  </w:p>
  <w:p>
    <w:pPr>
      <w:pStyle w:val="1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1FC04A2F"/>
    <w:multiLevelType w:val="multilevel"/>
    <w:tmpl w:val="1FC04A2F"/>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468ACDF8"/>
    <w:multiLevelType w:val="multilevel"/>
    <w:tmpl w:val="468ACDF8"/>
    <w:lvl w:ilvl="0" w:tentative="0">
      <w:start w:val="2"/>
      <w:numFmt w:val="chineseCounting"/>
      <w:suff w:val="nothing"/>
      <w:lvlText w:val="（%1）"/>
      <w:lvlJc w:val="left"/>
      <w:rPr>
        <w:rFonts w:hint="default"/>
        <w:u w:val="none"/>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7">
    <w:nsid w:val="7B4156D0"/>
    <w:multiLevelType w:val="singleLevel"/>
    <w:tmpl w:val="7B4156D0"/>
    <w:lvl w:ilvl="0" w:tentative="0">
      <w:start w:val="1"/>
      <w:numFmt w:val="decimal"/>
      <w:suff w:val="nothing"/>
      <w:lvlText w:val="（%1）"/>
      <w:lvlJc w:val="left"/>
    </w:lvl>
  </w:abstractNum>
  <w:num w:numId="1">
    <w:abstractNumId w:val="0"/>
  </w:num>
  <w:num w:numId="2">
    <w:abstractNumId w:val="2"/>
  </w:num>
  <w:num w:numId="3">
    <w:abstractNumId w:val="1"/>
  </w:num>
  <w:num w:numId="4">
    <w:abstractNumId w:val="5"/>
  </w:num>
  <w:num w:numId="5">
    <w:abstractNumId w:val="3"/>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VhY2RkOWU0YjY3OTJkY2JiNDYzMzQ4NjFlOWJhZDMifQ=="/>
  </w:docVars>
  <w:rsids>
    <w:rsidRoot w:val="00172A27"/>
    <w:rsid w:val="00001D20"/>
    <w:rsid w:val="000045DD"/>
    <w:rsid w:val="00005087"/>
    <w:rsid w:val="00005BAC"/>
    <w:rsid w:val="0000641B"/>
    <w:rsid w:val="000067FA"/>
    <w:rsid w:val="00007440"/>
    <w:rsid w:val="00007D9B"/>
    <w:rsid w:val="00016988"/>
    <w:rsid w:val="00017AF4"/>
    <w:rsid w:val="00024251"/>
    <w:rsid w:val="0002588A"/>
    <w:rsid w:val="000341B1"/>
    <w:rsid w:val="00040851"/>
    <w:rsid w:val="0004267E"/>
    <w:rsid w:val="00050282"/>
    <w:rsid w:val="00051172"/>
    <w:rsid w:val="00056ED1"/>
    <w:rsid w:val="00056F1E"/>
    <w:rsid w:val="000577D5"/>
    <w:rsid w:val="00062260"/>
    <w:rsid w:val="00062FCE"/>
    <w:rsid w:val="000675DF"/>
    <w:rsid w:val="00072E3D"/>
    <w:rsid w:val="000730A7"/>
    <w:rsid w:val="00077A92"/>
    <w:rsid w:val="0008074C"/>
    <w:rsid w:val="00080F44"/>
    <w:rsid w:val="000834C5"/>
    <w:rsid w:val="00084D3F"/>
    <w:rsid w:val="00087789"/>
    <w:rsid w:val="00091E17"/>
    <w:rsid w:val="00092BC6"/>
    <w:rsid w:val="000959C2"/>
    <w:rsid w:val="00096226"/>
    <w:rsid w:val="000A0903"/>
    <w:rsid w:val="000A1143"/>
    <w:rsid w:val="000A11EA"/>
    <w:rsid w:val="000A5F1D"/>
    <w:rsid w:val="000A696E"/>
    <w:rsid w:val="000B0656"/>
    <w:rsid w:val="000B0BEF"/>
    <w:rsid w:val="000B3FFE"/>
    <w:rsid w:val="000B4771"/>
    <w:rsid w:val="000B6FF4"/>
    <w:rsid w:val="000C3A16"/>
    <w:rsid w:val="000C45C0"/>
    <w:rsid w:val="000C534F"/>
    <w:rsid w:val="000D2859"/>
    <w:rsid w:val="000D3343"/>
    <w:rsid w:val="000D42A8"/>
    <w:rsid w:val="000D4DBE"/>
    <w:rsid w:val="000D567E"/>
    <w:rsid w:val="000E2E67"/>
    <w:rsid w:val="000E5268"/>
    <w:rsid w:val="000E663A"/>
    <w:rsid w:val="000F0A3D"/>
    <w:rsid w:val="00100656"/>
    <w:rsid w:val="001006F2"/>
    <w:rsid w:val="00101922"/>
    <w:rsid w:val="0010241E"/>
    <w:rsid w:val="00102A03"/>
    <w:rsid w:val="001059E5"/>
    <w:rsid w:val="001116DC"/>
    <w:rsid w:val="00112D2F"/>
    <w:rsid w:val="00113E7E"/>
    <w:rsid w:val="00114CD6"/>
    <w:rsid w:val="0011560D"/>
    <w:rsid w:val="0011622C"/>
    <w:rsid w:val="00122F73"/>
    <w:rsid w:val="00125079"/>
    <w:rsid w:val="0012716A"/>
    <w:rsid w:val="00131153"/>
    <w:rsid w:val="00140AE6"/>
    <w:rsid w:val="00140E53"/>
    <w:rsid w:val="00147116"/>
    <w:rsid w:val="00150E1B"/>
    <w:rsid w:val="00153E3D"/>
    <w:rsid w:val="00154309"/>
    <w:rsid w:val="00161F3F"/>
    <w:rsid w:val="001624A6"/>
    <w:rsid w:val="00163B9A"/>
    <w:rsid w:val="00166DF6"/>
    <w:rsid w:val="00170000"/>
    <w:rsid w:val="001711BB"/>
    <w:rsid w:val="00171212"/>
    <w:rsid w:val="001720AE"/>
    <w:rsid w:val="00172A27"/>
    <w:rsid w:val="00173D2E"/>
    <w:rsid w:val="0018039D"/>
    <w:rsid w:val="00184D37"/>
    <w:rsid w:val="00194152"/>
    <w:rsid w:val="00194F2C"/>
    <w:rsid w:val="00196B57"/>
    <w:rsid w:val="001979D6"/>
    <w:rsid w:val="001A0263"/>
    <w:rsid w:val="001A10E9"/>
    <w:rsid w:val="001A1A7A"/>
    <w:rsid w:val="001A7EBC"/>
    <w:rsid w:val="001B0496"/>
    <w:rsid w:val="001B28CD"/>
    <w:rsid w:val="001C2E62"/>
    <w:rsid w:val="001C6199"/>
    <w:rsid w:val="001C7A71"/>
    <w:rsid w:val="001C7B60"/>
    <w:rsid w:val="001D1957"/>
    <w:rsid w:val="001D6499"/>
    <w:rsid w:val="001E1295"/>
    <w:rsid w:val="001E32C3"/>
    <w:rsid w:val="001E38CF"/>
    <w:rsid w:val="001E69F3"/>
    <w:rsid w:val="001E6DA8"/>
    <w:rsid w:val="001F0279"/>
    <w:rsid w:val="001F23E0"/>
    <w:rsid w:val="001F2B1F"/>
    <w:rsid w:val="00201D14"/>
    <w:rsid w:val="0020543E"/>
    <w:rsid w:val="00215D2E"/>
    <w:rsid w:val="00217084"/>
    <w:rsid w:val="0022097C"/>
    <w:rsid w:val="002220C1"/>
    <w:rsid w:val="00222137"/>
    <w:rsid w:val="00223C9B"/>
    <w:rsid w:val="00233897"/>
    <w:rsid w:val="002340EA"/>
    <w:rsid w:val="00237843"/>
    <w:rsid w:val="00242DD4"/>
    <w:rsid w:val="002444CD"/>
    <w:rsid w:val="00244B9D"/>
    <w:rsid w:val="00250B65"/>
    <w:rsid w:val="00254A05"/>
    <w:rsid w:val="00265697"/>
    <w:rsid w:val="00266880"/>
    <w:rsid w:val="00270697"/>
    <w:rsid w:val="00274B98"/>
    <w:rsid w:val="00275045"/>
    <w:rsid w:val="00280689"/>
    <w:rsid w:val="00285E04"/>
    <w:rsid w:val="0028718A"/>
    <w:rsid w:val="0028763B"/>
    <w:rsid w:val="00287A4E"/>
    <w:rsid w:val="00291DDE"/>
    <w:rsid w:val="002930AF"/>
    <w:rsid w:val="00293FCA"/>
    <w:rsid w:val="0029783F"/>
    <w:rsid w:val="00297998"/>
    <w:rsid w:val="002A262E"/>
    <w:rsid w:val="002A29B8"/>
    <w:rsid w:val="002A3915"/>
    <w:rsid w:val="002A5FFA"/>
    <w:rsid w:val="002A6B45"/>
    <w:rsid w:val="002B1A23"/>
    <w:rsid w:val="002B2B54"/>
    <w:rsid w:val="002C0F66"/>
    <w:rsid w:val="002C79A6"/>
    <w:rsid w:val="002D095A"/>
    <w:rsid w:val="002E02E0"/>
    <w:rsid w:val="002E4B85"/>
    <w:rsid w:val="002F152F"/>
    <w:rsid w:val="003000ED"/>
    <w:rsid w:val="00302A71"/>
    <w:rsid w:val="003121C5"/>
    <w:rsid w:val="00312FF9"/>
    <w:rsid w:val="003142AC"/>
    <w:rsid w:val="003154B6"/>
    <w:rsid w:val="003216E0"/>
    <w:rsid w:val="0032389D"/>
    <w:rsid w:val="003301D3"/>
    <w:rsid w:val="00333197"/>
    <w:rsid w:val="00333267"/>
    <w:rsid w:val="00346763"/>
    <w:rsid w:val="00347608"/>
    <w:rsid w:val="00347D42"/>
    <w:rsid w:val="0036040F"/>
    <w:rsid w:val="00362E10"/>
    <w:rsid w:val="00374D34"/>
    <w:rsid w:val="003751AD"/>
    <w:rsid w:val="003770B6"/>
    <w:rsid w:val="00383D1F"/>
    <w:rsid w:val="0038501A"/>
    <w:rsid w:val="003879AD"/>
    <w:rsid w:val="00393C8D"/>
    <w:rsid w:val="00393E88"/>
    <w:rsid w:val="00396190"/>
    <w:rsid w:val="00396F29"/>
    <w:rsid w:val="003A0A83"/>
    <w:rsid w:val="003A0C5B"/>
    <w:rsid w:val="003B111C"/>
    <w:rsid w:val="003B1990"/>
    <w:rsid w:val="003B2C6C"/>
    <w:rsid w:val="003B365A"/>
    <w:rsid w:val="003B3DB5"/>
    <w:rsid w:val="003B3F78"/>
    <w:rsid w:val="003B6F04"/>
    <w:rsid w:val="003B7F1E"/>
    <w:rsid w:val="003C2E8F"/>
    <w:rsid w:val="003C32AC"/>
    <w:rsid w:val="003C3ADC"/>
    <w:rsid w:val="003C4F2F"/>
    <w:rsid w:val="003C5987"/>
    <w:rsid w:val="003C63A6"/>
    <w:rsid w:val="003C7F66"/>
    <w:rsid w:val="003D27FC"/>
    <w:rsid w:val="003D4E09"/>
    <w:rsid w:val="003D4F29"/>
    <w:rsid w:val="003D5EBC"/>
    <w:rsid w:val="003E2902"/>
    <w:rsid w:val="003E2B83"/>
    <w:rsid w:val="003F38B1"/>
    <w:rsid w:val="003F3BF4"/>
    <w:rsid w:val="00403226"/>
    <w:rsid w:val="00403390"/>
    <w:rsid w:val="004056C1"/>
    <w:rsid w:val="00410198"/>
    <w:rsid w:val="00414596"/>
    <w:rsid w:val="0042221A"/>
    <w:rsid w:val="00422330"/>
    <w:rsid w:val="00424CB8"/>
    <w:rsid w:val="00425155"/>
    <w:rsid w:val="004253CA"/>
    <w:rsid w:val="0042601B"/>
    <w:rsid w:val="00426C65"/>
    <w:rsid w:val="004308FD"/>
    <w:rsid w:val="004311DB"/>
    <w:rsid w:val="00433318"/>
    <w:rsid w:val="00437D9B"/>
    <w:rsid w:val="00440750"/>
    <w:rsid w:val="00442823"/>
    <w:rsid w:val="004467B4"/>
    <w:rsid w:val="00450B0E"/>
    <w:rsid w:val="004521C8"/>
    <w:rsid w:val="004533EA"/>
    <w:rsid w:val="0045483E"/>
    <w:rsid w:val="00455716"/>
    <w:rsid w:val="004557B0"/>
    <w:rsid w:val="00460499"/>
    <w:rsid w:val="00463B5F"/>
    <w:rsid w:val="00464AFE"/>
    <w:rsid w:val="004653F6"/>
    <w:rsid w:val="00465DC4"/>
    <w:rsid w:val="0048013C"/>
    <w:rsid w:val="00480E40"/>
    <w:rsid w:val="00481BAD"/>
    <w:rsid w:val="004822ED"/>
    <w:rsid w:val="004838DC"/>
    <w:rsid w:val="004852F5"/>
    <w:rsid w:val="0048749D"/>
    <w:rsid w:val="00496012"/>
    <w:rsid w:val="0049745C"/>
    <w:rsid w:val="004A0A4E"/>
    <w:rsid w:val="004A1A92"/>
    <w:rsid w:val="004A1D8B"/>
    <w:rsid w:val="004A7231"/>
    <w:rsid w:val="004C1407"/>
    <w:rsid w:val="004C2A52"/>
    <w:rsid w:val="004C5563"/>
    <w:rsid w:val="004C597D"/>
    <w:rsid w:val="004D3F31"/>
    <w:rsid w:val="004D76AC"/>
    <w:rsid w:val="004E0E7B"/>
    <w:rsid w:val="004E20C7"/>
    <w:rsid w:val="004E2633"/>
    <w:rsid w:val="004E3769"/>
    <w:rsid w:val="004E4BAC"/>
    <w:rsid w:val="004E67D9"/>
    <w:rsid w:val="004E6DB0"/>
    <w:rsid w:val="004E79C6"/>
    <w:rsid w:val="005018C5"/>
    <w:rsid w:val="00502952"/>
    <w:rsid w:val="00502E90"/>
    <w:rsid w:val="005045AF"/>
    <w:rsid w:val="00505654"/>
    <w:rsid w:val="00506E0C"/>
    <w:rsid w:val="00507C51"/>
    <w:rsid w:val="00513444"/>
    <w:rsid w:val="0051380B"/>
    <w:rsid w:val="00514E99"/>
    <w:rsid w:val="00516EE8"/>
    <w:rsid w:val="00517ED6"/>
    <w:rsid w:val="0052240E"/>
    <w:rsid w:val="005227FD"/>
    <w:rsid w:val="0052756B"/>
    <w:rsid w:val="00530D0D"/>
    <w:rsid w:val="005323C8"/>
    <w:rsid w:val="005350DA"/>
    <w:rsid w:val="00535644"/>
    <w:rsid w:val="00537F6D"/>
    <w:rsid w:val="0054488D"/>
    <w:rsid w:val="005448AD"/>
    <w:rsid w:val="005458FA"/>
    <w:rsid w:val="00550C1C"/>
    <w:rsid w:val="00550CB9"/>
    <w:rsid w:val="00551C15"/>
    <w:rsid w:val="00552A48"/>
    <w:rsid w:val="00552F8D"/>
    <w:rsid w:val="005557DD"/>
    <w:rsid w:val="00555962"/>
    <w:rsid w:val="0055604D"/>
    <w:rsid w:val="0055608C"/>
    <w:rsid w:val="0056074F"/>
    <w:rsid w:val="00560D29"/>
    <w:rsid w:val="00563121"/>
    <w:rsid w:val="0056534C"/>
    <w:rsid w:val="00566384"/>
    <w:rsid w:val="00567571"/>
    <w:rsid w:val="0057369D"/>
    <w:rsid w:val="00573FE5"/>
    <w:rsid w:val="005756BA"/>
    <w:rsid w:val="00575A00"/>
    <w:rsid w:val="00575F8E"/>
    <w:rsid w:val="0057623C"/>
    <w:rsid w:val="0057627D"/>
    <w:rsid w:val="00577278"/>
    <w:rsid w:val="005775ED"/>
    <w:rsid w:val="00581FD9"/>
    <w:rsid w:val="005826B0"/>
    <w:rsid w:val="00582831"/>
    <w:rsid w:val="00584C97"/>
    <w:rsid w:val="005864DD"/>
    <w:rsid w:val="005916BE"/>
    <w:rsid w:val="005979BC"/>
    <w:rsid w:val="005A3925"/>
    <w:rsid w:val="005B1B36"/>
    <w:rsid w:val="005B7018"/>
    <w:rsid w:val="005C013A"/>
    <w:rsid w:val="005C03DF"/>
    <w:rsid w:val="005C11FC"/>
    <w:rsid w:val="005C1339"/>
    <w:rsid w:val="005C2804"/>
    <w:rsid w:val="005C390F"/>
    <w:rsid w:val="005C51DA"/>
    <w:rsid w:val="005C7B50"/>
    <w:rsid w:val="005D32D5"/>
    <w:rsid w:val="005D49FC"/>
    <w:rsid w:val="005D523F"/>
    <w:rsid w:val="005D7D4C"/>
    <w:rsid w:val="005E24F6"/>
    <w:rsid w:val="005E3F2D"/>
    <w:rsid w:val="005E4A02"/>
    <w:rsid w:val="005F2452"/>
    <w:rsid w:val="005F3121"/>
    <w:rsid w:val="005F48EE"/>
    <w:rsid w:val="005F78C4"/>
    <w:rsid w:val="00601C55"/>
    <w:rsid w:val="006072BB"/>
    <w:rsid w:val="00607419"/>
    <w:rsid w:val="00611750"/>
    <w:rsid w:val="00613AD2"/>
    <w:rsid w:val="0061414D"/>
    <w:rsid w:val="00620AF1"/>
    <w:rsid w:val="0062157E"/>
    <w:rsid w:val="006279B9"/>
    <w:rsid w:val="00630861"/>
    <w:rsid w:val="006314BF"/>
    <w:rsid w:val="00633949"/>
    <w:rsid w:val="00633CA8"/>
    <w:rsid w:val="00635764"/>
    <w:rsid w:val="00635F97"/>
    <w:rsid w:val="00636D14"/>
    <w:rsid w:val="00637B79"/>
    <w:rsid w:val="00640136"/>
    <w:rsid w:val="0064074B"/>
    <w:rsid w:val="00642EAC"/>
    <w:rsid w:val="006444C8"/>
    <w:rsid w:val="006546F2"/>
    <w:rsid w:val="0065642D"/>
    <w:rsid w:val="00656662"/>
    <w:rsid w:val="00660545"/>
    <w:rsid w:val="00661247"/>
    <w:rsid w:val="006635AD"/>
    <w:rsid w:val="006648D7"/>
    <w:rsid w:val="00670F94"/>
    <w:rsid w:val="006712E9"/>
    <w:rsid w:val="00676ED9"/>
    <w:rsid w:val="006825D1"/>
    <w:rsid w:val="00683EF3"/>
    <w:rsid w:val="00684C44"/>
    <w:rsid w:val="0069059A"/>
    <w:rsid w:val="00696C76"/>
    <w:rsid w:val="0069767F"/>
    <w:rsid w:val="006A0D1F"/>
    <w:rsid w:val="006A1643"/>
    <w:rsid w:val="006A5C11"/>
    <w:rsid w:val="006B1920"/>
    <w:rsid w:val="006B745A"/>
    <w:rsid w:val="006C1E42"/>
    <w:rsid w:val="006C28B4"/>
    <w:rsid w:val="006C696F"/>
    <w:rsid w:val="006C6C16"/>
    <w:rsid w:val="006C7593"/>
    <w:rsid w:val="006C78CF"/>
    <w:rsid w:val="006D1B96"/>
    <w:rsid w:val="006D4655"/>
    <w:rsid w:val="006D4E40"/>
    <w:rsid w:val="006D5B4F"/>
    <w:rsid w:val="006E0101"/>
    <w:rsid w:val="006E1D42"/>
    <w:rsid w:val="006F17AB"/>
    <w:rsid w:val="006F2361"/>
    <w:rsid w:val="006F4E21"/>
    <w:rsid w:val="006F5C69"/>
    <w:rsid w:val="006F7498"/>
    <w:rsid w:val="007001DC"/>
    <w:rsid w:val="0070077B"/>
    <w:rsid w:val="007054CB"/>
    <w:rsid w:val="0071323F"/>
    <w:rsid w:val="00715E57"/>
    <w:rsid w:val="00716307"/>
    <w:rsid w:val="00726B0B"/>
    <w:rsid w:val="00726B32"/>
    <w:rsid w:val="007278AC"/>
    <w:rsid w:val="00727DAB"/>
    <w:rsid w:val="00737443"/>
    <w:rsid w:val="00741475"/>
    <w:rsid w:val="00744A02"/>
    <w:rsid w:val="00750A10"/>
    <w:rsid w:val="00751215"/>
    <w:rsid w:val="00752838"/>
    <w:rsid w:val="00753121"/>
    <w:rsid w:val="00754CD7"/>
    <w:rsid w:val="00757BFE"/>
    <w:rsid w:val="00762D2C"/>
    <w:rsid w:val="007634AA"/>
    <w:rsid w:val="00764EE8"/>
    <w:rsid w:val="00770D87"/>
    <w:rsid w:val="007748AF"/>
    <w:rsid w:val="0077540A"/>
    <w:rsid w:val="00784140"/>
    <w:rsid w:val="007843F7"/>
    <w:rsid w:val="00784668"/>
    <w:rsid w:val="00786420"/>
    <w:rsid w:val="00787243"/>
    <w:rsid w:val="00793724"/>
    <w:rsid w:val="00796C26"/>
    <w:rsid w:val="007977E3"/>
    <w:rsid w:val="007A385D"/>
    <w:rsid w:val="007A39D0"/>
    <w:rsid w:val="007A42F2"/>
    <w:rsid w:val="007C21B8"/>
    <w:rsid w:val="007C2CCC"/>
    <w:rsid w:val="007C5C66"/>
    <w:rsid w:val="007D0712"/>
    <w:rsid w:val="007D0A2A"/>
    <w:rsid w:val="007D1A37"/>
    <w:rsid w:val="007D34E3"/>
    <w:rsid w:val="007E156D"/>
    <w:rsid w:val="007E1A1A"/>
    <w:rsid w:val="007E6BDF"/>
    <w:rsid w:val="007F14E4"/>
    <w:rsid w:val="007F1855"/>
    <w:rsid w:val="007F18A5"/>
    <w:rsid w:val="007F315A"/>
    <w:rsid w:val="007F547B"/>
    <w:rsid w:val="007F5AA0"/>
    <w:rsid w:val="007F5AC9"/>
    <w:rsid w:val="007F774A"/>
    <w:rsid w:val="00803A51"/>
    <w:rsid w:val="00806437"/>
    <w:rsid w:val="008125F2"/>
    <w:rsid w:val="00830135"/>
    <w:rsid w:val="00831EB0"/>
    <w:rsid w:val="00835E93"/>
    <w:rsid w:val="00835F7A"/>
    <w:rsid w:val="008364A3"/>
    <w:rsid w:val="00854A2E"/>
    <w:rsid w:val="00855070"/>
    <w:rsid w:val="0085543B"/>
    <w:rsid w:val="00867940"/>
    <w:rsid w:val="00867ABB"/>
    <w:rsid w:val="00870A4A"/>
    <w:rsid w:val="00874249"/>
    <w:rsid w:val="0087482E"/>
    <w:rsid w:val="00876A74"/>
    <w:rsid w:val="00877B2D"/>
    <w:rsid w:val="00885FE6"/>
    <w:rsid w:val="008939BE"/>
    <w:rsid w:val="00897D9C"/>
    <w:rsid w:val="008A07F8"/>
    <w:rsid w:val="008A259C"/>
    <w:rsid w:val="008A2F9B"/>
    <w:rsid w:val="008A4D5F"/>
    <w:rsid w:val="008B045F"/>
    <w:rsid w:val="008B05D5"/>
    <w:rsid w:val="008B255F"/>
    <w:rsid w:val="008B613F"/>
    <w:rsid w:val="008B6E46"/>
    <w:rsid w:val="008B7061"/>
    <w:rsid w:val="008C4C24"/>
    <w:rsid w:val="008D1E72"/>
    <w:rsid w:val="008D297F"/>
    <w:rsid w:val="008D2B28"/>
    <w:rsid w:val="008D32DE"/>
    <w:rsid w:val="008D7BDF"/>
    <w:rsid w:val="008E0375"/>
    <w:rsid w:val="008E1F6C"/>
    <w:rsid w:val="008E20CD"/>
    <w:rsid w:val="008E37AC"/>
    <w:rsid w:val="008E4E2F"/>
    <w:rsid w:val="008E5B7A"/>
    <w:rsid w:val="008E7C6B"/>
    <w:rsid w:val="008F249C"/>
    <w:rsid w:val="008F4A8F"/>
    <w:rsid w:val="008F586A"/>
    <w:rsid w:val="008F6CB0"/>
    <w:rsid w:val="008F6E80"/>
    <w:rsid w:val="008F74BE"/>
    <w:rsid w:val="008F7CA4"/>
    <w:rsid w:val="008F7D54"/>
    <w:rsid w:val="00900E6A"/>
    <w:rsid w:val="00916220"/>
    <w:rsid w:val="00916F8E"/>
    <w:rsid w:val="00921D5A"/>
    <w:rsid w:val="00922E32"/>
    <w:rsid w:val="009241E6"/>
    <w:rsid w:val="00931707"/>
    <w:rsid w:val="00931C17"/>
    <w:rsid w:val="009338AA"/>
    <w:rsid w:val="00936C49"/>
    <w:rsid w:val="00937320"/>
    <w:rsid w:val="00940C88"/>
    <w:rsid w:val="00944284"/>
    <w:rsid w:val="00944572"/>
    <w:rsid w:val="0094648A"/>
    <w:rsid w:val="00946992"/>
    <w:rsid w:val="0094701F"/>
    <w:rsid w:val="0094734B"/>
    <w:rsid w:val="00947590"/>
    <w:rsid w:val="00953227"/>
    <w:rsid w:val="0096206F"/>
    <w:rsid w:val="009628BA"/>
    <w:rsid w:val="00967560"/>
    <w:rsid w:val="0097028E"/>
    <w:rsid w:val="00970470"/>
    <w:rsid w:val="009740DF"/>
    <w:rsid w:val="00975FD4"/>
    <w:rsid w:val="0098116B"/>
    <w:rsid w:val="0098127D"/>
    <w:rsid w:val="0098744A"/>
    <w:rsid w:val="00987F43"/>
    <w:rsid w:val="00994CC8"/>
    <w:rsid w:val="00997528"/>
    <w:rsid w:val="009A1242"/>
    <w:rsid w:val="009A3A1B"/>
    <w:rsid w:val="009A5F69"/>
    <w:rsid w:val="009A70BD"/>
    <w:rsid w:val="009B7E09"/>
    <w:rsid w:val="009C4949"/>
    <w:rsid w:val="009C788F"/>
    <w:rsid w:val="009D1CCD"/>
    <w:rsid w:val="009D5200"/>
    <w:rsid w:val="009D6EA9"/>
    <w:rsid w:val="009E16A1"/>
    <w:rsid w:val="009E428A"/>
    <w:rsid w:val="009E5706"/>
    <w:rsid w:val="009E6124"/>
    <w:rsid w:val="009E67B5"/>
    <w:rsid w:val="009E6F8D"/>
    <w:rsid w:val="009F2371"/>
    <w:rsid w:val="009F3592"/>
    <w:rsid w:val="009F4690"/>
    <w:rsid w:val="009F51F0"/>
    <w:rsid w:val="00A01510"/>
    <w:rsid w:val="00A0443D"/>
    <w:rsid w:val="00A04B88"/>
    <w:rsid w:val="00A05D3C"/>
    <w:rsid w:val="00A065C7"/>
    <w:rsid w:val="00A12EB9"/>
    <w:rsid w:val="00A155F7"/>
    <w:rsid w:val="00A20495"/>
    <w:rsid w:val="00A237C2"/>
    <w:rsid w:val="00A24583"/>
    <w:rsid w:val="00A2757B"/>
    <w:rsid w:val="00A27DD2"/>
    <w:rsid w:val="00A27ED3"/>
    <w:rsid w:val="00A30936"/>
    <w:rsid w:val="00A339AE"/>
    <w:rsid w:val="00A413A6"/>
    <w:rsid w:val="00A41728"/>
    <w:rsid w:val="00A41B3A"/>
    <w:rsid w:val="00A4228B"/>
    <w:rsid w:val="00A429CD"/>
    <w:rsid w:val="00A445C9"/>
    <w:rsid w:val="00A47001"/>
    <w:rsid w:val="00A57D15"/>
    <w:rsid w:val="00A6193E"/>
    <w:rsid w:val="00A61D06"/>
    <w:rsid w:val="00A64BF6"/>
    <w:rsid w:val="00A72B05"/>
    <w:rsid w:val="00A73268"/>
    <w:rsid w:val="00A764BD"/>
    <w:rsid w:val="00A77491"/>
    <w:rsid w:val="00A81045"/>
    <w:rsid w:val="00A817E6"/>
    <w:rsid w:val="00A82127"/>
    <w:rsid w:val="00A920FE"/>
    <w:rsid w:val="00A92343"/>
    <w:rsid w:val="00A93E3C"/>
    <w:rsid w:val="00A95B44"/>
    <w:rsid w:val="00A96040"/>
    <w:rsid w:val="00A968BE"/>
    <w:rsid w:val="00AA0334"/>
    <w:rsid w:val="00AA26B5"/>
    <w:rsid w:val="00AA4459"/>
    <w:rsid w:val="00AB297E"/>
    <w:rsid w:val="00AB5254"/>
    <w:rsid w:val="00AB5CE9"/>
    <w:rsid w:val="00AC4735"/>
    <w:rsid w:val="00AC4817"/>
    <w:rsid w:val="00AC4D89"/>
    <w:rsid w:val="00AC4F4E"/>
    <w:rsid w:val="00AD3C56"/>
    <w:rsid w:val="00AD4214"/>
    <w:rsid w:val="00AD495F"/>
    <w:rsid w:val="00AD58F8"/>
    <w:rsid w:val="00AD7D7E"/>
    <w:rsid w:val="00AE6103"/>
    <w:rsid w:val="00AF0309"/>
    <w:rsid w:val="00AF1523"/>
    <w:rsid w:val="00AF4F68"/>
    <w:rsid w:val="00AF5E2E"/>
    <w:rsid w:val="00AF605E"/>
    <w:rsid w:val="00AF6857"/>
    <w:rsid w:val="00AF702F"/>
    <w:rsid w:val="00B00F30"/>
    <w:rsid w:val="00B01CC5"/>
    <w:rsid w:val="00B0575F"/>
    <w:rsid w:val="00B0612C"/>
    <w:rsid w:val="00B12857"/>
    <w:rsid w:val="00B166EF"/>
    <w:rsid w:val="00B16B76"/>
    <w:rsid w:val="00B2272F"/>
    <w:rsid w:val="00B22FBD"/>
    <w:rsid w:val="00B24457"/>
    <w:rsid w:val="00B24B47"/>
    <w:rsid w:val="00B3076E"/>
    <w:rsid w:val="00B34597"/>
    <w:rsid w:val="00B34B5B"/>
    <w:rsid w:val="00B35BD1"/>
    <w:rsid w:val="00B367F8"/>
    <w:rsid w:val="00B41F22"/>
    <w:rsid w:val="00B439D4"/>
    <w:rsid w:val="00B43B33"/>
    <w:rsid w:val="00B45EAC"/>
    <w:rsid w:val="00B47161"/>
    <w:rsid w:val="00B47A77"/>
    <w:rsid w:val="00B54D39"/>
    <w:rsid w:val="00B578DF"/>
    <w:rsid w:val="00B60B87"/>
    <w:rsid w:val="00B63443"/>
    <w:rsid w:val="00B63D35"/>
    <w:rsid w:val="00B66286"/>
    <w:rsid w:val="00B66A5A"/>
    <w:rsid w:val="00B72CCB"/>
    <w:rsid w:val="00B736EB"/>
    <w:rsid w:val="00B73DD6"/>
    <w:rsid w:val="00B744A7"/>
    <w:rsid w:val="00B74692"/>
    <w:rsid w:val="00B761D9"/>
    <w:rsid w:val="00B825B4"/>
    <w:rsid w:val="00B82712"/>
    <w:rsid w:val="00B87BD3"/>
    <w:rsid w:val="00BA2B32"/>
    <w:rsid w:val="00BA4410"/>
    <w:rsid w:val="00BA4A12"/>
    <w:rsid w:val="00BA653B"/>
    <w:rsid w:val="00BA7264"/>
    <w:rsid w:val="00BA7453"/>
    <w:rsid w:val="00BB1D83"/>
    <w:rsid w:val="00BB241E"/>
    <w:rsid w:val="00BB5E97"/>
    <w:rsid w:val="00BB6AEE"/>
    <w:rsid w:val="00BC0381"/>
    <w:rsid w:val="00BC22DA"/>
    <w:rsid w:val="00BC5733"/>
    <w:rsid w:val="00BC7660"/>
    <w:rsid w:val="00BD00B9"/>
    <w:rsid w:val="00BD03EB"/>
    <w:rsid w:val="00BD4C65"/>
    <w:rsid w:val="00BE71E5"/>
    <w:rsid w:val="00BF20C6"/>
    <w:rsid w:val="00BF2574"/>
    <w:rsid w:val="00BF4409"/>
    <w:rsid w:val="00BF5725"/>
    <w:rsid w:val="00BF6160"/>
    <w:rsid w:val="00C041B7"/>
    <w:rsid w:val="00C0563C"/>
    <w:rsid w:val="00C056E8"/>
    <w:rsid w:val="00C05A9F"/>
    <w:rsid w:val="00C067F1"/>
    <w:rsid w:val="00C1507D"/>
    <w:rsid w:val="00C160E3"/>
    <w:rsid w:val="00C168B2"/>
    <w:rsid w:val="00C16AB5"/>
    <w:rsid w:val="00C201A6"/>
    <w:rsid w:val="00C23BFE"/>
    <w:rsid w:val="00C25539"/>
    <w:rsid w:val="00C26285"/>
    <w:rsid w:val="00C2639B"/>
    <w:rsid w:val="00C278D1"/>
    <w:rsid w:val="00C369DF"/>
    <w:rsid w:val="00C36FC9"/>
    <w:rsid w:val="00C422D1"/>
    <w:rsid w:val="00C51FCE"/>
    <w:rsid w:val="00C6147A"/>
    <w:rsid w:val="00C64E6F"/>
    <w:rsid w:val="00C65295"/>
    <w:rsid w:val="00C654CD"/>
    <w:rsid w:val="00C66946"/>
    <w:rsid w:val="00C74A5D"/>
    <w:rsid w:val="00C774F4"/>
    <w:rsid w:val="00C80518"/>
    <w:rsid w:val="00C82740"/>
    <w:rsid w:val="00C83BF8"/>
    <w:rsid w:val="00C853DD"/>
    <w:rsid w:val="00C8621F"/>
    <w:rsid w:val="00C87EB6"/>
    <w:rsid w:val="00C9111A"/>
    <w:rsid w:val="00C9148F"/>
    <w:rsid w:val="00C94B6D"/>
    <w:rsid w:val="00C969AF"/>
    <w:rsid w:val="00CA23D0"/>
    <w:rsid w:val="00CA299E"/>
    <w:rsid w:val="00CA4A3E"/>
    <w:rsid w:val="00CA6D8C"/>
    <w:rsid w:val="00CA7336"/>
    <w:rsid w:val="00CB6517"/>
    <w:rsid w:val="00CB6F8F"/>
    <w:rsid w:val="00CB7EAD"/>
    <w:rsid w:val="00CC05F8"/>
    <w:rsid w:val="00CC6AD4"/>
    <w:rsid w:val="00CC7443"/>
    <w:rsid w:val="00CD4898"/>
    <w:rsid w:val="00CE0FCA"/>
    <w:rsid w:val="00CE371E"/>
    <w:rsid w:val="00CE5033"/>
    <w:rsid w:val="00CF06D6"/>
    <w:rsid w:val="00CF5A1B"/>
    <w:rsid w:val="00CF77F2"/>
    <w:rsid w:val="00CF7893"/>
    <w:rsid w:val="00D01EB5"/>
    <w:rsid w:val="00D0407A"/>
    <w:rsid w:val="00D074CA"/>
    <w:rsid w:val="00D156EB"/>
    <w:rsid w:val="00D173B3"/>
    <w:rsid w:val="00D20DC8"/>
    <w:rsid w:val="00D23972"/>
    <w:rsid w:val="00D249CE"/>
    <w:rsid w:val="00D26893"/>
    <w:rsid w:val="00D3035A"/>
    <w:rsid w:val="00D305DB"/>
    <w:rsid w:val="00D31C69"/>
    <w:rsid w:val="00D32BAA"/>
    <w:rsid w:val="00D33D22"/>
    <w:rsid w:val="00D34A65"/>
    <w:rsid w:val="00D411F2"/>
    <w:rsid w:val="00D42871"/>
    <w:rsid w:val="00D44293"/>
    <w:rsid w:val="00D500E0"/>
    <w:rsid w:val="00D519BD"/>
    <w:rsid w:val="00D52014"/>
    <w:rsid w:val="00D55F97"/>
    <w:rsid w:val="00D602FB"/>
    <w:rsid w:val="00D60B11"/>
    <w:rsid w:val="00D61371"/>
    <w:rsid w:val="00D646E6"/>
    <w:rsid w:val="00D64E4C"/>
    <w:rsid w:val="00D65099"/>
    <w:rsid w:val="00D6664D"/>
    <w:rsid w:val="00D66EBB"/>
    <w:rsid w:val="00D70A03"/>
    <w:rsid w:val="00D7277E"/>
    <w:rsid w:val="00D738D2"/>
    <w:rsid w:val="00D73D85"/>
    <w:rsid w:val="00D74A7F"/>
    <w:rsid w:val="00D811F9"/>
    <w:rsid w:val="00D81F13"/>
    <w:rsid w:val="00D8435D"/>
    <w:rsid w:val="00D87717"/>
    <w:rsid w:val="00D87E53"/>
    <w:rsid w:val="00D92DD1"/>
    <w:rsid w:val="00D94972"/>
    <w:rsid w:val="00D95734"/>
    <w:rsid w:val="00D9791B"/>
    <w:rsid w:val="00DA4744"/>
    <w:rsid w:val="00DA5FDD"/>
    <w:rsid w:val="00DB07CF"/>
    <w:rsid w:val="00DB10A5"/>
    <w:rsid w:val="00DB30E9"/>
    <w:rsid w:val="00DB41F3"/>
    <w:rsid w:val="00DB63F1"/>
    <w:rsid w:val="00DC29C5"/>
    <w:rsid w:val="00DC7554"/>
    <w:rsid w:val="00DC7C2E"/>
    <w:rsid w:val="00DD084B"/>
    <w:rsid w:val="00DD1048"/>
    <w:rsid w:val="00DD12A9"/>
    <w:rsid w:val="00DD12FE"/>
    <w:rsid w:val="00DD37D4"/>
    <w:rsid w:val="00DD428F"/>
    <w:rsid w:val="00DD6A37"/>
    <w:rsid w:val="00DD7A44"/>
    <w:rsid w:val="00DE1635"/>
    <w:rsid w:val="00DE3354"/>
    <w:rsid w:val="00DE76CC"/>
    <w:rsid w:val="00DF297B"/>
    <w:rsid w:val="00E011EE"/>
    <w:rsid w:val="00E01590"/>
    <w:rsid w:val="00E0524F"/>
    <w:rsid w:val="00E13885"/>
    <w:rsid w:val="00E152BB"/>
    <w:rsid w:val="00E21943"/>
    <w:rsid w:val="00E21A04"/>
    <w:rsid w:val="00E2263F"/>
    <w:rsid w:val="00E23287"/>
    <w:rsid w:val="00E257DD"/>
    <w:rsid w:val="00E2596A"/>
    <w:rsid w:val="00E26FC5"/>
    <w:rsid w:val="00E27777"/>
    <w:rsid w:val="00E34473"/>
    <w:rsid w:val="00E3659E"/>
    <w:rsid w:val="00E4425F"/>
    <w:rsid w:val="00E44D46"/>
    <w:rsid w:val="00E600E6"/>
    <w:rsid w:val="00E629D7"/>
    <w:rsid w:val="00E62F38"/>
    <w:rsid w:val="00E662DD"/>
    <w:rsid w:val="00E6778C"/>
    <w:rsid w:val="00E75BD7"/>
    <w:rsid w:val="00E810F0"/>
    <w:rsid w:val="00E83E68"/>
    <w:rsid w:val="00E862F8"/>
    <w:rsid w:val="00E9445F"/>
    <w:rsid w:val="00E96DA4"/>
    <w:rsid w:val="00EA1DEB"/>
    <w:rsid w:val="00EA6975"/>
    <w:rsid w:val="00EA6FE2"/>
    <w:rsid w:val="00EA7C41"/>
    <w:rsid w:val="00EB1754"/>
    <w:rsid w:val="00EB5386"/>
    <w:rsid w:val="00EC56FE"/>
    <w:rsid w:val="00ED617D"/>
    <w:rsid w:val="00ED63AA"/>
    <w:rsid w:val="00EE57D7"/>
    <w:rsid w:val="00EE68FA"/>
    <w:rsid w:val="00EE791D"/>
    <w:rsid w:val="00EF29D6"/>
    <w:rsid w:val="00EF41D2"/>
    <w:rsid w:val="00EF6C47"/>
    <w:rsid w:val="00EF7C68"/>
    <w:rsid w:val="00F02A7E"/>
    <w:rsid w:val="00F05317"/>
    <w:rsid w:val="00F054E3"/>
    <w:rsid w:val="00F05EBD"/>
    <w:rsid w:val="00F06C69"/>
    <w:rsid w:val="00F11D4C"/>
    <w:rsid w:val="00F127E1"/>
    <w:rsid w:val="00F12BEA"/>
    <w:rsid w:val="00F13913"/>
    <w:rsid w:val="00F15EE9"/>
    <w:rsid w:val="00F16439"/>
    <w:rsid w:val="00F16FF4"/>
    <w:rsid w:val="00F23C95"/>
    <w:rsid w:val="00F3061C"/>
    <w:rsid w:val="00F31388"/>
    <w:rsid w:val="00F33F1D"/>
    <w:rsid w:val="00F3552B"/>
    <w:rsid w:val="00F4046E"/>
    <w:rsid w:val="00F43928"/>
    <w:rsid w:val="00F443DA"/>
    <w:rsid w:val="00F44C10"/>
    <w:rsid w:val="00F44D4F"/>
    <w:rsid w:val="00F501BE"/>
    <w:rsid w:val="00F5200B"/>
    <w:rsid w:val="00F563EB"/>
    <w:rsid w:val="00F57934"/>
    <w:rsid w:val="00F61503"/>
    <w:rsid w:val="00F64DEA"/>
    <w:rsid w:val="00F67C2D"/>
    <w:rsid w:val="00F67E54"/>
    <w:rsid w:val="00F73C1C"/>
    <w:rsid w:val="00F7481E"/>
    <w:rsid w:val="00F7487B"/>
    <w:rsid w:val="00F75600"/>
    <w:rsid w:val="00F7590E"/>
    <w:rsid w:val="00F76D1C"/>
    <w:rsid w:val="00F83EEF"/>
    <w:rsid w:val="00F87B41"/>
    <w:rsid w:val="00F91F0C"/>
    <w:rsid w:val="00F94824"/>
    <w:rsid w:val="00F952C3"/>
    <w:rsid w:val="00F95A7E"/>
    <w:rsid w:val="00FB203A"/>
    <w:rsid w:val="00FC15F9"/>
    <w:rsid w:val="00FC6CD4"/>
    <w:rsid w:val="00FC6F4A"/>
    <w:rsid w:val="00FC7FD4"/>
    <w:rsid w:val="00FD0894"/>
    <w:rsid w:val="00FD2574"/>
    <w:rsid w:val="00FD387C"/>
    <w:rsid w:val="00FD57C2"/>
    <w:rsid w:val="00FD6A74"/>
    <w:rsid w:val="00FD7511"/>
    <w:rsid w:val="00FE03A4"/>
    <w:rsid w:val="00FE0B88"/>
    <w:rsid w:val="00FE6473"/>
    <w:rsid w:val="00FF2C4E"/>
    <w:rsid w:val="00FF30DE"/>
    <w:rsid w:val="00FF320F"/>
    <w:rsid w:val="00FF75E6"/>
    <w:rsid w:val="01007E42"/>
    <w:rsid w:val="01275D20"/>
    <w:rsid w:val="01384326"/>
    <w:rsid w:val="014D0B1B"/>
    <w:rsid w:val="015501C4"/>
    <w:rsid w:val="017734C4"/>
    <w:rsid w:val="01864D83"/>
    <w:rsid w:val="019A5532"/>
    <w:rsid w:val="01AA1494"/>
    <w:rsid w:val="01F376F8"/>
    <w:rsid w:val="029E7AD0"/>
    <w:rsid w:val="02A16E70"/>
    <w:rsid w:val="02D92588"/>
    <w:rsid w:val="02F545EC"/>
    <w:rsid w:val="02FA30D3"/>
    <w:rsid w:val="03090322"/>
    <w:rsid w:val="032759B1"/>
    <w:rsid w:val="03321218"/>
    <w:rsid w:val="036F159C"/>
    <w:rsid w:val="036F3769"/>
    <w:rsid w:val="03A07AD7"/>
    <w:rsid w:val="03E72AD2"/>
    <w:rsid w:val="03EC73DD"/>
    <w:rsid w:val="03F01528"/>
    <w:rsid w:val="045630D8"/>
    <w:rsid w:val="04621E5C"/>
    <w:rsid w:val="049D565A"/>
    <w:rsid w:val="04AC72EC"/>
    <w:rsid w:val="05190704"/>
    <w:rsid w:val="0531710D"/>
    <w:rsid w:val="05720883"/>
    <w:rsid w:val="057B7AFF"/>
    <w:rsid w:val="0580226C"/>
    <w:rsid w:val="059B2E14"/>
    <w:rsid w:val="05AA531D"/>
    <w:rsid w:val="05CD3179"/>
    <w:rsid w:val="05D067D9"/>
    <w:rsid w:val="05FE190F"/>
    <w:rsid w:val="06306B73"/>
    <w:rsid w:val="06315303"/>
    <w:rsid w:val="06581FA9"/>
    <w:rsid w:val="065837C0"/>
    <w:rsid w:val="06750C66"/>
    <w:rsid w:val="06982B61"/>
    <w:rsid w:val="06AE7ADB"/>
    <w:rsid w:val="06DB7470"/>
    <w:rsid w:val="06EF58D3"/>
    <w:rsid w:val="07026F93"/>
    <w:rsid w:val="07116147"/>
    <w:rsid w:val="075E76FE"/>
    <w:rsid w:val="079B0BC0"/>
    <w:rsid w:val="079C3B23"/>
    <w:rsid w:val="07B34DB3"/>
    <w:rsid w:val="07CD5B89"/>
    <w:rsid w:val="07D97FB8"/>
    <w:rsid w:val="07FC6063"/>
    <w:rsid w:val="0855720F"/>
    <w:rsid w:val="085B4F44"/>
    <w:rsid w:val="088D5F5C"/>
    <w:rsid w:val="08A26242"/>
    <w:rsid w:val="08C92A94"/>
    <w:rsid w:val="08EB0141"/>
    <w:rsid w:val="090D61C9"/>
    <w:rsid w:val="0941245A"/>
    <w:rsid w:val="094C565A"/>
    <w:rsid w:val="096D5AA7"/>
    <w:rsid w:val="0997077C"/>
    <w:rsid w:val="09BC7504"/>
    <w:rsid w:val="09FD11BF"/>
    <w:rsid w:val="0A13499B"/>
    <w:rsid w:val="0A260FC3"/>
    <w:rsid w:val="0A2B6A3F"/>
    <w:rsid w:val="0A643AC5"/>
    <w:rsid w:val="0AB823C4"/>
    <w:rsid w:val="0ACA4546"/>
    <w:rsid w:val="0B14682F"/>
    <w:rsid w:val="0B825441"/>
    <w:rsid w:val="0BA525D8"/>
    <w:rsid w:val="0BB33AF9"/>
    <w:rsid w:val="0BD50CE3"/>
    <w:rsid w:val="0BF55B92"/>
    <w:rsid w:val="0C224758"/>
    <w:rsid w:val="0C2F6006"/>
    <w:rsid w:val="0C426CB3"/>
    <w:rsid w:val="0C5056AF"/>
    <w:rsid w:val="0C5B37C6"/>
    <w:rsid w:val="0C602928"/>
    <w:rsid w:val="0C8352C9"/>
    <w:rsid w:val="0C88726E"/>
    <w:rsid w:val="0CA70999"/>
    <w:rsid w:val="0CCB7B51"/>
    <w:rsid w:val="0CE866DD"/>
    <w:rsid w:val="0CFD1647"/>
    <w:rsid w:val="0D255916"/>
    <w:rsid w:val="0D416E49"/>
    <w:rsid w:val="0D5B2BA8"/>
    <w:rsid w:val="0D8F1B47"/>
    <w:rsid w:val="0DA0360B"/>
    <w:rsid w:val="0DA47700"/>
    <w:rsid w:val="0DB52476"/>
    <w:rsid w:val="0DB55C17"/>
    <w:rsid w:val="0DC134A7"/>
    <w:rsid w:val="0E117FB7"/>
    <w:rsid w:val="0E1F2A29"/>
    <w:rsid w:val="0E4D03C4"/>
    <w:rsid w:val="0E512BF8"/>
    <w:rsid w:val="0EE64F75"/>
    <w:rsid w:val="0EF37672"/>
    <w:rsid w:val="0EF46240"/>
    <w:rsid w:val="0F1964F3"/>
    <w:rsid w:val="0F20161D"/>
    <w:rsid w:val="0F465E03"/>
    <w:rsid w:val="0F5002B6"/>
    <w:rsid w:val="0F5C1D51"/>
    <w:rsid w:val="0F620FFF"/>
    <w:rsid w:val="0F681E22"/>
    <w:rsid w:val="0F6C20F8"/>
    <w:rsid w:val="0F792CBA"/>
    <w:rsid w:val="0F9262E5"/>
    <w:rsid w:val="0FEE60A0"/>
    <w:rsid w:val="1000028B"/>
    <w:rsid w:val="100B5B75"/>
    <w:rsid w:val="10390CED"/>
    <w:rsid w:val="10647ADA"/>
    <w:rsid w:val="10797991"/>
    <w:rsid w:val="108D7FEC"/>
    <w:rsid w:val="10C34A85"/>
    <w:rsid w:val="10EB0A61"/>
    <w:rsid w:val="10F96CD3"/>
    <w:rsid w:val="110662B7"/>
    <w:rsid w:val="110D477C"/>
    <w:rsid w:val="111125C9"/>
    <w:rsid w:val="11230728"/>
    <w:rsid w:val="11292A0B"/>
    <w:rsid w:val="114317C8"/>
    <w:rsid w:val="11504EEC"/>
    <w:rsid w:val="117E3EBF"/>
    <w:rsid w:val="11921F79"/>
    <w:rsid w:val="11A63895"/>
    <w:rsid w:val="11A72E23"/>
    <w:rsid w:val="11AA0E33"/>
    <w:rsid w:val="11D465DE"/>
    <w:rsid w:val="11DB026D"/>
    <w:rsid w:val="11F35E10"/>
    <w:rsid w:val="121C256F"/>
    <w:rsid w:val="121E003E"/>
    <w:rsid w:val="123238F4"/>
    <w:rsid w:val="1238260E"/>
    <w:rsid w:val="124E6914"/>
    <w:rsid w:val="128276A4"/>
    <w:rsid w:val="12871737"/>
    <w:rsid w:val="128766BB"/>
    <w:rsid w:val="12A74158"/>
    <w:rsid w:val="12B45137"/>
    <w:rsid w:val="12B652F6"/>
    <w:rsid w:val="12D84CD4"/>
    <w:rsid w:val="12F51579"/>
    <w:rsid w:val="12FD7CCA"/>
    <w:rsid w:val="13042B7A"/>
    <w:rsid w:val="13167841"/>
    <w:rsid w:val="131909C4"/>
    <w:rsid w:val="131F2662"/>
    <w:rsid w:val="134E6BF4"/>
    <w:rsid w:val="137139DD"/>
    <w:rsid w:val="13B47F15"/>
    <w:rsid w:val="13C139AF"/>
    <w:rsid w:val="13E01C4A"/>
    <w:rsid w:val="13E747AB"/>
    <w:rsid w:val="14011AE1"/>
    <w:rsid w:val="14041631"/>
    <w:rsid w:val="14333776"/>
    <w:rsid w:val="144E16AB"/>
    <w:rsid w:val="144F6715"/>
    <w:rsid w:val="147A16BB"/>
    <w:rsid w:val="149C206F"/>
    <w:rsid w:val="14A82D17"/>
    <w:rsid w:val="14AA5797"/>
    <w:rsid w:val="14BE0FDD"/>
    <w:rsid w:val="154D743D"/>
    <w:rsid w:val="15667555"/>
    <w:rsid w:val="156D0ADE"/>
    <w:rsid w:val="158D492B"/>
    <w:rsid w:val="15A97268"/>
    <w:rsid w:val="15C2342E"/>
    <w:rsid w:val="15CF1DD7"/>
    <w:rsid w:val="15E224A7"/>
    <w:rsid w:val="160C07B5"/>
    <w:rsid w:val="16150220"/>
    <w:rsid w:val="16397A1B"/>
    <w:rsid w:val="164342FA"/>
    <w:rsid w:val="165351E7"/>
    <w:rsid w:val="165770B0"/>
    <w:rsid w:val="16835B39"/>
    <w:rsid w:val="16A22BEB"/>
    <w:rsid w:val="16A45592"/>
    <w:rsid w:val="16CB645F"/>
    <w:rsid w:val="16E11B7C"/>
    <w:rsid w:val="171820A2"/>
    <w:rsid w:val="171877C6"/>
    <w:rsid w:val="174A410A"/>
    <w:rsid w:val="17571001"/>
    <w:rsid w:val="17647109"/>
    <w:rsid w:val="17707BBF"/>
    <w:rsid w:val="177572AC"/>
    <w:rsid w:val="17776970"/>
    <w:rsid w:val="179E6119"/>
    <w:rsid w:val="17BA1FA3"/>
    <w:rsid w:val="17CB05D4"/>
    <w:rsid w:val="17CF624F"/>
    <w:rsid w:val="181270D8"/>
    <w:rsid w:val="183A7AB3"/>
    <w:rsid w:val="18402742"/>
    <w:rsid w:val="185C4B83"/>
    <w:rsid w:val="186A54F8"/>
    <w:rsid w:val="18C80336"/>
    <w:rsid w:val="18F06790"/>
    <w:rsid w:val="18FB3DF7"/>
    <w:rsid w:val="190C0B53"/>
    <w:rsid w:val="19962C12"/>
    <w:rsid w:val="19AE3FA6"/>
    <w:rsid w:val="19E26CEE"/>
    <w:rsid w:val="1A361103"/>
    <w:rsid w:val="1AC3684A"/>
    <w:rsid w:val="1ACA77FB"/>
    <w:rsid w:val="1ACC5BF8"/>
    <w:rsid w:val="1AD774CB"/>
    <w:rsid w:val="1AE92FD5"/>
    <w:rsid w:val="1B1E67F8"/>
    <w:rsid w:val="1B200CF6"/>
    <w:rsid w:val="1B2A7529"/>
    <w:rsid w:val="1B390BDC"/>
    <w:rsid w:val="1B4E55E8"/>
    <w:rsid w:val="1B645183"/>
    <w:rsid w:val="1B8E7170"/>
    <w:rsid w:val="1BBD111D"/>
    <w:rsid w:val="1BD1641F"/>
    <w:rsid w:val="1BE0443F"/>
    <w:rsid w:val="1BF84DDC"/>
    <w:rsid w:val="1C471722"/>
    <w:rsid w:val="1C5C588F"/>
    <w:rsid w:val="1C983F97"/>
    <w:rsid w:val="1CB1569A"/>
    <w:rsid w:val="1CB313F6"/>
    <w:rsid w:val="1CEF0D6A"/>
    <w:rsid w:val="1CFB6B14"/>
    <w:rsid w:val="1D047E88"/>
    <w:rsid w:val="1D3C45B0"/>
    <w:rsid w:val="1D4028B0"/>
    <w:rsid w:val="1D613CFF"/>
    <w:rsid w:val="1D630B8A"/>
    <w:rsid w:val="1DAA79DC"/>
    <w:rsid w:val="1DC56631"/>
    <w:rsid w:val="1E00462C"/>
    <w:rsid w:val="1E1C5E73"/>
    <w:rsid w:val="1E3C462A"/>
    <w:rsid w:val="1E3D5BFF"/>
    <w:rsid w:val="1E3F5B0A"/>
    <w:rsid w:val="1E402DD2"/>
    <w:rsid w:val="1E462655"/>
    <w:rsid w:val="1E4F21E4"/>
    <w:rsid w:val="1E5B585E"/>
    <w:rsid w:val="1E643DE2"/>
    <w:rsid w:val="1E703E54"/>
    <w:rsid w:val="1EA0459D"/>
    <w:rsid w:val="1EAF0AF6"/>
    <w:rsid w:val="1EB21D4C"/>
    <w:rsid w:val="1ECC5D06"/>
    <w:rsid w:val="1ED42809"/>
    <w:rsid w:val="1EEF0477"/>
    <w:rsid w:val="1EF26162"/>
    <w:rsid w:val="1F554D3F"/>
    <w:rsid w:val="1F6457D9"/>
    <w:rsid w:val="1F64740B"/>
    <w:rsid w:val="1F685024"/>
    <w:rsid w:val="1F6A2CF4"/>
    <w:rsid w:val="1F9F2549"/>
    <w:rsid w:val="1FCC5382"/>
    <w:rsid w:val="1FD86B10"/>
    <w:rsid w:val="1FFD6FC8"/>
    <w:rsid w:val="201221D2"/>
    <w:rsid w:val="202279CC"/>
    <w:rsid w:val="20441B19"/>
    <w:rsid w:val="20663493"/>
    <w:rsid w:val="2069018D"/>
    <w:rsid w:val="2078256A"/>
    <w:rsid w:val="20816F2B"/>
    <w:rsid w:val="20A0219D"/>
    <w:rsid w:val="20AB38D2"/>
    <w:rsid w:val="20B60991"/>
    <w:rsid w:val="20B87A68"/>
    <w:rsid w:val="20BF45FE"/>
    <w:rsid w:val="20C70459"/>
    <w:rsid w:val="2102069D"/>
    <w:rsid w:val="2106288F"/>
    <w:rsid w:val="210741CE"/>
    <w:rsid w:val="21082292"/>
    <w:rsid w:val="21131F82"/>
    <w:rsid w:val="21C9221A"/>
    <w:rsid w:val="22160B82"/>
    <w:rsid w:val="221E4C0D"/>
    <w:rsid w:val="22413449"/>
    <w:rsid w:val="2260049A"/>
    <w:rsid w:val="228952D6"/>
    <w:rsid w:val="2297314D"/>
    <w:rsid w:val="229F23A9"/>
    <w:rsid w:val="22A279E3"/>
    <w:rsid w:val="22BA2B41"/>
    <w:rsid w:val="22C946E0"/>
    <w:rsid w:val="22D26F9A"/>
    <w:rsid w:val="2336230E"/>
    <w:rsid w:val="233C7E85"/>
    <w:rsid w:val="237733D9"/>
    <w:rsid w:val="239F4DAE"/>
    <w:rsid w:val="23AF69F1"/>
    <w:rsid w:val="23B12896"/>
    <w:rsid w:val="23CB0902"/>
    <w:rsid w:val="23E11A3F"/>
    <w:rsid w:val="23E563DD"/>
    <w:rsid w:val="23F316BB"/>
    <w:rsid w:val="24501222"/>
    <w:rsid w:val="24763848"/>
    <w:rsid w:val="247B6F78"/>
    <w:rsid w:val="247C12B5"/>
    <w:rsid w:val="24827E18"/>
    <w:rsid w:val="24963225"/>
    <w:rsid w:val="24C31569"/>
    <w:rsid w:val="24C9231F"/>
    <w:rsid w:val="24D52D8A"/>
    <w:rsid w:val="25182DB1"/>
    <w:rsid w:val="25377C12"/>
    <w:rsid w:val="25752CBA"/>
    <w:rsid w:val="25902E9C"/>
    <w:rsid w:val="25B0273C"/>
    <w:rsid w:val="25BA31EA"/>
    <w:rsid w:val="25C45619"/>
    <w:rsid w:val="25D45C3E"/>
    <w:rsid w:val="25DD61F7"/>
    <w:rsid w:val="25E81861"/>
    <w:rsid w:val="25FA7758"/>
    <w:rsid w:val="26034EF6"/>
    <w:rsid w:val="260E6047"/>
    <w:rsid w:val="26213A2D"/>
    <w:rsid w:val="26293359"/>
    <w:rsid w:val="263D5C2C"/>
    <w:rsid w:val="2682292E"/>
    <w:rsid w:val="26AE4A01"/>
    <w:rsid w:val="26AF716B"/>
    <w:rsid w:val="26B57F3A"/>
    <w:rsid w:val="26DD7352"/>
    <w:rsid w:val="27126E5B"/>
    <w:rsid w:val="273079C1"/>
    <w:rsid w:val="273D45CB"/>
    <w:rsid w:val="27437FDF"/>
    <w:rsid w:val="274C6988"/>
    <w:rsid w:val="275B4E31"/>
    <w:rsid w:val="276E7580"/>
    <w:rsid w:val="279E1806"/>
    <w:rsid w:val="279F27E3"/>
    <w:rsid w:val="27C40F6B"/>
    <w:rsid w:val="28031EB8"/>
    <w:rsid w:val="28073099"/>
    <w:rsid w:val="281E11E4"/>
    <w:rsid w:val="2858256D"/>
    <w:rsid w:val="28907C53"/>
    <w:rsid w:val="28B92147"/>
    <w:rsid w:val="28BF0686"/>
    <w:rsid w:val="28E318D4"/>
    <w:rsid w:val="290F7409"/>
    <w:rsid w:val="29287F4B"/>
    <w:rsid w:val="293624BD"/>
    <w:rsid w:val="294D49C5"/>
    <w:rsid w:val="296231D6"/>
    <w:rsid w:val="29B616C2"/>
    <w:rsid w:val="29BA0A21"/>
    <w:rsid w:val="29BB2399"/>
    <w:rsid w:val="29C25B40"/>
    <w:rsid w:val="29C77E24"/>
    <w:rsid w:val="29DD1F3C"/>
    <w:rsid w:val="2A19597B"/>
    <w:rsid w:val="2A23324E"/>
    <w:rsid w:val="2A5D2A6E"/>
    <w:rsid w:val="2A6C2D68"/>
    <w:rsid w:val="2A6F0AFC"/>
    <w:rsid w:val="2A7439F6"/>
    <w:rsid w:val="2A7D2FC5"/>
    <w:rsid w:val="2AB31705"/>
    <w:rsid w:val="2ACE0C31"/>
    <w:rsid w:val="2AFD4EC5"/>
    <w:rsid w:val="2AFF1738"/>
    <w:rsid w:val="2B046437"/>
    <w:rsid w:val="2B1B420B"/>
    <w:rsid w:val="2B376F2C"/>
    <w:rsid w:val="2B417276"/>
    <w:rsid w:val="2B5A5895"/>
    <w:rsid w:val="2B882A1F"/>
    <w:rsid w:val="2B954A46"/>
    <w:rsid w:val="2C765025"/>
    <w:rsid w:val="2C852F06"/>
    <w:rsid w:val="2C981CCD"/>
    <w:rsid w:val="2C9F53AF"/>
    <w:rsid w:val="2CBA641B"/>
    <w:rsid w:val="2D040C32"/>
    <w:rsid w:val="2D0757A6"/>
    <w:rsid w:val="2D2E40FE"/>
    <w:rsid w:val="2D982E0B"/>
    <w:rsid w:val="2DA70BA1"/>
    <w:rsid w:val="2DB53B3B"/>
    <w:rsid w:val="2DCB5CD4"/>
    <w:rsid w:val="2DCC44FF"/>
    <w:rsid w:val="2E072654"/>
    <w:rsid w:val="2E2B3B2A"/>
    <w:rsid w:val="2E3211C6"/>
    <w:rsid w:val="2E3D32FC"/>
    <w:rsid w:val="2E5E1319"/>
    <w:rsid w:val="2E6F38EF"/>
    <w:rsid w:val="2E9A243C"/>
    <w:rsid w:val="2EC24EAE"/>
    <w:rsid w:val="2EF069F5"/>
    <w:rsid w:val="2F47109C"/>
    <w:rsid w:val="2F4B2213"/>
    <w:rsid w:val="2F757F47"/>
    <w:rsid w:val="2F880DEC"/>
    <w:rsid w:val="2F8868AA"/>
    <w:rsid w:val="2F8B4DEA"/>
    <w:rsid w:val="2F9075F6"/>
    <w:rsid w:val="2F965A58"/>
    <w:rsid w:val="2F9A594D"/>
    <w:rsid w:val="2FC51430"/>
    <w:rsid w:val="2FCC4E3E"/>
    <w:rsid w:val="2FF3519E"/>
    <w:rsid w:val="30210180"/>
    <w:rsid w:val="30303517"/>
    <w:rsid w:val="307B4A76"/>
    <w:rsid w:val="308E13FA"/>
    <w:rsid w:val="30E0512F"/>
    <w:rsid w:val="311E4999"/>
    <w:rsid w:val="312573D2"/>
    <w:rsid w:val="31300A9C"/>
    <w:rsid w:val="313207C3"/>
    <w:rsid w:val="313279B0"/>
    <w:rsid w:val="31785EB2"/>
    <w:rsid w:val="317F3D7D"/>
    <w:rsid w:val="31960D20"/>
    <w:rsid w:val="31A435DE"/>
    <w:rsid w:val="31B57F98"/>
    <w:rsid w:val="31CD0C24"/>
    <w:rsid w:val="31E05861"/>
    <w:rsid w:val="31F0559B"/>
    <w:rsid w:val="31FE7338"/>
    <w:rsid w:val="31FF60CF"/>
    <w:rsid w:val="322963D4"/>
    <w:rsid w:val="32357645"/>
    <w:rsid w:val="32490EF5"/>
    <w:rsid w:val="324E528F"/>
    <w:rsid w:val="32507A18"/>
    <w:rsid w:val="32642296"/>
    <w:rsid w:val="326B085A"/>
    <w:rsid w:val="327407DA"/>
    <w:rsid w:val="32A01606"/>
    <w:rsid w:val="32A703DC"/>
    <w:rsid w:val="32C94A9C"/>
    <w:rsid w:val="32D040EC"/>
    <w:rsid w:val="32D93D68"/>
    <w:rsid w:val="32E120A3"/>
    <w:rsid w:val="33092D4F"/>
    <w:rsid w:val="332D454F"/>
    <w:rsid w:val="33426DD3"/>
    <w:rsid w:val="334E1463"/>
    <w:rsid w:val="339165C1"/>
    <w:rsid w:val="33C85644"/>
    <w:rsid w:val="33F24A86"/>
    <w:rsid w:val="348E3F5F"/>
    <w:rsid w:val="34A07D70"/>
    <w:rsid w:val="34AE125F"/>
    <w:rsid w:val="34D66AFC"/>
    <w:rsid w:val="34D84426"/>
    <w:rsid w:val="34D85063"/>
    <w:rsid w:val="34EA6AB4"/>
    <w:rsid w:val="351E283B"/>
    <w:rsid w:val="352548D7"/>
    <w:rsid w:val="352A70A8"/>
    <w:rsid w:val="353B4008"/>
    <w:rsid w:val="359B5E22"/>
    <w:rsid w:val="359C1AAB"/>
    <w:rsid w:val="35A63D95"/>
    <w:rsid w:val="35AB3B2B"/>
    <w:rsid w:val="35B11597"/>
    <w:rsid w:val="35B27244"/>
    <w:rsid w:val="360B3E62"/>
    <w:rsid w:val="361E5F10"/>
    <w:rsid w:val="364970DE"/>
    <w:rsid w:val="364E1FAC"/>
    <w:rsid w:val="36503AF9"/>
    <w:rsid w:val="366C02C0"/>
    <w:rsid w:val="367F29FE"/>
    <w:rsid w:val="36847685"/>
    <w:rsid w:val="36C24DA9"/>
    <w:rsid w:val="36C26B8E"/>
    <w:rsid w:val="36E41E01"/>
    <w:rsid w:val="36FA7861"/>
    <w:rsid w:val="3716362D"/>
    <w:rsid w:val="3744619F"/>
    <w:rsid w:val="374E03A8"/>
    <w:rsid w:val="375F48B5"/>
    <w:rsid w:val="37797AAB"/>
    <w:rsid w:val="37965565"/>
    <w:rsid w:val="37AC0501"/>
    <w:rsid w:val="385E5A6A"/>
    <w:rsid w:val="38683E4F"/>
    <w:rsid w:val="38710E3F"/>
    <w:rsid w:val="389649C5"/>
    <w:rsid w:val="390632F0"/>
    <w:rsid w:val="390D6E0A"/>
    <w:rsid w:val="3971655D"/>
    <w:rsid w:val="39BA1ADC"/>
    <w:rsid w:val="39E304F7"/>
    <w:rsid w:val="39F40A57"/>
    <w:rsid w:val="39F41558"/>
    <w:rsid w:val="3A735F50"/>
    <w:rsid w:val="3A7727CE"/>
    <w:rsid w:val="3A8D08BE"/>
    <w:rsid w:val="3AE356EC"/>
    <w:rsid w:val="3AE83416"/>
    <w:rsid w:val="3AE84F21"/>
    <w:rsid w:val="3AF85078"/>
    <w:rsid w:val="3B1E1277"/>
    <w:rsid w:val="3B241639"/>
    <w:rsid w:val="3B2721CF"/>
    <w:rsid w:val="3B2958E9"/>
    <w:rsid w:val="3B340B10"/>
    <w:rsid w:val="3B4342F2"/>
    <w:rsid w:val="3B705907"/>
    <w:rsid w:val="3BAC54A0"/>
    <w:rsid w:val="3BB450D2"/>
    <w:rsid w:val="3BB51625"/>
    <w:rsid w:val="3BB83A55"/>
    <w:rsid w:val="3BC540CC"/>
    <w:rsid w:val="3C016259"/>
    <w:rsid w:val="3C05702B"/>
    <w:rsid w:val="3C70334F"/>
    <w:rsid w:val="3C797D13"/>
    <w:rsid w:val="3C806348"/>
    <w:rsid w:val="3CD2615F"/>
    <w:rsid w:val="3CFC24D2"/>
    <w:rsid w:val="3D11205B"/>
    <w:rsid w:val="3D136C80"/>
    <w:rsid w:val="3D3D55B3"/>
    <w:rsid w:val="3D50398D"/>
    <w:rsid w:val="3D5619DA"/>
    <w:rsid w:val="3D5B6EE5"/>
    <w:rsid w:val="3D604ED5"/>
    <w:rsid w:val="3DE25DB3"/>
    <w:rsid w:val="3DE6670E"/>
    <w:rsid w:val="3E1B54E8"/>
    <w:rsid w:val="3E1B60D4"/>
    <w:rsid w:val="3E7A463F"/>
    <w:rsid w:val="3E925B12"/>
    <w:rsid w:val="3EA71005"/>
    <w:rsid w:val="3EEF0D68"/>
    <w:rsid w:val="3EFB0FE0"/>
    <w:rsid w:val="3F0128C7"/>
    <w:rsid w:val="3F12480E"/>
    <w:rsid w:val="3F50722A"/>
    <w:rsid w:val="3F635B6B"/>
    <w:rsid w:val="3F645D9C"/>
    <w:rsid w:val="3F8E1AF4"/>
    <w:rsid w:val="3FA35235"/>
    <w:rsid w:val="3FA54560"/>
    <w:rsid w:val="3FB10B8E"/>
    <w:rsid w:val="3FCB2B69"/>
    <w:rsid w:val="3FD0327C"/>
    <w:rsid w:val="3FFD4490"/>
    <w:rsid w:val="403A3AD0"/>
    <w:rsid w:val="405A34BE"/>
    <w:rsid w:val="40650AB8"/>
    <w:rsid w:val="406D2075"/>
    <w:rsid w:val="409D2669"/>
    <w:rsid w:val="40A73A11"/>
    <w:rsid w:val="40D50F73"/>
    <w:rsid w:val="40DE5AA4"/>
    <w:rsid w:val="40E765BD"/>
    <w:rsid w:val="410D6E30"/>
    <w:rsid w:val="41412351"/>
    <w:rsid w:val="414E6719"/>
    <w:rsid w:val="416D4D8C"/>
    <w:rsid w:val="417A46D4"/>
    <w:rsid w:val="41904DF6"/>
    <w:rsid w:val="419345E1"/>
    <w:rsid w:val="41940CDA"/>
    <w:rsid w:val="41AA2509"/>
    <w:rsid w:val="41B16EBC"/>
    <w:rsid w:val="41CF0BCF"/>
    <w:rsid w:val="41D427C4"/>
    <w:rsid w:val="41E04248"/>
    <w:rsid w:val="41FE0C24"/>
    <w:rsid w:val="42042CCA"/>
    <w:rsid w:val="42812A86"/>
    <w:rsid w:val="42984A4B"/>
    <w:rsid w:val="42B56350"/>
    <w:rsid w:val="42F0227D"/>
    <w:rsid w:val="43104C13"/>
    <w:rsid w:val="432C5504"/>
    <w:rsid w:val="43365770"/>
    <w:rsid w:val="43482809"/>
    <w:rsid w:val="43727FC7"/>
    <w:rsid w:val="43794BD1"/>
    <w:rsid w:val="439006C3"/>
    <w:rsid w:val="43934B60"/>
    <w:rsid w:val="441B7677"/>
    <w:rsid w:val="447830A7"/>
    <w:rsid w:val="447E645C"/>
    <w:rsid w:val="448D2851"/>
    <w:rsid w:val="44C409AF"/>
    <w:rsid w:val="44CB6471"/>
    <w:rsid w:val="44D70159"/>
    <w:rsid w:val="4504471C"/>
    <w:rsid w:val="45263750"/>
    <w:rsid w:val="45365D89"/>
    <w:rsid w:val="4567448A"/>
    <w:rsid w:val="45791C6C"/>
    <w:rsid w:val="45974ABD"/>
    <w:rsid w:val="45D05F89"/>
    <w:rsid w:val="45F14B0B"/>
    <w:rsid w:val="460008CE"/>
    <w:rsid w:val="46107943"/>
    <w:rsid w:val="46212412"/>
    <w:rsid w:val="462430DE"/>
    <w:rsid w:val="46A301C2"/>
    <w:rsid w:val="46A54CB5"/>
    <w:rsid w:val="46A83331"/>
    <w:rsid w:val="46B215A3"/>
    <w:rsid w:val="46C36755"/>
    <w:rsid w:val="46CA76C3"/>
    <w:rsid w:val="46D027AA"/>
    <w:rsid w:val="47092F16"/>
    <w:rsid w:val="472114C8"/>
    <w:rsid w:val="47396823"/>
    <w:rsid w:val="476D5EBB"/>
    <w:rsid w:val="47711558"/>
    <w:rsid w:val="47723768"/>
    <w:rsid w:val="478A34FC"/>
    <w:rsid w:val="479335DE"/>
    <w:rsid w:val="47D9353C"/>
    <w:rsid w:val="47E54F55"/>
    <w:rsid w:val="47FA3E97"/>
    <w:rsid w:val="47FE50D5"/>
    <w:rsid w:val="483337FA"/>
    <w:rsid w:val="48604FA6"/>
    <w:rsid w:val="48961FF5"/>
    <w:rsid w:val="48A25DD0"/>
    <w:rsid w:val="48DD2962"/>
    <w:rsid w:val="48E07FF5"/>
    <w:rsid w:val="48EF5006"/>
    <w:rsid w:val="49490BB1"/>
    <w:rsid w:val="494B36B3"/>
    <w:rsid w:val="49692915"/>
    <w:rsid w:val="499769D5"/>
    <w:rsid w:val="49B45474"/>
    <w:rsid w:val="4A08695A"/>
    <w:rsid w:val="4A3847B0"/>
    <w:rsid w:val="4A3F772C"/>
    <w:rsid w:val="4A492B02"/>
    <w:rsid w:val="4A584C12"/>
    <w:rsid w:val="4A5A2F4A"/>
    <w:rsid w:val="4A6603DD"/>
    <w:rsid w:val="4A6E7668"/>
    <w:rsid w:val="4ABC719B"/>
    <w:rsid w:val="4B040E73"/>
    <w:rsid w:val="4B054806"/>
    <w:rsid w:val="4B323DAD"/>
    <w:rsid w:val="4B6C0448"/>
    <w:rsid w:val="4B911AF6"/>
    <w:rsid w:val="4B992729"/>
    <w:rsid w:val="4BB66672"/>
    <w:rsid w:val="4BF14E5C"/>
    <w:rsid w:val="4BF6455A"/>
    <w:rsid w:val="4BF74C3C"/>
    <w:rsid w:val="4C2C72E7"/>
    <w:rsid w:val="4C6243CB"/>
    <w:rsid w:val="4C6A36A5"/>
    <w:rsid w:val="4CB2203E"/>
    <w:rsid w:val="4CB736FD"/>
    <w:rsid w:val="4D221A5E"/>
    <w:rsid w:val="4D2F1ADF"/>
    <w:rsid w:val="4D397E04"/>
    <w:rsid w:val="4D5B3007"/>
    <w:rsid w:val="4D6604E2"/>
    <w:rsid w:val="4D83282D"/>
    <w:rsid w:val="4D850510"/>
    <w:rsid w:val="4DB91463"/>
    <w:rsid w:val="4DCD1359"/>
    <w:rsid w:val="4DD26CD8"/>
    <w:rsid w:val="4DE16570"/>
    <w:rsid w:val="4E36503C"/>
    <w:rsid w:val="4E577BE2"/>
    <w:rsid w:val="4E663FE6"/>
    <w:rsid w:val="4E7D306C"/>
    <w:rsid w:val="4EBC4081"/>
    <w:rsid w:val="4ED02D42"/>
    <w:rsid w:val="4EDE0AEA"/>
    <w:rsid w:val="4EE36998"/>
    <w:rsid w:val="4F067132"/>
    <w:rsid w:val="4F377CE8"/>
    <w:rsid w:val="4F42117D"/>
    <w:rsid w:val="4F48599F"/>
    <w:rsid w:val="4F4F2BC1"/>
    <w:rsid w:val="4F604C84"/>
    <w:rsid w:val="4F712114"/>
    <w:rsid w:val="4F7A0880"/>
    <w:rsid w:val="4F96706C"/>
    <w:rsid w:val="4FA060F5"/>
    <w:rsid w:val="4FC915F8"/>
    <w:rsid w:val="50421741"/>
    <w:rsid w:val="504E4277"/>
    <w:rsid w:val="50634DE0"/>
    <w:rsid w:val="506F3038"/>
    <w:rsid w:val="50952DF2"/>
    <w:rsid w:val="50B96C00"/>
    <w:rsid w:val="50EA74A0"/>
    <w:rsid w:val="50ED69D9"/>
    <w:rsid w:val="50F07683"/>
    <w:rsid w:val="512B3E20"/>
    <w:rsid w:val="51316332"/>
    <w:rsid w:val="51380AD4"/>
    <w:rsid w:val="516C70A1"/>
    <w:rsid w:val="51910F92"/>
    <w:rsid w:val="52372CD0"/>
    <w:rsid w:val="523875ED"/>
    <w:rsid w:val="526826F8"/>
    <w:rsid w:val="5273190C"/>
    <w:rsid w:val="527F02D6"/>
    <w:rsid w:val="5302247A"/>
    <w:rsid w:val="53315390"/>
    <w:rsid w:val="533A5121"/>
    <w:rsid w:val="53425BB0"/>
    <w:rsid w:val="534B0C47"/>
    <w:rsid w:val="5357444A"/>
    <w:rsid w:val="5360776D"/>
    <w:rsid w:val="537261AA"/>
    <w:rsid w:val="53D14564"/>
    <w:rsid w:val="53E411F3"/>
    <w:rsid w:val="53FA2DE8"/>
    <w:rsid w:val="544D59FD"/>
    <w:rsid w:val="546A6B00"/>
    <w:rsid w:val="54B10B69"/>
    <w:rsid w:val="54CC5E71"/>
    <w:rsid w:val="54D357A1"/>
    <w:rsid w:val="54FE79E1"/>
    <w:rsid w:val="550479F9"/>
    <w:rsid w:val="554054D5"/>
    <w:rsid w:val="5565242B"/>
    <w:rsid w:val="558B0EF2"/>
    <w:rsid w:val="56195DC5"/>
    <w:rsid w:val="56205935"/>
    <w:rsid w:val="566B2474"/>
    <w:rsid w:val="5671771B"/>
    <w:rsid w:val="569F5204"/>
    <w:rsid w:val="56A40F80"/>
    <w:rsid w:val="56B05B70"/>
    <w:rsid w:val="56E30A23"/>
    <w:rsid w:val="56F805D3"/>
    <w:rsid w:val="56F9482C"/>
    <w:rsid w:val="571B0A4D"/>
    <w:rsid w:val="57241211"/>
    <w:rsid w:val="572F2122"/>
    <w:rsid w:val="5732282D"/>
    <w:rsid w:val="57513E3C"/>
    <w:rsid w:val="57577EAB"/>
    <w:rsid w:val="575E71D1"/>
    <w:rsid w:val="57656AAF"/>
    <w:rsid w:val="57780285"/>
    <w:rsid w:val="57895841"/>
    <w:rsid w:val="579E26AC"/>
    <w:rsid w:val="57CB7122"/>
    <w:rsid w:val="57D2067D"/>
    <w:rsid w:val="57DF7614"/>
    <w:rsid w:val="580206F4"/>
    <w:rsid w:val="580F49BF"/>
    <w:rsid w:val="581F69C6"/>
    <w:rsid w:val="585A23CE"/>
    <w:rsid w:val="58B913B4"/>
    <w:rsid w:val="58BB51AE"/>
    <w:rsid w:val="58C17B61"/>
    <w:rsid w:val="58C67724"/>
    <w:rsid w:val="58F74373"/>
    <w:rsid w:val="59131FEC"/>
    <w:rsid w:val="591C2CC7"/>
    <w:rsid w:val="592B2BC8"/>
    <w:rsid w:val="5932697F"/>
    <w:rsid w:val="5945570A"/>
    <w:rsid w:val="597746E4"/>
    <w:rsid w:val="59843CBF"/>
    <w:rsid w:val="598A1022"/>
    <w:rsid w:val="59B44E5D"/>
    <w:rsid w:val="59B93578"/>
    <w:rsid w:val="59C60319"/>
    <w:rsid w:val="59EC6414"/>
    <w:rsid w:val="5A0A7C1A"/>
    <w:rsid w:val="5A4A27BF"/>
    <w:rsid w:val="5A4A7AA9"/>
    <w:rsid w:val="5A5528A4"/>
    <w:rsid w:val="5A56141B"/>
    <w:rsid w:val="5A600FB2"/>
    <w:rsid w:val="5A636A25"/>
    <w:rsid w:val="5A795462"/>
    <w:rsid w:val="5AE27334"/>
    <w:rsid w:val="5B314B9C"/>
    <w:rsid w:val="5B4F5494"/>
    <w:rsid w:val="5B5267B9"/>
    <w:rsid w:val="5B595267"/>
    <w:rsid w:val="5B5F034D"/>
    <w:rsid w:val="5B64318C"/>
    <w:rsid w:val="5B7A2A80"/>
    <w:rsid w:val="5B9E5C51"/>
    <w:rsid w:val="5BC05588"/>
    <w:rsid w:val="5BD42E24"/>
    <w:rsid w:val="5BE21F66"/>
    <w:rsid w:val="5BE83A34"/>
    <w:rsid w:val="5BFB37A6"/>
    <w:rsid w:val="5C05719D"/>
    <w:rsid w:val="5C240C7B"/>
    <w:rsid w:val="5C8D51F6"/>
    <w:rsid w:val="5C995DD4"/>
    <w:rsid w:val="5CA223D5"/>
    <w:rsid w:val="5CA52AF5"/>
    <w:rsid w:val="5CB963A2"/>
    <w:rsid w:val="5CC41C0D"/>
    <w:rsid w:val="5CCE1A7B"/>
    <w:rsid w:val="5CD66D64"/>
    <w:rsid w:val="5CE42D12"/>
    <w:rsid w:val="5D2006AE"/>
    <w:rsid w:val="5D5D7AEC"/>
    <w:rsid w:val="5DB07B64"/>
    <w:rsid w:val="5DDE2965"/>
    <w:rsid w:val="5DE55D4F"/>
    <w:rsid w:val="5DF24F34"/>
    <w:rsid w:val="5E0B635A"/>
    <w:rsid w:val="5E1F1A63"/>
    <w:rsid w:val="5E294CEB"/>
    <w:rsid w:val="5E3F0DD8"/>
    <w:rsid w:val="5E5F0DE7"/>
    <w:rsid w:val="5EA11D24"/>
    <w:rsid w:val="5ED02091"/>
    <w:rsid w:val="5ED02A30"/>
    <w:rsid w:val="5EF54261"/>
    <w:rsid w:val="5EF66F80"/>
    <w:rsid w:val="5EFD3DCB"/>
    <w:rsid w:val="5F323D85"/>
    <w:rsid w:val="5F36796D"/>
    <w:rsid w:val="5F4B17D9"/>
    <w:rsid w:val="5F5919A6"/>
    <w:rsid w:val="5F677827"/>
    <w:rsid w:val="5F82440E"/>
    <w:rsid w:val="5F895057"/>
    <w:rsid w:val="5F940A3E"/>
    <w:rsid w:val="5FE408D5"/>
    <w:rsid w:val="601B5A31"/>
    <w:rsid w:val="60210B27"/>
    <w:rsid w:val="603C0211"/>
    <w:rsid w:val="604D03DC"/>
    <w:rsid w:val="605C661D"/>
    <w:rsid w:val="60864E22"/>
    <w:rsid w:val="60992FAF"/>
    <w:rsid w:val="610424A2"/>
    <w:rsid w:val="610B3038"/>
    <w:rsid w:val="614C62F6"/>
    <w:rsid w:val="6157463B"/>
    <w:rsid w:val="617E4947"/>
    <w:rsid w:val="618C3680"/>
    <w:rsid w:val="619157A0"/>
    <w:rsid w:val="61AD7FAC"/>
    <w:rsid w:val="61B9082C"/>
    <w:rsid w:val="61BC5F9F"/>
    <w:rsid w:val="61C46E07"/>
    <w:rsid w:val="620039AE"/>
    <w:rsid w:val="62012E19"/>
    <w:rsid w:val="62044DB0"/>
    <w:rsid w:val="620C4DF8"/>
    <w:rsid w:val="62552691"/>
    <w:rsid w:val="62D754D9"/>
    <w:rsid w:val="62FE72D8"/>
    <w:rsid w:val="632259C4"/>
    <w:rsid w:val="63263D0D"/>
    <w:rsid w:val="634D2D5C"/>
    <w:rsid w:val="63632B45"/>
    <w:rsid w:val="6373260F"/>
    <w:rsid w:val="63856413"/>
    <w:rsid w:val="63AD54D7"/>
    <w:rsid w:val="63D201A3"/>
    <w:rsid w:val="63DF6D3D"/>
    <w:rsid w:val="64003D27"/>
    <w:rsid w:val="644763D7"/>
    <w:rsid w:val="64505A3F"/>
    <w:rsid w:val="646E04C5"/>
    <w:rsid w:val="649548FB"/>
    <w:rsid w:val="64AD388C"/>
    <w:rsid w:val="64B60830"/>
    <w:rsid w:val="64D81CF5"/>
    <w:rsid w:val="64DE6582"/>
    <w:rsid w:val="65074CD5"/>
    <w:rsid w:val="6537540A"/>
    <w:rsid w:val="65420BAE"/>
    <w:rsid w:val="65520C3E"/>
    <w:rsid w:val="65863C10"/>
    <w:rsid w:val="65A45561"/>
    <w:rsid w:val="66324275"/>
    <w:rsid w:val="66582833"/>
    <w:rsid w:val="667557A4"/>
    <w:rsid w:val="669F5C50"/>
    <w:rsid w:val="66C66E69"/>
    <w:rsid w:val="66DA71FC"/>
    <w:rsid w:val="66DE5DE7"/>
    <w:rsid w:val="66E9246C"/>
    <w:rsid w:val="67074C6F"/>
    <w:rsid w:val="673D3AD3"/>
    <w:rsid w:val="676A2EE8"/>
    <w:rsid w:val="676E3F85"/>
    <w:rsid w:val="67995F4B"/>
    <w:rsid w:val="67AA791C"/>
    <w:rsid w:val="67D108DA"/>
    <w:rsid w:val="681253D0"/>
    <w:rsid w:val="68212D98"/>
    <w:rsid w:val="68464F3B"/>
    <w:rsid w:val="684A64D9"/>
    <w:rsid w:val="685A6D95"/>
    <w:rsid w:val="689A74D3"/>
    <w:rsid w:val="689B44E8"/>
    <w:rsid w:val="68A32F09"/>
    <w:rsid w:val="68B94F59"/>
    <w:rsid w:val="68C0194D"/>
    <w:rsid w:val="68C65D6E"/>
    <w:rsid w:val="68DA5ADD"/>
    <w:rsid w:val="68DC1A4F"/>
    <w:rsid w:val="68F2680E"/>
    <w:rsid w:val="68FE3C20"/>
    <w:rsid w:val="690130BC"/>
    <w:rsid w:val="69107A14"/>
    <w:rsid w:val="6924250F"/>
    <w:rsid w:val="69271690"/>
    <w:rsid w:val="694C0E55"/>
    <w:rsid w:val="6959691A"/>
    <w:rsid w:val="696033A5"/>
    <w:rsid w:val="696533DD"/>
    <w:rsid w:val="696973C3"/>
    <w:rsid w:val="696F027E"/>
    <w:rsid w:val="698E4AF7"/>
    <w:rsid w:val="69981196"/>
    <w:rsid w:val="69A16F46"/>
    <w:rsid w:val="69AF1296"/>
    <w:rsid w:val="69C55233"/>
    <w:rsid w:val="69EB0D20"/>
    <w:rsid w:val="69F222E9"/>
    <w:rsid w:val="6A17696A"/>
    <w:rsid w:val="6A440E91"/>
    <w:rsid w:val="6A446202"/>
    <w:rsid w:val="6A624D6D"/>
    <w:rsid w:val="6A6B4EAC"/>
    <w:rsid w:val="6A8C667E"/>
    <w:rsid w:val="6A932B4B"/>
    <w:rsid w:val="6AE866A8"/>
    <w:rsid w:val="6AF619D0"/>
    <w:rsid w:val="6B0146A4"/>
    <w:rsid w:val="6B051D29"/>
    <w:rsid w:val="6B087F5F"/>
    <w:rsid w:val="6B676306"/>
    <w:rsid w:val="6B6D718E"/>
    <w:rsid w:val="6B711B7A"/>
    <w:rsid w:val="6BC8556D"/>
    <w:rsid w:val="6BD43669"/>
    <w:rsid w:val="6BE75C68"/>
    <w:rsid w:val="6BE8725E"/>
    <w:rsid w:val="6C152647"/>
    <w:rsid w:val="6C156D2D"/>
    <w:rsid w:val="6C187585"/>
    <w:rsid w:val="6C255D33"/>
    <w:rsid w:val="6C2F6077"/>
    <w:rsid w:val="6C3345BF"/>
    <w:rsid w:val="6C6608D6"/>
    <w:rsid w:val="6C7D5484"/>
    <w:rsid w:val="6C9852E5"/>
    <w:rsid w:val="6C992705"/>
    <w:rsid w:val="6CD858AC"/>
    <w:rsid w:val="6CFA7D7F"/>
    <w:rsid w:val="6D66521C"/>
    <w:rsid w:val="6D6F33E7"/>
    <w:rsid w:val="6D8D7A35"/>
    <w:rsid w:val="6DB81974"/>
    <w:rsid w:val="6DBD1347"/>
    <w:rsid w:val="6E2A7591"/>
    <w:rsid w:val="6E4F523E"/>
    <w:rsid w:val="6E5729A2"/>
    <w:rsid w:val="6E583A1F"/>
    <w:rsid w:val="6EAA495D"/>
    <w:rsid w:val="6EAB742B"/>
    <w:rsid w:val="6EAE1C55"/>
    <w:rsid w:val="6EB0558D"/>
    <w:rsid w:val="6EC6113E"/>
    <w:rsid w:val="6EC97476"/>
    <w:rsid w:val="6EFF1080"/>
    <w:rsid w:val="6F170E2C"/>
    <w:rsid w:val="6F1C670B"/>
    <w:rsid w:val="6F213326"/>
    <w:rsid w:val="6F3A22A7"/>
    <w:rsid w:val="6F45287E"/>
    <w:rsid w:val="6F68200A"/>
    <w:rsid w:val="6FFA1CBF"/>
    <w:rsid w:val="70531535"/>
    <w:rsid w:val="708456B8"/>
    <w:rsid w:val="70967759"/>
    <w:rsid w:val="70B60EB2"/>
    <w:rsid w:val="70BF0D6E"/>
    <w:rsid w:val="70DD0FE4"/>
    <w:rsid w:val="70E01DD1"/>
    <w:rsid w:val="70ED4F8E"/>
    <w:rsid w:val="70F61B54"/>
    <w:rsid w:val="71146B51"/>
    <w:rsid w:val="71147230"/>
    <w:rsid w:val="71161C74"/>
    <w:rsid w:val="71597165"/>
    <w:rsid w:val="717256AD"/>
    <w:rsid w:val="718544F1"/>
    <w:rsid w:val="71976406"/>
    <w:rsid w:val="71C86ADF"/>
    <w:rsid w:val="71DE2066"/>
    <w:rsid w:val="71E95523"/>
    <w:rsid w:val="720A152D"/>
    <w:rsid w:val="721809F9"/>
    <w:rsid w:val="721F1D01"/>
    <w:rsid w:val="7222649A"/>
    <w:rsid w:val="725B38DA"/>
    <w:rsid w:val="728C3229"/>
    <w:rsid w:val="72B8189F"/>
    <w:rsid w:val="72D11304"/>
    <w:rsid w:val="730C4186"/>
    <w:rsid w:val="7341102A"/>
    <w:rsid w:val="735F22A7"/>
    <w:rsid w:val="736B0572"/>
    <w:rsid w:val="737974C3"/>
    <w:rsid w:val="73A17E6A"/>
    <w:rsid w:val="73E16D57"/>
    <w:rsid w:val="73EE0AE6"/>
    <w:rsid w:val="73F63EA6"/>
    <w:rsid w:val="7410787A"/>
    <w:rsid w:val="742B5F89"/>
    <w:rsid w:val="7453624B"/>
    <w:rsid w:val="746049BA"/>
    <w:rsid w:val="74654825"/>
    <w:rsid w:val="74874E5A"/>
    <w:rsid w:val="74A227F4"/>
    <w:rsid w:val="74A2568B"/>
    <w:rsid w:val="74BA5E3A"/>
    <w:rsid w:val="74C47F76"/>
    <w:rsid w:val="74D145AA"/>
    <w:rsid w:val="74EC5275"/>
    <w:rsid w:val="74FD32BB"/>
    <w:rsid w:val="75190802"/>
    <w:rsid w:val="753D4FBB"/>
    <w:rsid w:val="754E3DD7"/>
    <w:rsid w:val="755E7856"/>
    <w:rsid w:val="7573132B"/>
    <w:rsid w:val="757934F0"/>
    <w:rsid w:val="75C80FD3"/>
    <w:rsid w:val="75D94865"/>
    <w:rsid w:val="75DC3A8B"/>
    <w:rsid w:val="76021882"/>
    <w:rsid w:val="76160679"/>
    <w:rsid w:val="761715C6"/>
    <w:rsid w:val="76414DB1"/>
    <w:rsid w:val="766574D1"/>
    <w:rsid w:val="767C3DB4"/>
    <w:rsid w:val="767D2B28"/>
    <w:rsid w:val="768F2CE9"/>
    <w:rsid w:val="76DE1045"/>
    <w:rsid w:val="771463D1"/>
    <w:rsid w:val="774A39DA"/>
    <w:rsid w:val="775B0F40"/>
    <w:rsid w:val="7764230A"/>
    <w:rsid w:val="776C147A"/>
    <w:rsid w:val="77777CEB"/>
    <w:rsid w:val="778E07E1"/>
    <w:rsid w:val="779B02BA"/>
    <w:rsid w:val="77B6114F"/>
    <w:rsid w:val="77CA4292"/>
    <w:rsid w:val="77D64484"/>
    <w:rsid w:val="77E922B4"/>
    <w:rsid w:val="78081990"/>
    <w:rsid w:val="781A58E7"/>
    <w:rsid w:val="7833145C"/>
    <w:rsid w:val="786258A4"/>
    <w:rsid w:val="787A60AB"/>
    <w:rsid w:val="788857A9"/>
    <w:rsid w:val="78CE1FD7"/>
    <w:rsid w:val="78D0463B"/>
    <w:rsid w:val="78F00FCF"/>
    <w:rsid w:val="790635A0"/>
    <w:rsid w:val="7906595E"/>
    <w:rsid w:val="7917686A"/>
    <w:rsid w:val="791E3482"/>
    <w:rsid w:val="794B7201"/>
    <w:rsid w:val="795B0ABE"/>
    <w:rsid w:val="798B1783"/>
    <w:rsid w:val="799B4525"/>
    <w:rsid w:val="79B2108A"/>
    <w:rsid w:val="7A3D307F"/>
    <w:rsid w:val="7A417E6A"/>
    <w:rsid w:val="7A92024C"/>
    <w:rsid w:val="7A98347A"/>
    <w:rsid w:val="7AA222D1"/>
    <w:rsid w:val="7AC04CFC"/>
    <w:rsid w:val="7ADF76E2"/>
    <w:rsid w:val="7B0B5BD1"/>
    <w:rsid w:val="7B930658"/>
    <w:rsid w:val="7BA53398"/>
    <w:rsid w:val="7BC71689"/>
    <w:rsid w:val="7BE20360"/>
    <w:rsid w:val="7C1A1A2B"/>
    <w:rsid w:val="7C435CA9"/>
    <w:rsid w:val="7C78688F"/>
    <w:rsid w:val="7C867510"/>
    <w:rsid w:val="7CF01DBB"/>
    <w:rsid w:val="7CF510C4"/>
    <w:rsid w:val="7D21376C"/>
    <w:rsid w:val="7D5176F5"/>
    <w:rsid w:val="7D622331"/>
    <w:rsid w:val="7D8B198E"/>
    <w:rsid w:val="7D934831"/>
    <w:rsid w:val="7DD75B87"/>
    <w:rsid w:val="7DFC7E2B"/>
    <w:rsid w:val="7E122B46"/>
    <w:rsid w:val="7E262275"/>
    <w:rsid w:val="7E2676D0"/>
    <w:rsid w:val="7E2D6854"/>
    <w:rsid w:val="7E4C723C"/>
    <w:rsid w:val="7E4F73AA"/>
    <w:rsid w:val="7E654A6D"/>
    <w:rsid w:val="7E74200D"/>
    <w:rsid w:val="7E7B6F9A"/>
    <w:rsid w:val="7EA22277"/>
    <w:rsid w:val="7EC63541"/>
    <w:rsid w:val="7EED4B13"/>
    <w:rsid w:val="7F845563"/>
    <w:rsid w:val="7F8B1A78"/>
    <w:rsid w:val="7FA418D8"/>
    <w:rsid w:val="7FA92784"/>
    <w:rsid w:val="7FB0152D"/>
    <w:rsid w:val="7FDD57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qFormat="1" w:unhideWhenUsed="0" w:uiPriority="0" w:semiHidden="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nhideWhenUsed="0" w:uiPriority="99" w:semiHidden="0" w:name="toc 6"/>
    <w:lsdException w:uiPriority="0" w:name="toc 7"/>
    <w:lsdException w:uiPriority="0" w:name="toc 8"/>
    <w:lsdException w:uiPriority="0" w:name="toc 9"/>
    <w:lsdException w:qFormat="1" w:uiPriority="0" w:semiHidden="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51"/>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link w:val="80"/>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link w:val="89"/>
    <w:autoRedefine/>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6">
    <w:name w:val="index 8"/>
    <w:basedOn w:val="1"/>
    <w:next w:val="1"/>
    <w:autoRedefine/>
    <w:qFormat/>
    <w:uiPriority w:val="0"/>
    <w:pPr>
      <w:ind w:left="2940"/>
      <w:jc w:val="center"/>
    </w:pPr>
  </w:style>
  <w:style w:type="paragraph" w:styleId="7">
    <w:name w:val="Normal Indent"/>
    <w:basedOn w:val="1"/>
    <w:autoRedefine/>
    <w:unhideWhenUsed/>
    <w:qFormat/>
    <w:uiPriority w:val="0"/>
    <w:pPr>
      <w:ind w:firstLine="420" w:firstLineChars="200"/>
    </w:pPr>
    <w:rPr>
      <w:rFonts w:eastAsia="宋体"/>
      <w:szCs w:val="20"/>
    </w:rPr>
  </w:style>
  <w:style w:type="paragraph" w:styleId="8">
    <w:name w:val="Document Map"/>
    <w:basedOn w:val="1"/>
    <w:link w:val="54"/>
    <w:autoRedefine/>
    <w:qFormat/>
    <w:uiPriority w:val="0"/>
    <w:rPr>
      <w:rFonts w:ascii="宋体" w:hAnsi="Calibri" w:eastAsia="宋体"/>
      <w:sz w:val="18"/>
      <w:szCs w:val="18"/>
    </w:rPr>
  </w:style>
  <w:style w:type="paragraph" w:styleId="9">
    <w:name w:val="toa heading"/>
    <w:basedOn w:val="1"/>
    <w:next w:val="1"/>
    <w:autoRedefine/>
    <w:unhideWhenUsed/>
    <w:qFormat/>
    <w:uiPriority w:val="99"/>
    <w:rPr>
      <w:rFonts w:ascii="Arial" w:hAnsi="Arial"/>
      <w:sz w:val="24"/>
    </w:rPr>
  </w:style>
  <w:style w:type="paragraph" w:styleId="10">
    <w:name w:val="annotation text"/>
    <w:basedOn w:val="1"/>
    <w:link w:val="56"/>
    <w:autoRedefine/>
    <w:unhideWhenUsed/>
    <w:qFormat/>
    <w:uiPriority w:val="0"/>
    <w:pPr>
      <w:jc w:val="left"/>
    </w:pPr>
    <w:rPr>
      <w:rFonts w:ascii="Calibri" w:hAnsi="Calibri"/>
    </w:rPr>
  </w:style>
  <w:style w:type="paragraph" w:styleId="11">
    <w:name w:val="Body Text"/>
    <w:basedOn w:val="1"/>
    <w:next w:val="1"/>
    <w:link w:val="45"/>
    <w:autoRedefine/>
    <w:qFormat/>
    <w:uiPriority w:val="0"/>
    <w:pPr>
      <w:spacing w:line="360" w:lineRule="auto"/>
      <w:ind w:firstLine="562" w:firstLineChars="200"/>
      <w:jc w:val="center"/>
    </w:pPr>
    <w:rPr>
      <w:rFonts w:eastAsia="宋体"/>
      <w:sz w:val="24"/>
    </w:rPr>
  </w:style>
  <w:style w:type="paragraph" w:styleId="12">
    <w:name w:val="Body Text Indent"/>
    <w:basedOn w:val="1"/>
    <w:next w:val="13"/>
    <w:autoRedefine/>
    <w:qFormat/>
    <w:uiPriority w:val="0"/>
    <w:pPr>
      <w:spacing w:line="360" w:lineRule="auto"/>
      <w:ind w:firstLine="480" w:firstLineChars="200"/>
    </w:pPr>
    <w:rPr>
      <w:rFonts w:ascii="宋体"/>
      <w:sz w:val="24"/>
      <w:szCs w:val="20"/>
    </w:rPr>
  </w:style>
  <w:style w:type="paragraph" w:styleId="13">
    <w:name w:val="envelope return"/>
    <w:basedOn w:val="1"/>
    <w:autoRedefine/>
    <w:qFormat/>
    <w:uiPriority w:val="0"/>
    <w:pPr>
      <w:widowControl/>
    </w:pPr>
    <w:rPr>
      <w:rFonts w:ascii="Arial" w:hAnsi="Arial" w:eastAsia="Arial"/>
      <w:sz w:val="20"/>
    </w:rPr>
  </w:style>
  <w:style w:type="paragraph" w:styleId="14">
    <w:name w:val="Plain Text"/>
    <w:basedOn w:val="1"/>
    <w:link w:val="59"/>
    <w:autoRedefine/>
    <w:qFormat/>
    <w:uiPriority w:val="0"/>
    <w:rPr>
      <w:rFonts w:ascii="宋体" w:hAnsi="Courier New"/>
      <w:szCs w:val="21"/>
    </w:rPr>
  </w:style>
  <w:style w:type="paragraph" w:styleId="15">
    <w:name w:val="Date"/>
    <w:basedOn w:val="1"/>
    <w:next w:val="1"/>
    <w:link w:val="50"/>
    <w:autoRedefine/>
    <w:qFormat/>
    <w:uiPriority w:val="0"/>
    <w:pPr>
      <w:ind w:left="100" w:leftChars="2500"/>
    </w:pPr>
  </w:style>
  <w:style w:type="paragraph" w:styleId="16">
    <w:name w:val="Balloon Text"/>
    <w:basedOn w:val="1"/>
    <w:link w:val="44"/>
    <w:autoRedefine/>
    <w:qFormat/>
    <w:uiPriority w:val="0"/>
    <w:rPr>
      <w:rFonts w:ascii="Calibri" w:hAnsi="Calibri"/>
      <w:sz w:val="18"/>
      <w:szCs w:val="18"/>
    </w:rPr>
  </w:style>
  <w:style w:type="paragraph" w:styleId="17">
    <w:name w:val="footer"/>
    <w:basedOn w:val="1"/>
    <w:link w:val="58"/>
    <w:autoRedefine/>
    <w:qFormat/>
    <w:uiPriority w:val="99"/>
    <w:pPr>
      <w:tabs>
        <w:tab w:val="center" w:pos="4153"/>
        <w:tab w:val="right" w:pos="8306"/>
      </w:tabs>
      <w:snapToGrid w:val="0"/>
      <w:jc w:val="left"/>
    </w:pPr>
    <w:rPr>
      <w:sz w:val="18"/>
    </w:rPr>
  </w:style>
  <w:style w:type="paragraph" w:styleId="18">
    <w:name w:val="header"/>
    <w:basedOn w:val="1"/>
    <w:link w:val="8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autoRedefine/>
    <w:qFormat/>
    <w:uiPriority w:val="39"/>
  </w:style>
  <w:style w:type="paragraph" w:styleId="20">
    <w:name w:val="Subtitle"/>
    <w:basedOn w:val="1"/>
    <w:next w:val="1"/>
    <w:autoRedefine/>
    <w:qFormat/>
    <w:uiPriority w:val="0"/>
    <w:pPr>
      <w:spacing w:before="240" w:after="60" w:line="312" w:lineRule="auto"/>
      <w:ind w:left="200" w:leftChars="200" w:firstLine="200" w:firstLineChars="200"/>
      <w:jc w:val="center"/>
      <w:outlineLvl w:val="1"/>
    </w:pPr>
    <w:rPr>
      <w:b/>
      <w:bCs/>
      <w:kern w:val="28"/>
      <w:sz w:val="20"/>
      <w:szCs w:val="32"/>
    </w:rPr>
  </w:style>
  <w:style w:type="paragraph" w:styleId="21">
    <w:name w:val="toc 6"/>
    <w:basedOn w:val="1"/>
    <w:next w:val="1"/>
    <w:autoRedefine/>
    <w:qFormat/>
    <w:uiPriority w:val="99"/>
    <w:pPr>
      <w:ind w:left="2100"/>
      <w:jc w:val="center"/>
    </w:pPr>
  </w:style>
  <w:style w:type="paragraph" w:styleId="22">
    <w:name w:val="Body Text 2"/>
    <w:basedOn w:val="1"/>
    <w:autoRedefine/>
    <w:qFormat/>
    <w:uiPriority w:val="0"/>
    <w:pPr>
      <w:spacing w:after="120" w:line="480" w:lineRule="auto"/>
    </w:pPr>
  </w:style>
  <w:style w:type="paragraph" w:styleId="23">
    <w:name w:val="HTML Preformatted"/>
    <w:basedOn w:val="1"/>
    <w:autoRedefine/>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rPr>
  </w:style>
  <w:style w:type="paragraph" w:styleId="24">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25">
    <w:name w:val="annotation subject"/>
    <w:basedOn w:val="10"/>
    <w:next w:val="10"/>
    <w:link w:val="41"/>
    <w:autoRedefine/>
    <w:qFormat/>
    <w:uiPriority w:val="0"/>
    <w:rPr>
      <w:b/>
      <w:bCs/>
    </w:rPr>
  </w:style>
  <w:style w:type="paragraph" w:styleId="26">
    <w:name w:val="Body Text First Indent"/>
    <w:basedOn w:val="11"/>
    <w:next w:val="21"/>
    <w:autoRedefine/>
    <w:qFormat/>
    <w:uiPriority w:val="0"/>
    <w:pPr>
      <w:spacing w:after="120"/>
      <w:ind w:firstLine="420" w:firstLineChars="100"/>
    </w:pPr>
  </w:style>
  <w:style w:type="paragraph" w:styleId="27">
    <w:name w:val="Body Text First Indent 2"/>
    <w:basedOn w:val="12"/>
    <w:autoRedefine/>
    <w:qFormat/>
    <w:uiPriority w:val="99"/>
    <w:pPr>
      <w:adjustRightInd w:val="0"/>
      <w:spacing w:after="120" w:line="520" w:lineRule="exact"/>
      <w:ind w:firstLine="210" w:firstLineChars="0"/>
      <w:textAlignment w:val="baseline"/>
    </w:pPr>
    <w:rPr>
      <w:rFonts w:ascii="黑体" w:hAnsi="Arial" w:eastAsia="黑体" w:cs="黑体"/>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autoRedefine/>
    <w:qFormat/>
    <w:uiPriority w:val="0"/>
    <w:rPr>
      <w:b/>
    </w:rPr>
  </w:style>
  <w:style w:type="character" w:styleId="32">
    <w:name w:val="Hyperlink"/>
    <w:autoRedefine/>
    <w:qFormat/>
    <w:uiPriority w:val="99"/>
    <w:rPr>
      <w:color w:val="0000FF"/>
      <w:u w:val="single"/>
    </w:rPr>
  </w:style>
  <w:style w:type="character" w:styleId="33">
    <w:name w:val="annotation reference"/>
    <w:basedOn w:val="30"/>
    <w:autoRedefine/>
    <w:unhideWhenUsed/>
    <w:qFormat/>
    <w:uiPriority w:val="0"/>
    <w:rPr>
      <w:sz w:val="21"/>
      <w:szCs w:val="21"/>
    </w:rPr>
  </w:style>
  <w:style w:type="paragraph" w:customStyle="1" w:styleId="3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5">
    <w:name w:val="样式 10 磅31114"/>
    <w:basedOn w:val="1"/>
    <w:autoRedefine/>
    <w:qFormat/>
    <w:uiPriority w:val="0"/>
  </w:style>
  <w:style w:type="paragraph" w:customStyle="1" w:styleId="36">
    <w:name w:val="_Style 3"/>
    <w:next w:val="1"/>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37">
    <w:name w:val="正文文本首行缩进1"/>
    <w:basedOn w:val="11"/>
    <w:next w:val="1"/>
    <w:link w:val="52"/>
    <w:autoRedefine/>
    <w:qFormat/>
    <w:uiPriority w:val="0"/>
    <w:pPr>
      <w:spacing w:after="120"/>
      <w:ind w:firstLine="420" w:firstLineChars="100"/>
    </w:pPr>
  </w:style>
  <w:style w:type="character" w:customStyle="1" w:styleId="38">
    <w:name w:val="批注文字 Char"/>
    <w:autoRedefine/>
    <w:qFormat/>
    <w:uiPriority w:val="99"/>
    <w:rPr>
      <w:rFonts w:ascii="Calibri" w:hAnsi="Calibri" w:eastAsia="仿宋" w:cs="Times New Roman"/>
      <w:kern w:val="2"/>
      <w:sz w:val="21"/>
      <w:szCs w:val="24"/>
    </w:rPr>
  </w:style>
  <w:style w:type="character" w:customStyle="1" w:styleId="39">
    <w:name w:val="control-label-text2"/>
    <w:autoRedefine/>
    <w:qFormat/>
    <w:uiPriority w:val="0"/>
  </w:style>
  <w:style w:type="character" w:customStyle="1" w:styleId="40">
    <w:name w:val="正文文本 Char1"/>
    <w:autoRedefine/>
    <w:qFormat/>
    <w:uiPriority w:val="0"/>
    <w:rPr>
      <w:rFonts w:eastAsia="仿宋"/>
      <w:kern w:val="2"/>
      <w:sz w:val="21"/>
      <w:szCs w:val="24"/>
    </w:rPr>
  </w:style>
  <w:style w:type="character" w:customStyle="1" w:styleId="41">
    <w:name w:val="批注主题 字符"/>
    <w:link w:val="25"/>
    <w:autoRedefine/>
    <w:qFormat/>
    <w:uiPriority w:val="0"/>
    <w:rPr>
      <w:rFonts w:ascii="Calibri" w:hAnsi="Calibri" w:eastAsia="仿宋" w:cs="Times New Roman"/>
      <w:b/>
      <w:bCs/>
      <w:kern w:val="2"/>
      <w:sz w:val="21"/>
      <w:szCs w:val="24"/>
    </w:rPr>
  </w:style>
  <w:style w:type="character" w:customStyle="1" w:styleId="42">
    <w:name w:val="文档结构图 Char"/>
    <w:autoRedefine/>
    <w:qFormat/>
    <w:uiPriority w:val="0"/>
    <w:rPr>
      <w:rFonts w:ascii="宋体" w:hAnsi="Calibri" w:cs="Times New Roman"/>
      <w:kern w:val="2"/>
      <w:sz w:val="18"/>
      <w:szCs w:val="18"/>
    </w:rPr>
  </w:style>
  <w:style w:type="character" w:customStyle="1" w:styleId="43">
    <w:name w:val="批注主题 Char"/>
    <w:autoRedefine/>
    <w:qFormat/>
    <w:uiPriority w:val="0"/>
    <w:rPr>
      <w:rFonts w:ascii="Calibri" w:hAnsi="Calibri" w:eastAsia="仿宋" w:cs="Times New Roman"/>
      <w:b/>
      <w:bCs/>
      <w:kern w:val="2"/>
      <w:sz w:val="21"/>
      <w:szCs w:val="24"/>
    </w:rPr>
  </w:style>
  <w:style w:type="character" w:customStyle="1" w:styleId="44">
    <w:name w:val="批注框文本 字符"/>
    <w:link w:val="16"/>
    <w:autoRedefine/>
    <w:qFormat/>
    <w:uiPriority w:val="0"/>
    <w:rPr>
      <w:rFonts w:ascii="Calibri" w:hAnsi="Calibri" w:eastAsia="仿宋" w:cs="Times New Roman"/>
      <w:kern w:val="2"/>
      <w:sz w:val="18"/>
      <w:szCs w:val="18"/>
    </w:rPr>
  </w:style>
  <w:style w:type="character" w:customStyle="1" w:styleId="45">
    <w:name w:val="正文文本 字符"/>
    <w:link w:val="11"/>
    <w:autoRedefine/>
    <w:qFormat/>
    <w:uiPriority w:val="0"/>
    <w:rPr>
      <w:kern w:val="2"/>
      <w:sz w:val="24"/>
      <w:szCs w:val="24"/>
    </w:rPr>
  </w:style>
  <w:style w:type="character" w:customStyle="1" w:styleId="46">
    <w:name w:val="日期 Char1"/>
    <w:autoRedefine/>
    <w:qFormat/>
    <w:uiPriority w:val="0"/>
    <w:rPr>
      <w:rFonts w:eastAsia="仿宋"/>
      <w:kern w:val="2"/>
      <w:sz w:val="21"/>
      <w:szCs w:val="24"/>
    </w:rPr>
  </w:style>
  <w:style w:type="character" w:customStyle="1" w:styleId="47">
    <w:name w:val="fontstyle01"/>
    <w:autoRedefine/>
    <w:qFormat/>
    <w:uiPriority w:val="0"/>
    <w:rPr>
      <w:rFonts w:hint="default" w:ascii="MicrosoftYaHei" w:hAnsi="MicrosoftYaHei"/>
      <w:color w:val="000000"/>
      <w:sz w:val="22"/>
      <w:szCs w:val="22"/>
    </w:rPr>
  </w:style>
  <w:style w:type="character" w:customStyle="1" w:styleId="48">
    <w:name w:val="无间隔 字符"/>
    <w:link w:val="49"/>
    <w:autoRedefine/>
    <w:qFormat/>
    <w:uiPriority w:val="1"/>
    <w:rPr>
      <w:sz w:val="22"/>
      <w:szCs w:val="22"/>
      <w:lang w:val="en-US" w:eastAsia="zh-CN" w:bidi="ar-SA"/>
    </w:rPr>
  </w:style>
  <w:style w:type="paragraph" w:styleId="49">
    <w:name w:val="No Spacing"/>
    <w:link w:val="48"/>
    <w:autoRedefine/>
    <w:qFormat/>
    <w:uiPriority w:val="1"/>
    <w:rPr>
      <w:rFonts w:ascii="Times New Roman" w:hAnsi="Times New Roman" w:eastAsia="宋体" w:cs="Times New Roman"/>
      <w:sz w:val="22"/>
      <w:szCs w:val="22"/>
      <w:lang w:val="en-US" w:eastAsia="zh-CN" w:bidi="ar-SA"/>
    </w:rPr>
  </w:style>
  <w:style w:type="character" w:customStyle="1" w:styleId="50">
    <w:name w:val="日期 字符"/>
    <w:link w:val="15"/>
    <w:autoRedefine/>
    <w:qFormat/>
    <w:uiPriority w:val="0"/>
    <w:rPr>
      <w:rFonts w:eastAsia="仿宋"/>
      <w:kern w:val="2"/>
      <w:sz w:val="21"/>
      <w:szCs w:val="24"/>
    </w:rPr>
  </w:style>
  <w:style w:type="character" w:customStyle="1" w:styleId="51">
    <w:name w:val="标题 1 字符"/>
    <w:link w:val="2"/>
    <w:autoRedefine/>
    <w:qFormat/>
    <w:uiPriority w:val="0"/>
    <w:rPr>
      <w:rFonts w:ascii="Calibri" w:hAnsi="Calibri" w:eastAsia="仿宋" w:cs="Times New Roman"/>
      <w:b/>
      <w:kern w:val="44"/>
      <w:sz w:val="44"/>
      <w:szCs w:val="24"/>
    </w:rPr>
  </w:style>
  <w:style w:type="character" w:customStyle="1" w:styleId="52">
    <w:name w:val="正文文本首行缩进 字符"/>
    <w:link w:val="37"/>
    <w:autoRedefine/>
    <w:qFormat/>
    <w:uiPriority w:val="0"/>
  </w:style>
  <w:style w:type="character" w:customStyle="1" w:styleId="53">
    <w:name w:val="标题 1 Char"/>
    <w:autoRedefine/>
    <w:qFormat/>
    <w:uiPriority w:val="0"/>
    <w:rPr>
      <w:rFonts w:ascii="Calibri" w:hAnsi="Calibri" w:eastAsia="仿宋" w:cs="Times New Roman"/>
      <w:b/>
      <w:kern w:val="44"/>
      <w:sz w:val="44"/>
      <w:szCs w:val="24"/>
    </w:rPr>
  </w:style>
  <w:style w:type="character" w:customStyle="1" w:styleId="54">
    <w:name w:val="文档结构图 字符"/>
    <w:link w:val="8"/>
    <w:autoRedefine/>
    <w:qFormat/>
    <w:uiPriority w:val="0"/>
    <w:rPr>
      <w:rFonts w:ascii="宋体" w:hAnsi="Calibri" w:cs="Times New Roman"/>
      <w:kern w:val="2"/>
      <w:sz w:val="18"/>
      <w:szCs w:val="18"/>
    </w:rPr>
  </w:style>
  <w:style w:type="character" w:customStyle="1" w:styleId="55">
    <w:name w:val="正文首行缩进 Char1"/>
    <w:autoRedefine/>
    <w:qFormat/>
    <w:uiPriority w:val="0"/>
  </w:style>
  <w:style w:type="character" w:customStyle="1" w:styleId="56">
    <w:name w:val="批注文字 字符"/>
    <w:link w:val="10"/>
    <w:autoRedefine/>
    <w:qFormat/>
    <w:uiPriority w:val="99"/>
    <w:rPr>
      <w:rFonts w:ascii="Calibri" w:hAnsi="Calibri" w:eastAsia="仿宋" w:cs="Times New Roman"/>
      <w:kern w:val="2"/>
      <w:sz w:val="21"/>
      <w:szCs w:val="24"/>
    </w:rPr>
  </w:style>
  <w:style w:type="character" w:customStyle="1" w:styleId="57">
    <w:name w:val="批注框文本 Char"/>
    <w:autoRedefine/>
    <w:qFormat/>
    <w:uiPriority w:val="0"/>
    <w:rPr>
      <w:rFonts w:ascii="Calibri" w:hAnsi="Calibri" w:eastAsia="仿宋" w:cs="Times New Roman"/>
      <w:kern w:val="2"/>
      <w:sz w:val="18"/>
      <w:szCs w:val="18"/>
    </w:rPr>
  </w:style>
  <w:style w:type="character" w:customStyle="1" w:styleId="58">
    <w:name w:val="页脚 字符"/>
    <w:link w:val="17"/>
    <w:autoRedefine/>
    <w:qFormat/>
    <w:uiPriority w:val="99"/>
    <w:rPr>
      <w:rFonts w:eastAsia="仿宋"/>
      <w:kern w:val="2"/>
      <w:sz w:val="18"/>
      <w:szCs w:val="24"/>
    </w:rPr>
  </w:style>
  <w:style w:type="character" w:customStyle="1" w:styleId="59">
    <w:name w:val="纯文本 字符"/>
    <w:link w:val="14"/>
    <w:autoRedefine/>
    <w:qFormat/>
    <w:uiPriority w:val="0"/>
    <w:rPr>
      <w:rFonts w:ascii="宋体" w:hAnsi="Courier New" w:eastAsia="仿宋" w:cs="Courier New"/>
      <w:kern w:val="2"/>
      <w:sz w:val="21"/>
      <w:szCs w:val="21"/>
    </w:rPr>
  </w:style>
  <w:style w:type="paragraph" w:customStyle="1" w:styleId="60">
    <w:name w:val="目录 11"/>
    <w:basedOn w:val="1"/>
    <w:next w:val="1"/>
    <w:autoRedefine/>
    <w:qFormat/>
    <w:uiPriority w:val="0"/>
  </w:style>
  <w:style w:type="paragraph" w:customStyle="1" w:styleId="61">
    <w:name w:val="_Style 29"/>
    <w:basedOn w:val="1"/>
    <w:next w:val="62"/>
    <w:autoRedefine/>
    <w:qFormat/>
    <w:uiPriority w:val="34"/>
    <w:pPr>
      <w:ind w:firstLine="420" w:firstLineChars="200"/>
    </w:pPr>
    <w:rPr>
      <w:rFonts w:eastAsia="宋体"/>
    </w:rPr>
  </w:style>
  <w:style w:type="paragraph" w:customStyle="1" w:styleId="62">
    <w:name w:val="列表段落1"/>
    <w:basedOn w:val="1"/>
    <w:autoRedefine/>
    <w:qFormat/>
    <w:uiPriority w:val="34"/>
    <w:pPr>
      <w:ind w:firstLine="420" w:firstLineChars="200"/>
    </w:pPr>
  </w:style>
  <w:style w:type="paragraph" w:customStyle="1" w:styleId="63">
    <w:name w:val="WPSOffice手动目录 1"/>
    <w:autoRedefine/>
    <w:qFormat/>
    <w:uiPriority w:val="0"/>
    <w:rPr>
      <w:rFonts w:ascii="Times New Roman" w:hAnsi="Times New Roman" w:eastAsia="宋体" w:cs="Times New Roman"/>
      <w:lang w:val="en-US" w:eastAsia="zh-CN" w:bidi="ar-SA"/>
    </w:rPr>
  </w:style>
  <w:style w:type="paragraph" w:customStyle="1" w:styleId="64">
    <w:name w:val="列出段落11"/>
    <w:basedOn w:val="1"/>
    <w:autoRedefine/>
    <w:qFormat/>
    <w:uiPriority w:val="34"/>
    <w:pPr>
      <w:ind w:firstLine="420" w:firstLineChars="200"/>
    </w:pPr>
    <w:rPr>
      <w:rFonts w:ascii="Calibri" w:hAnsi="Calibri" w:eastAsia="宋体"/>
      <w:szCs w:val="22"/>
      <w:lang w:val="zh-CN"/>
    </w:rPr>
  </w:style>
  <w:style w:type="paragraph" w:customStyle="1" w:styleId="65">
    <w:name w:val="样式1"/>
    <w:basedOn w:val="1"/>
    <w:autoRedefine/>
    <w:qFormat/>
    <w:uiPriority w:val="0"/>
    <w:pPr>
      <w:tabs>
        <w:tab w:val="left" w:pos="709"/>
      </w:tabs>
      <w:adjustRightInd w:val="0"/>
      <w:ind w:left="709" w:hanging="709"/>
      <w:textAlignment w:val="baseline"/>
    </w:pPr>
    <w:rPr>
      <w:rFonts w:ascii="宋体" w:hAnsi="宋体"/>
      <w:kern w:val="0"/>
      <w:szCs w:val="21"/>
    </w:rPr>
  </w:style>
  <w:style w:type="paragraph" w:customStyle="1" w:styleId="66">
    <w:name w:val="_Style 4"/>
    <w:autoRedefine/>
    <w:qFormat/>
    <w:uiPriority w:val="1"/>
    <w:rPr>
      <w:rFonts w:ascii="Times New Roman" w:hAnsi="Times New Roman" w:eastAsia="宋体" w:cs="Times New Roman"/>
      <w:sz w:val="22"/>
      <w:szCs w:val="22"/>
      <w:lang w:val="en-US" w:eastAsia="zh-CN" w:bidi="ar-SA"/>
    </w:rPr>
  </w:style>
  <w:style w:type="paragraph" w:customStyle="1" w:styleId="67">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68">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69">
    <w:name w:val="_Style 2"/>
    <w:basedOn w:val="1"/>
    <w:autoRedefine/>
    <w:qFormat/>
    <w:uiPriority w:val="34"/>
    <w:pPr>
      <w:widowControl/>
      <w:spacing w:after="200" w:line="276" w:lineRule="auto"/>
      <w:ind w:left="720"/>
      <w:contextualSpacing/>
      <w:jc w:val="left"/>
    </w:pPr>
    <w:rPr>
      <w:rFonts w:eastAsia="宋体"/>
      <w:kern w:val="0"/>
      <w:sz w:val="22"/>
      <w:szCs w:val="22"/>
    </w:rPr>
  </w:style>
  <w:style w:type="paragraph" w:customStyle="1" w:styleId="70">
    <w:name w:val="样式H"/>
    <w:basedOn w:val="2"/>
    <w:next w:val="1"/>
    <w:autoRedefine/>
    <w:qFormat/>
    <w:uiPriority w:val="0"/>
    <w:pPr>
      <w:spacing w:before="100" w:line="500" w:lineRule="exact"/>
    </w:pPr>
  </w:style>
  <w:style w:type="paragraph" w:customStyle="1" w:styleId="71">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2">
    <w:name w:val="无间隔1"/>
    <w:autoRedefine/>
    <w:qFormat/>
    <w:uiPriority w:val="1"/>
    <w:rPr>
      <w:rFonts w:ascii="Times New Roman" w:hAnsi="Times New Roman" w:eastAsia="宋体" w:cs="Times New Roman"/>
      <w:sz w:val="22"/>
      <w:szCs w:val="22"/>
      <w:lang w:val="en-US" w:eastAsia="zh-CN" w:bidi="ar-SA"/>
    </w:rPr>
  </w:style>
  <w:style w:type="paragraph" w:customStyle="1" w:styleId="73">
    <w:name w:val="Table Paragraph"/>
    <w:basedOn w:val="1"/>
    <w:autoRedefine/>
    <w:qFormat/>
    <w:uiPriority w:val="1"/>
    <w:rPr>
      <w:rFonts w:ascii="Calibri" w:hAnsi="Calibri" w:eastAsia="宋体"/>
    </w:rPr>
  </w:style>
  <w:style w:type="paragraph" w:customStyle="1" w:styleId="74">
    <w:name w:val="样式N"/>
    <w:basedOn w:val="70"/>
    <w:autoRedefine/>
    <w:qFormat/>
    <w:uiPriority w:val="0"/>
    <w:rPr>
      <w:sz w:val="30"/>
    </w:rPr>
  </w:style>
  <w:style w:type="table" w:customStyle="1" w:styleId="75">
    <w:name w:val="网格型1"/>
    <w:basedOn w:val="2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6">
    <w:name w:val="访问过的超链接1"/>
    <w:autoRedefine/>
    <w:unhideWhenUsed/>
    <w:qFormat/>
    <w:uiPriority w:val="99"/>
    <w:rPr>
      <w:color w:val="954F72"/>
      <w:u w:val="single"/>
    </w:rPr>
  </w:style>
  <w:style w:type="paragraph" w:customStyle="1" w:styleId="77">
    <w:name w:val="font5"/>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78">
    <w:name w:val="xl65"/>
    <w:basedOn w:val="1"/>
    <w:autoRedefine/>
    <w:qFormat/>
    <w:uiPriority w:val="0"/>
    <w:pPr>
      <w:widowControl/>
      <w:spacing w:before="100" w:beforeAutospacing="1" w:after="100" w:afterAutospacing="1"/>
      <w:jc w:val="center"/>
    </w:pPr>
    <w:rPr>
      <w:rFonts w:ascii="宋体" w:hAnsi="宋体" w:eastAsia="宋体" w:cs="宋体"/>
      <w:kern w:val="0"/>
      <w:sz w:val="24"/>
    </w:rPr>
  </w:style>
  <w:style w:type="paragraph" w:customStyle="1" w:styleId="79">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rPr>
  </w:style>
  <w:style w:type="character" w:customStyle="1" w:styleId="80">
    <w:name w:val="标题 2 字符"/>
    <w:link w:val="3"/>
    <w:autoRedefine/>
    <w:qFormat/>
    <w:uiPriority w:val="0"/>
    <w:rPr>
      <w:rFonts w:ascii="Arial" w:hAnsi="Arial" w:eastAsia="仿宋"/>
      <w:b/>
      <w:kern w:val="2"/>
      <w:sz w:val="28"/>
      <w:szCs w:val="24"/>
    </w:rPr>
  </w:style>
  <w:style w:type="character" w:customStyle="1" w:styleId="81">
    <w:name w:val="批注文字 Char1"/>
    <w:autoRedefine/>
    <w:qFormat/>
    <w:uiPriority w:val="99"/>
    <w:rPr>
      <w:rFonts w:ascii="Calibri" w:hAnsi="Calibri" w:eastAsia="仿宋" w:cs="Times New Roman"/>
      <w:kern w:val="2"/>
      <w:sz w:val="21"/>
      <w:szCs w:val="24"/>
    </w:rPr>
  </w:style>
  <w:style w:type="paragraph" w:customStyle="1" w:styleId="82">
    <w:name w:val="Normal_1"/>
    <w:autoRedefine/>
    <w:qFormat/>
    <w:uiPriority w:val="0"/>
    <w:rPr>
      <w:rFonts w:ascii="Times New Roman" w:hAnsi="Times New Roman" w:eastAsia="宋体" w:cs="Times New Roman"/>
      <w:sz w:val="24"/>
      <w:szCs w:val="24"/>
      <w:lang w:val="en-US" w:eastAsia="zh-CN" w:bidi="ar-SA"/>
    </w:rPr>
  </w:style>
  <w:style w:type="character" w:customStyle="1" w:styleId="83">
    <w:name w:val="NormalCharacter"/>
    <w:autoRedefine/>
    <w:qFormat/>
    <w:uiPriority w:val="0"/>
  </w:style>
  <w:style w:type="character" w:customStyle="1" w:styleId="84">
    <w:name w:val="font41"/>
    <w:basedOn w:val="30"/>
    <w:autoRedefine/>
    <w:qFormat/>
    <w:uiPriority w:val="0"/>
    <w:rPr>
      <w:rFonts w:hint="eastAsia" w:ascii="宋体" w:hAnsi="宋体" w:eastAsia="宋体" w:cs="宋体"/>
      <w:color w:val="000000"/>
      <w:sz w:val="21"/>
      <w:szCs w:val="21"/>
      <w:u w:val="none"/>
    </w:rPr>
  </w:style>
  <w:style w:type="paragraph" w:customStyle="1" w:styleId="85">
    <w:name w:val="表格内容_左对齐"/>
    <w:basedOn w:val="1"/>
    <w:autoRedefine/>
    <w:qFormat/>
    <w:uiPriority w:val="0"/>
    <w:pPr>
      <w:widowControl/>
      <w:jc w:val="left"/>
    </w:pPr>
    <w:rPr>
      <w:rFonts w:ascii="宋体" w:hAnsi="宋体" w:eastAsia="宋体" w:cs="宋体"/>
      <w:color w:val="000000"/>
      <w:kern w:val="0"/>
      <w:sz w:val="22"/>
      <w:szCs w:val="22"/>
    </w:rPr>
  </w:style>
  <w:style w:type="paragraph" w:customStyle="1" w:styleId="86">
    <w:name w:val="表行"/>
    <w:basedOn w:val="1"/>
    <w:autoRedefine/>
    <w:qFormat/>
    <w:uiPriority w:val="0"/>
    <w:pPr>
      <w:widowControl/>
      <w:spacing w:beforeLines="50"/>
    </w:pPr>
    <w:rPr>
      <w:rFonts w:eastAsia="宋体"/>
      <w:kern w:val="0"/>
    </w:rPr>
  </w:style>
  <w:style w:type="character" w:customStyle="1" w:styleId="87">
    <w:name w:val="页眉 字符"/>
    <w:basedOn w:val="30"/>
    <w:link w:val="18"/>
    <w:autoRedefine/>
    <w:qFormat/>
    <w:uiPriority w:val="99"/>
    <w:rPr>
      <w:rFonts w:eastAsia="仿宋"/>
      <w:kern w:val="2"/>
      <w:sz w:val="18"/>
      <w:szCs w:val="24"/>
    </w:rPr>
  </w:style>
  <w:style w:type="paragraph" w:customStyle="1" w:styleId="88">
    <w:name w:val="Normal_6"/>
    <w:autoRedefine/>
    <w:qFormat/>
    <w:uiPriority w:val="0"/>
    <w:rPr>
      <w:rFonts w:ascii="Times New Roman" w:hAnsi="Times New Roman" w:eastAsia="Times New Roman" w:cs="Times New Roman"/>
      <w:sz w:val="24"/>
      <w:szCs w:val="24"/>
      <w:lang w:val="en-US" w:eastAsia="zh-CN" w:bidi="ar-SA"/>
    </w:rPr>
  </w:style>
  <w:style w:type="character" w:customStyle="1" w:styleId="89">
    <w:name w:val="标题 3 字符"/>
    <w:basedOn w:val="30"/>
    <w:link w:val="4"/>
    <w:autoRedefine/>
    <w:semiHidden/>
    <w:qFormat/>
    <w:uiPriority w:val="0"/>
    <w:rPr>
      <w:rFonts w:eastAsia="仿宋"/>
      <w:b/>
      <w:bCs/>
      <w:kern w:val="2"/>
      <w:sz w:val="32"/>
      <w:szCs w:val="32"/>
    </w:rPr>
  </w:style>
  <w:style w:type="paragraph" w:customStyle="1" w:styleId="90">
    <w:name w:val="表 靠左"/>
    <w:basedOn w:val="91"/>
    <w:autoRedefine/>
    <w:qFormat/>
    <w:uiPriority w:val="0"/>
    <w:pPr>
      <w:jc w:val="left"/>
    </w:pPr>
    <w:rPr>
      <w:rFonts w:ascii="宋体" w:hAnsi="宋体"/>
    </w:rPr>
  </w:style>
  <w:style w:type="paragraph" w:customStyle="1" w:styleId="91">
    <w:name w:val="表"/>
    <w:basedOn w:val="1"/>
    <w:next w:val="1"/>
    <w:autoRedefine/>
    <w:qFormat/>
    <w:uiPriority w:val="7"/>
    <w:pPr>
      <w:jc w:val="center"/>
    </w:pPr>
    <w:rPr>
      <w:rFonts w:ascii="Calibri" w:hAnsi="Calibri"/>
    </w:rPr>
  </w:style>
  <w:style w:type="paragraph" w:styleId="92">
    <w:name w:val="List Paragraph"/>
    <w:basedOn w:val="1"/>
    <w:autoRedefine/>
    <w:qFormat/>
    <w:uiPriority w:val="99"/>
    <w:pPr>
      <w:ind w:firstLine="420" w:firstLineChars="200"/>
    </w:pPr>
  </w:style>
  <w:style w:type="paragraph" w:customStyle="1" w:styleId="93">
    <w:name w:val="修订1"/>
    <w:autoRedefine/>
    <w:hidden/>
    <w:unhideWhenUsed/>
    <w:qFormat/>
    <w:uiPriority w:val="99"/>
    <w:rPr>
      <w:rFonts w:ascii="Times New Roman" w:hAnsi="Times New Roman" w:eastAsia="仿宋" w:cs="Times New Roman"/>
      <w:kern w:val="2"/>
      <w:sz w:val="21"/>
      <w:szCs w:val="24"/>
      <w:lang w:val="en-US" w:eastAsia="zh-CN" w:bidi="ar-SA"/>
    </w:rPr>
  </w:style>
  <w:style w:type="character" w:customStyle="1" w:styleId="94">
    <w:name w:val="font01"/>
    <w:basedOn w:val="30"/>
    <w:autoRedefine/>
    <w:qFormat/>
    <w:uiPriority w:val="0"/>
    <w:rPr>
      <w:rFonts w:hint="eastAsia" w:ascii="楷体_GB2312" w:eastAsia="楷体_GB2312" w:cs="楷体_GB2312"/>
      <w:color w:val="000000"/>
      <w:sz w:val="24"/>
      <w:szCs w:val="24"/>
      <w:u w:val="none"/>
    </w:rPr>
  </w:style>
  <w:style w:type="paragraph" w:customStyle="1" w:styleId="95">
    <w:name w:val="Default"/>
    <w:autoRedefine/>
    <w:qFormat/>
    <w:uiPriority w:val="0"/>
    <w:pPr>
      <w:widowControl w:val="0"/>
      <w:autoSpaceDE w:val="0"/>
      <w:autoSpaceDN w:val="0"/>
    </w:pPr>
    <w:rPr>
      <w:rFonts w:hint="eastAsia" w:ascii="Calibri" w:hAnsi="Calibri" w:eastAsia="宋体" w:cs="Times New Roman"/>
      <w:color w:val="000000"/>
      <w:sz w:val="24"/>
      <w:lang w:val="en-US" w:eastAsia="zh-CN" w:bidi="ar-SA"/>
    </w:rPr>
  </w:style>
  <w:style w:type="paragraph" w:customStyle="1" w:styleId="96">
    <w:name w:val="列出段落1"/>
    <w:basedOn w:val="1"/>
    <w:autoRedefine/>
    <w:qFormat/>
    <w:uiPriority w:val="34"/>
    <w:pPr>
      <w:widowControl/>
      <w:spacing w:after="200" w:line="276" w:lineRule="auto"/>
      <w:ind w:left="720"/>
      <w:contextualSpacing/>
      <w:jc w:val="left"/>
    </w:pPr>
    <w:rPr>
      <w:rFonts w:ascii="Calibri" w:hAnsi="Calibri"/>
      <w:kern w:val="0"/>
      <w:sz w:val="22"/>
      <w:szCs w:val="22"/>
    </w:rPr>
  </w:style>
  <w:style w:type="paragraph" w:customStyle="1" w:styleId="97">
    <w:name w:val="正文1"/>
    <w:basedOn w:val="1"/>
    <w:autoRedefine/>
    <w:qFormat/>
    <w:uiPriority w:val="0"/>
    <w:pPr>
      <w:widowControl/>
    </w:pPr>
    <w:rPr>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63</Pages>
  <Words>33159</Words>
  <Characters>35276</Characters>
  <Lines>327</Lines>
  <Paragraphs>92</Paragraphs>
  <TotalTime>1</TotalTime>
  <ScaleCrop>false</ScaleCrop>
  <LinksUpToDate>false</LinksUpToDate>
  <CharactersWithSpaces>36185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2023-10-17T01:26:00Z</dcterms:created>
  <dc:creator>meimei</dc:creator>
  <cp:lastModifiedBy>清</cp:lastModifiedBy>
  <cp:lastPrinted>2021-09-16T04:35:00Z</cp:lastPrinted>
  <dcterms:modified xsi:type="dcterms:W3CDTF">2024-06-04T02:08:23Z</dcterms:modified>
  <dc:title>辽宁省政府采购项目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899E59044A0348E5BFEC4F0C6FCA5509_13</vt:lpwstr>
  </property>
</Properties>
</file>