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CDB440">
      <w:pPr>
        <w:adjustRightInd w:val="0"/>
        <w:snapToGrid w:val="0"/>
        <w:spacing w:after="156" w:afterLines="50" w:line="360" w:lineRule="auto"/>
        <w:jc w:val="center"/>
        <w:outlineLvl w:val="0"/>
        <w:rPr>
          <w:rFonts w:ascii="黑体" w:eastAsia="黑体"/>
          <w:b/>
          <w:kern w:val="44"/>
          <w:sz w:val="48"/>
          <w:szCs w:val="20"/>
        </w:rPr>
      </w:pPr>
      <w:bookmarkStart w:id="3" w:name="_GoBack"/>
      <w:bookmarkEnd w:id="3"/>
      <w:bookmarkStart w:id="0" w:name="_Toc129880039"/>
      <w:bookmarkStart w:id="1" w:name="_Toc512937852"/>
      <w:r>
        <w:rPr>
          <w:rFonts w:hint="eastAsia" w:ascii="宋体" w:hAnsi="宋体"/>
          <w:b/>
          <w:sz w:val="30"/>
          <w:szCs w:val="30"/>
        </w:rPr>
        <w:t>第八部分 采购需求</w:t>
      </w:r>
      <w:bookmarkEnd w:id="0"/>
    </w:p>
    <w:bookmarkEnd w:id="1"/>
    <w:p w14:paraId="5C88C3EE"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货物需求一览表</w:t>
      </w:r>
    </w:p>
    <w:p w14:paraId="05D162A6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tbl>
      <w:tblPr>
        <w:tblStyle w:val="38"/>
        <w:tblW w:w="759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40"/>
        <w:gridCol w:w="2357"/>
        <w:gridCol w:w="1329"/>
        <w:gridCol w:w="2470"/>
      </w:tblGrid>
      <w:tr w14:paraId="51B5A41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1440" w:type="dxa"/>
            <w:vAlign w:val="center"/>
          </w:tcPr>
          <w:p w14:paraId="4CC21DF8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包号</w:t>
            </w:r>
          </w:p>
        </w:tc>
        <w:tc>
          <w:tcPr>
            <w:tcW w:w="2357" w:type="dxa"/>
            <w:vAlign w:val="center"/>
          </w:tcPr>
          <w:p w14:paraId="4E049E9E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货物名称</w:t>
            </w:r>
          </w:p>
        </w:tc>
        <w:tc>
          <w:tcPr>
            <w:tcW w:w="1329" w:type="dxa"/>
            <w:vAlign w:val="center"/>
          </w:tcPr>
          <w:p w14:paraId="2245DFFA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数量</w:t>
            </w:r>
          </w:p>
        </w:tc>
        <w:tc>
          <w:tcPr>
            <w:tcW w:w="2470" w:type="dxa"/>
            <w:vAlign w:val="center"/>
          </w:tcPr>
          <w:p w14:paraId="6DAE45B8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是否接受进口</w:t>
            </w:r>
          </w:p>
        </w:tc>
      </w:tr>
      <w:tr w14:paraId="3B8BE70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1440" w:type="dxa"/>
            <w:vAlign w:val="center"/>
          </w:tcPr>
          <w:p w14:paraId="406611E7"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</w:t>
            </w:r>
          </w:p>
        </w:tc>
        <w:tc>
          <w:tcPr>
            <w:tcW w:w="2357" w:type="dxa"/>
            <w:vAlign w:val="center"/>
          </w:tcPr>
          <w:p w14:paraId="26C9A030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等离子体质谱仪</w:t>
            </w:r>
          </w:p>
        </w:tc>
        <w:tc>
          <w:tcPr>
            <w:tcW w:w="1329" w:type="dxa"/>
            <w:vAlign w:val="center"/>
          </w:tcPr>
          <w:p w14:paraId="2013200A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1套</w:t>
            </w:r>
          </w:p>
        </w:tc>
        <w:tc>
          <w:tcPr>
            <w:tcW w:w="2470" w:type="dxa"/>
            <w:vAlign w:val="center"/>
          </w:tcPr>
          <w:p w14:paraId="18C0E7DE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否</w:t>
            </w:r>
          </w:p>
        </w:tc>
      </w:tr>
    </w:tbl>
    <w:p w14:paraId="012A8D93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58860350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2839F5C6">
      <w:pPr>
        <w:rPr>
          <w:rFonts w:ascii="Bookman Old Style" w:hAnsi="Bookman Old Style"/>
          <w:sz w:val="24"/>
        </w:rPr>
      </w:pPr>
      <w:r>
        <w:rPr>
          <w:rFonts w:hint="eastAsia"/>
          <w:sz w:val="24"/>
        </w:rPr>
        <w:t>注：投标人须对上述投标内容中完整的一包或几包进行投标，</w:t>
      </w:r>
      <w:r>
        <w:rPr>
          <w:rFonts w:hint="eastAsia" w:ascii="Bookman Old Style" w:hAnsi="Bookman Old Style"/>
          <w:sz w:val="24"/>
        </w:rPr>
        <w:t>不完整的投标将视为非响应性投标予以拒绝。</w:t>
      </w:r>
    </w:p>
    <w:p w14:paraId="52966679">
      <w:pPr>
        <w:adjustRightInd w:val="0"/>
        <w:snapToGrid w:val="0"/>
        <w:rPr>
          <w:rFonts w:hint="eastAsia" w:ascii="宋体" w:hAnsi="宋体"/>
          <w:szCs w:val="21"/>
        </w:rPr>
      </w:pPr>
    </w:p>
    <w:p w14:paraId="6EE61CFA">
      <w:pPr>
        <w:adjustRightInd w:val="0"/>
        <w:snapToGrid w:val="0"/>
        <w:rPr>
          <w:rFonts w:hint="eastAsia" w:ascii="宋体" w:hAnsi="宋体"/>
          <w:szCs w:val="21"/>
        </w:rPr>
      </w:pPr>
    </w:p>
    <w:p w14:paraId="0CF287AD">
      <w:pPr>
        <w:adjustRightInd w:val="0"/>
        <w:snapToGrid w:val="0"/>
        <w:rPr>
          <w:rFonts w:hint="eastAsia" w:ascii="宋体" w:hAnsi="宋体"/>
          <w:szCs w:val="21"/>
        </w:rPr>
      </w:pPr>
    </w:p>
    <w:p w14:paraId="4F4BBE34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</w:rPr>
      </w:pPr>
      <w:r>
        <w:rPr>
          <w:rFonts w:ascii="宋体" w:hAnsi="宋体"/>
          <w:b/>
          <w:sz w:val="30"/>
          <w:szCs w:val="30"/>
        </w:rPr>
        <w:br w:type="page"/>
      </w:r>
      <w:r>
        <w:rPr>
          <w:rFonts w:hint="eastAsia" w:ascii="宋体" w:hAnsi="宋体"/>
          <w:b/>
          <w:sz w:val="28"/>
          <w:szCs w:val="28"/>
        </w:rPr>
        <w:t>一、总则</w:t>
      </w:r>
    </w:p>
    <w:p w14:paraId="27CCC03C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>1</w:t>
      </w:r>
      <w:r>
        <w:rPr>
          <w:rFonts w:hint="eastAsia" w:ascii="宋体" w:hAnsi="宋体"/>
          <w:b/>
          <w:sz w:val="28"/>
          <w:szCs w:val="28"/>
        </w:rPr>
        <w:t>、投标要求</w:t>
      </w:r>
    </w:p>
    <w:p w14:paraId="74F7947C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 xml:space="preserve">1.1 </w:t>
      </w:r>
      <w:r>
        <w:rPr>
          <w:rFonts w:hint="eastAsia" w:ascii="宋体" w:hAnsi="宋体"/>
          <w:sz w:val="24"/>
        </w:rPr>
        <w:t xml:space="preserve"> 投标人在准备投标书时，务必在所提供的商品的技术规格文件中，标明型号、商标名称、目录号。</w:t>
      </w:r>
    </w:p>
    <w:p w14:paraId="59085F51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313D9373">
      <w:pPr>
        <w:spacing w:line="360" w:lineRule="auto"/>
        <w:ind w:left="554" w:hanging="554" w:hangingChars="231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 xml:space="preserve">1.3  </w:t>
      </w:r>
      <w:r>
        <w:rPr>
          <w:rFonts w:hint="eastAsia"/>
          <w:sz w:val="24"/>
        </w:rPr>
        <w:t>投标人提供的</w:t>
      </w:r>
      <w:r>
        <w:rPr>
          <w:rFonts w:hint="eastAsia" w:ascii="宋体"/>
          <w:sz w:val="24"/>
        </w:rPr>
        <w:t>产品</w:t>
      </w:r>
      <w:r>
        <w:rPr>
          <w:rFonts w:hint="eastAsia"/>
          <w:sz w:val="24"/>
        </w:rPr>
        <w:t>样本，必须是“原件”而非复印件，</w:t>
      </w:r>
      <w:r>
        <w:rPr>
          <w:rFonts w:hint="eastAsia" w:ascii="宋体"/>
          <w:sz w:val="24"/>
        </w:rPr>
        <w:t>图表、简图、电路图以及印刷电路板图等都应</w:t>
      </w:r>
      <w:r>
        <w:rPr>
          <w:rFonts w:hint="eastAsia"/>
          <w:sz w:val="24"/>
        </w:rPr>
        <w:t>清晰易读。买方有权</w:t>
      </w:r>
      <w:r>
        <w:rPr>
          <w:rFonts w:hint="eastAsia" w:ascii="宋体"/>
          <w:sz w:val="24"/>
        </w:rPr>
        <w:t>不付任何附加费用</w:t>
      </w:r>
      <w:r>
        <w:rPr>
          <w:rFonts w:hint="eastAsia"/>
          <w:sz w:val="24"/>
        </w:rPr>
        <w:t>复制这些资料</w:t>
      </w:r>
      <w:r>
        <w:rPr>
          <w:rFonts w:hint="eastAsia" w:ascii="宋体"/>
          <w:sz w:val="24"/>
        </w:rPr>
        <w:t>以供参考。</w:t>
      </w:r>
    </w:p>
    <w:p w14:paraId="224E6145">
      <w:pPr>
        <w:spacing w:line="360" w:lineRule="auto"/>
        <w:ind w:left="554" w:hanging="554" w:hangingChars="231"/>
        <w:rPr>
          <w:rFonts w:ascii="宋体"/>
          <w:sz w:val="24"/>
        </w:rPr>
      </w:pPr>
      <w:r>
        <w:rPr>
          <w:rFonts w:hint="eastAsia" w:ascii="宋体"/>
          <w:sz w:val="24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33F65A46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2、评标标准</w:t>
      </w:r>
    </w:p>
    <w:p w14:paraId="0CF210D7">
      <w:pPr>
        <w:spacing w:line="360" w:lineRule="auto"/>
        <w:ind w:left="554" w:hanging="554" w:hangingChars="231"/>
        <w:rPr>
          <w:rFonts w:asci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 xml:space="preserve">1  </w:t>
      </w:r>
      <w:r>
        <w:rPr>
          <w:rFonts w:hint="eastAsia"/>
          <w:sz w:val="24"/>
        </w:rPr>
        <w:t>除招标文件中指定的附件和专用工具外，</w:t>
      </w:r>
      <w:r>
        <w:rPr>
          <w:rFonts w:hint="eastAsia" w:ascii="宋体"/>
          <w:sz w:val="24"/>
        </w:rPr>
        <w:t>投标人应提供仪器设备的正常运行和常规保养所需的全套标准附件、专用工具</w:t>
      </w:r>
      <w:r>
        <w:rPr>
          <w:rFonts w:hint="eastAsia"/>
          <w:sz w:val="24"/>
        </w:rPr>
        <w:t>和消耗品</w:t>
      </w:r>
      <w:r>
        <w:rPr>
          <w:rFonts w:hint="eastAsia" w:ascii="宋体"/>
          <w:sz w:val="24"/>
        </w:rPr>
        <w:t>。投标人在投标书中需列出这些附件和工具的数量和单价的清单，这些附件和工具的报价的总值需计入投标价中。</w:t>
      </w:r>
    </w:p>
    <w:p w14:paraId="3D7CC0AD">
      <w:pPr>
        <w:spacing w:line="360" w:lineRule="auto"/>
        <w:ind w:left="554" w:hanging="554" w:hangingChars="231"/>
        <w:rPr>
          <w:sz w:val="24"/>
        </w:rPr>
      </w:pPr>
      <w:r>
        <w:rPr>
          <w:rFonts w:hint="eastAsia" w:ascii="宋体" w:hAnsi="宋体"/>
          <w:sz w:val="24"/>
        </w:rPr>
        <w:t xml:space="preserve">2.2  </w:t>
      </w:r>
      <w:r>
        <w:rPr>
          <w:rFonts w:hint="eastAsia"/>
          <w:sz w:val="24"/>
        </w:rPr>
        <w:t>对于标书</w:t>
      </w:r>
      <w:r>
        <w:rPr>
          <w:rFonts w:hint="eastAsia" w:ascii="宋体"/>
          <w:sz w:val="24"/>
        </w:rPr>
        <w:t>技术规范中已列</w:t>
      </w:r>
      <w:r>
        <w:rPr>
          <w:rFonts w:hint="eastAsia"/>
          <w:sz w:val="24"/>
        </w:rPr>
        <w:t>出的作为查询选件的附件、零配件、专用工具和消耗品，投标书中</w:t>
      </w:r>
      <w:r>
        <w:rPr>
          <w:rFonts w:hint="eastAsia" w:ascii="宋体"/>
          <w:sz w:val="24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75F88C01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2.3  为便于用户进行接收仪器的准备工作，卖方应在合同生效后</w:t>
      </w:r>
      <w:r>
        <w:rPr>
          <w:rFonts w:hint="eastAsia" w:ascii="宋体" w:hAnsi="宋体"/>
          <w:b/>
          <w:sz w:val="24"/>
        </w:rPr>
        <w:t>60</w:t>
      </w:r>
      <w:r>
        <w:rPr>
          <w:rFonts w:hint="eastAsia" w:ascii="宋体" w:hAnsi="宋体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5B1FF66D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hint="eastAsia" w:ascii="宋体" w:hAnsi="宋体"/>
          <w:sz w:val="24"/>
        </w:rPr>
        <w:t>4</w:t>
      </w:r>
      <w:r>
        <w:rPr>
          <w:rFonts w:ascii="宋体" w:hAnsi="宋体"/>
          <w:sz w:val="24"/>
        </w:rPr>
        <w:t xml:space="preserve"> </w:t>
      </w:r>
      <w:r>
        <w:rPr>
          <w:rFonts w:hint="eastAsia" w:ascii="宋体" w:hAnsi="宋体"/>
          <w:sz w:val="24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743D9B5F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7A7E7B4D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3、工作条件</w:t>
      </w:r>
    </w:p>
    <w:p w14:paraId="614D3979">
      <w:pPr>
        <w:spacing w:after="312" w:afterLines="100"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除非在技术规格中另有说明，所有仪器、设备和系统都应符合下列要求：</w:t>
      </w:r>
      <w:r>
        <w:rPr>
          <w:rFonts w:ascii="宋体" w:hAnsi="宋体"/>
          <w:sz w:val="24"/>
        </w:rPr>
        <w:t xml:space="preserve"> </w:t>
      </w:r>
    </w:p>
    <w:p w14:paraId="6AA2C493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3.1  适于在气温为摄氏</w:t>
      </w:r>
      <w:r>
        <w:rPr>
          <w:rFonts w:ascii="宋体" w:hAnsi="宋体"/>
          <w:b/>
          <w:sz w:val="24"/>
        </w:rPr>
        <w:t>-40</w:t>
      </w:r>
      <w:r>
        <w:rPr>
          <w:rFonts w:hint="eastAsia" w:ascii="宋体" w:hAnsi="宋体"/>
          <w:b/>
          <w:sz w:val="24"/>
        </w:rPr>
        <w:t>℃～＋</w:t>
      </w:r>
      <w:r>
        <w:rPr>
          <w:rFonts w:ascii="宋体" w:hAnsi="宋体"/>
          <w:b/>
          <w:sz w:val="24"/>
        </w:rPr>
        <w:t>50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和相对湿度为</w:t>
      </w:r>
      <w:r>
        <w:rPr>
          <w:rFonts w:ascii="宋体" w:hAnsi="宋体"/>
          <w:b/>
          <w:sz w:val="24"/>
        </w:rPr>
        <w:t>90</w:t>
      </w:r>
      <w:r>
        <w:rPr>
          <w:rFonts w:hint="eastAsia" w:ascii="宋体" w:hAnsi="宋体"/>
          <w:b/>
          <w:sz w:val="24"/>
        </w:rPr>
        <w:t>％</w:t>
      </w:r>
      <w:r>
        <w:rPr>
          <w:rFonts w:hint="eastAsia" w:ascii="宋体" w:hAnsi="宋体"/>
          <w:sz w:val="24"/>
        </w:rPr>
        <w:t>的环境条件下运输和贮存。</w:t>
      </w:r>
    </w:p>
    <w:p w14:paraId="015C31A5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3.2  适于在电源</w:t>
      </w:r>
      <w:r>
        <w:rPr>
          <w:rFonts w:ascii="宋体" w:hAnsi="宋体"/>
          <w:b/>
          <w:sz w:val="24"/>
        </w:rPr>
        <w:t>220V</w:t>
      </w:r>
      <w:r>
        <w:rPr>
          <w:rFonts w:hint="eastAsia" w:ascii="宋体" w:hAnsi="宋体"/>
          <w:b/>
          <w:sz w:val="24"/>
        </w:rPr>
        <w:t>（</w:t>
      </w:r>
      <w:r>
        <w:rPr>
          <w:rFonts w:ascii="宋体" w:hAnsi="宋体"/>
          <w:b/>
          <w:sz w:val="24"/>
        </w:rPr>
        <w:sym w:font="Symbol" w:char="F0B1"/>
      </w:r>
      <w:r>
        <w:rPr>
          <w:rFonts w:ascii="宋体" w:hAnsi="宋体"/>
          <w:b/>
          <w:sz w:val="24"/>
        </w:rPr>
        <w:t>10</w:t>
      </w:r>
      <w:r>
        <w:rPr>
          <w:rFonts w:hint="eastAsia" w:ascii="宋体" w:hAnsi="宋体"/>
          <w:b/>
          <w:sz w:val="24"/>
        </w:rPr>
        <w:t>％）</w:t>
      </w:r>
      <w:r>
        <w:rPr>
          <w:rFonts w:ascii="宋体" w:hAnsi="宋体"/>
          <w:b/>
          <w:sz w:val="24"/>
        </w:rPr>
        <w:t>/50Hz</w:t>
      </w:r>
      <w:r>
        <w:rPr>
          <w:rFonts w:hint="eastAsia" w:ascii="宋体" w:hAnsi="宋体"/>
          <w:sz w:val="24"/>
        </w:rPr>
        <w:t>、气温摄氏</w:t>
      </w:r>
      <w:r>
        <w:rPr>
          <w:rFonts w:hint="eastAsia" w:ascii="宋体" w:hAnsi="宋体"/>
          <w:b/>
          <w:sz w:val="24"/>
        </w:rPr>
        <w:t>+1</w:t>
      </w:r>
      <w:r>
        <w:rPr>
          <w:rFonts w:ascii="宋体" w:hAnsi="宋体"/>
          <w:b/>
          <w:sz w:val="24"/>
        </w:rPr>
        <w:t>5</w:t>
      </w:r>
      <w:r>
        <w:rPr>
          <w:rFonts w:hint="eastAsia" w:ascii="宋体" w:hAnsi="宋体"/>
          <w:b/>
          <w:sz w:val="24"/>
        </w:rPr>
        <w:t>℃～＋3</w:t>
      </w:r>
      <w:r>
        <w:rPr>
          <w:rFonts w:ascii="宋体" w:hAnsi="宋体"/>
          <w:b/>
          <w:sz w:val="24"/>
        </w:rPr>
        <w:t>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和相对湿度小于</w:t>
      </w:r>
      <w:r>
        <w:rPr>
          <w:rFonts w:ascii="宋体" w:hAnsi="宋体"/>
          <w:b/>
          <w:sz w:val="24"/>
        </w:rPr>
        <w:t>8</w:t>
      </w:r>
      <w:r>
        <w:rPr>
          <w:rFonts w:hint="eastAsia" w:ascii="宋体" w:hAnsi="宋体"/>
          <w:b/>
          <w:sz w:val="24"/>
        </w:rPr>
        <w:t>0％</w:t>
      </w:r>
      <w:r>
        <w:rPr>
          <w:rFonts w:hint="eastAsia" w:ascii="宋体" w:hAnsi="宋体"/>
          <w:sz w:val="24"/>
        </w:rPr>
        <w:t>的环境条件下运行。</w:t>
      </w:r>
      <w:r>
        <w:rPr>
          <w:rFonts w:hint="eastAsia" w:ascii="宋体" w:hAnsi="宋体"/>
          <w:b/>
          <w:sz w:val="24"/>
        </w:rPr>
        <w:t>能够连续正常工作。</w:t>
      </w:r>
    </w:p>
    <w:p w14:paraId="48E92C2E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3.3  配置符合中国有关标准要求的插头，如果没有这样的插头，则需</w:t>
      </w:r>
      <w:r>
        <w:rPr>
          <w:rFonts w:hint="eastAsia" w:ascii="宋体"/>
          <w:sz w:val="24"/>
        </w:rPr>
        <w:t>提供适当的转</w:t>
      </w:r>
      <w:r>
        <w:rPr>
          <w:rFonts w:hint="eastAsia" w:ascii="宋体" w:hAnsi="宋体"/>
          <w:sz w:val="24"/>
        </w:rPr>
        <w:t>换插座。</w:t>
      </w:r>
    </w:p>
    <w:p w14:paraId="3450C51E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19A6DE20">
      <w:pPr>
        <w:rPr>
          <w:rFonts w:eastAsia="黑体"/>
          <w:b/>
          <w:bCs/>
          <w:kern w:val="44"/>
          <w:sz w:val="24"/>
        </w:rPr>
      </w:pPr>
    </w:p>
    <w:p w14:paraId="31A43D61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4、验收标准</w:t>
      </w:r>
    </w:p>
    <w:p w14:paraId="04D37E38">
      <w:pPr>
        <w:spacing w:after="312" w:afterLines="100"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除非在技术规格中另有说明，所有仪器、设备和系统按下列要求进行验收：</w:t>
      </w:r>
      <w:r>
        <w:rPr>
          <w:rFonts w:ascii="宋体" w:hAnsi="宋体"/>
          <w:sz w:val="24"/>
        </w:rPr>
        <w:t xml:space="preserve"> </w:t>
      </w:r>
    </w:p>
    <w:p w14:paraId="409DE4DD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4.1  仪器设备运抵安装现场后，买方将与卖方共同开箱验收，如卖方届时不派人来，则验收结果应以买方的验收报告为最终验收结果。验收时发现短缺、破损，买方有权要求卖方负责更换。</w:t>
      </w:r>
    </w:p>
    <w:p w14:paraId="0461C6CF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4.2  </w:t>
      </w:r>
      <w:r>
        <w:rPr>
          <w:rFonts w:hint="eastAsia"/>
          <w:sz w:val="24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3614A27B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4.3  </w:t>
      </w:r>
      <w:r>
        <w:rPr>
          <w:rFonts w:ascii="宋体" w:hAnsi="宋体"/>
          <w:sz w:val="24"/>
        </w:rPr>
        <w:t>验收由采购人、中标人及相关人员依国家有关标准、合同及有关附件要求进行</w:t>
      </w:r>
      <w:r>
        <w:rPr>
          <w:rFonts w:hint="eastAsia" w:ascii="宋体" w:hAnsi="宋体"/>
          <w:sz w:val="24"/>
        </w:rPr>
        <w:t>，</w:t>
      </w:r>
      <w:r>
        <w:rPr>
          <w:rFonts w:ascii="宋体" w:hAnsi="宋体"/>
          <w:sz w:val="24"/>
        </w:rPr>
        <w:t>验收完毕由采购人及中标人在验收报告上签名。</w:t>
      </w:r>
    </w:p>
    <w:p w14:paraId="50AA13C3">
      <w:pPr>
        <w:pStyle w:val="20"/>
        <w:spacing w:line="360" w:lineRule="auto"/>
        <w:ind w:left="410" w:hanging="410" w:hangingChars="170"/>
        <w:rPr>
          <w:rFonts w:hint="eastAsia" w:hAnsi="宋体"/>
          <w:b/>
          <w:sz w:val="24"/>
          <w:szCs w:val="24"/>
        </w:rPr>
      </w:pPr>
    </w:p>
    <w:p w14:paraId="27C4F9D5">
      <w:pPr>
        <w:adjustRightInd w:val="0"/>
        <w:snapToGrid w:val="0"/>
        <w:spacing w:line="360" w:lineRule="auto"/>
        <w:rPr>
          <w:rFonts w:hint="eastAsia" w:hAnsi="宋体"/>
          <w:b/>
          <w:sz w:val="24"/>
        </w:rPr>
      </w:pPr>
      <w:r>
        <w:rPr>
          <w:rFonts w:hint="eastAsia"/>
          <w:b/>
          <w:bCs/>
          <w:sz w:val="24"/>
        </w:rPr>
        <w:t>5、本采购需求书中标注“★”号技术条款的为实质性要求，不满足其投标将视为无效投标被拒绝。</w:t>
      </w:r>
    </w:p>
    <w:p w14:paraId="4AB119A0">
      <w:pPr>
        <w:adjustRightInd w:val="0"/>
        <w:snapToGrid w:val="0"/>
        <w:spacing w:line="360" w:lineRule="auto"/>
        <w:rPr>
          <w:rFonts w:hint="eastAsia" w:ascii="宋体" w:hAnsi="宋体"/>
          <w:b/>
          <w:sz w:val="24"/>
        </w:rPr>
      </w:pPr>
    </w:p>
    <w:p w14:paraId="0730E047">
      <w:pPr>
        <w:adjustRightInd w:val="0"/>
        <w:snapToGrid w:val="0"/>
        <w:spacing w:line="360" w:lineRule="auto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6、如在具体技术规格中有本总则不一致之处，以具体技术规格中的要求为准。</w:t>
      </w:r>
    </w:p>
    <w:p w14:paraId="7918AC67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</w:rPr>
        <w:br w:type="page"/>
      </w:r>
      <w:r>
        <w:rPr>
          <w:rFonts w:hint="eastAsia" w:ascii="宋体" w:hAnsi="宋体"/>
          <w:b/>
          <w:sz w:val="28"/>
          <w:szCs w:val="28"/>
        </w:rPr>
        <w:t>二、具体技术规格</w:t>
      </w:r>
    </w:p>
    <w:p w14:paraId="429AD67E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第1包等离子体质谱仪</w:t>
      </w:r>
    </w:p>
    <w:p w14:paraId="492368FA">
      <w:pPr>
        <w:rPr>
          <w:b/>
          <w:sz w:val="24"/>
        </w:rPr>
      </w:pPr>
    </w:p>
    <w:p w14:paraId="6E7F2A6A">
      <w:pPr>
        <w:rPr>
          <w:b/>
          <w:sz w:val="24"/>
        </w:rPr>
      </w:pPr>
    </w:p>
    <w:p w14:paraId="1F8B1E6B">
      <w:pPr>
        <w:numPr>
          <w:ilvl w:val="0"/>
          <w:numId w:val="1"/>
        </w:numPr>
        <w:rPr>
          <w:b/>
          <w:sz w:val="24"/>
        </w:rPr>
      </w:pPr>
      <w:r>
        <w:rPr>
          <w:rFonts w:hint="eastAsia"/>
          <w:b/>
          <w:sz w:val="24"/>
        </w:rPr>
        <w:t>技术要求：</w:t>
      </w:r>
    </w:p>
    <w:p w14:paraId="371AB6BA">
      <w:pPr>
        <w:rPr>
          <w:b/>
          <w:sz w:val="24"/>
        </w:rPr>
      </w:pPr>
    </w:p>
    <w:p w14:paraId="16E0DED4">
      <w:pPr>
        <w:numPr>
          <w:ilvl w:val="0"/>
          <w:numId w:val="2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总体要求：</w:t>
      </w:r>
    </w:p>
    <w:p w14:paraId="4BD13C03">
      <w:pPr>
        <w:spacing w:line="360" w:lineRule="auto"/>
        <w:rPr>
          <w:sz w:val="24"/>
        </w:rPr>
      </w:pPr>
      <w:r>
        <w:rPr>
          <w:rFonts w:hint="eastAsia"/>
          <w:sz w:val="24"/>
        </w:rPr>
        <w:t>等离子体质谱仪（ICP-MS）要求为串级四极杆质谱仪，而非普通的单四极杆质谱仪。由等离子体离子源、四极杆离子偏转提取系统、圆柱形四极杆碰撞反应池（如果是八极杆或者非圆柱形的四极杆，需在碰撞反应池前加配具有1 amu质量数分辨率的圆柱形四极杆）、四极杆质量过滤器、离子检测系统等部分构成。</w:t>
      </w:r>
    </w:p>
    <w:p w14:paraId="34F8267E">
      <w:pPr>
        <w:spacing w:line="360" w:lineRule="auto"/>
        <w:rPr>
          <w:sz w:val="24"/>
        </w:rPr>
      </w:pPr>
    </w:p>
    <w:p w14:paraId="2EE97CBA">
      <w:pPr>
        <w:numPr>
          <w:ilvl w:val="0"/>
          <w:numId w:val="2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设备用途：</w:t>
      </w:r>
    </w:p>
    <w:p w14:paraId="4E62B3F3">
      <w:pPr>
        <w:spacing w:line="360" w:lineRule="auto"/>
        <w:rPr>
          <w:sz w:val="24"/>
        </w:rPr>
      </w:pPr>
      <w:r>
        <w:rPr>
          <w:rFonts w:hint="eastAsia"/>
          <w:sz w:val="24"/>
        </w:rPr>
        <w:t>用于土壤、水体及植物样品等环境介质中超痕量/微量重金属（如Cd、Pb、Hg、As）及稀土元素、贵金属的准确定量，用于土壤、水体等环境介质中重金属污染水平评估与环境风险评价。</w:t>
      </w:r>
    </w:p>
    <w:p w14:paraId="3B9E5CF3">
      <w:pPr>
        <w:spacing w:line="360" w:lineRule="auto"/>
        <w:rPr>
          <w:sz w:val="24"/>
        </w:rPr>
      </w:pPr>
    </w:p>
    <w:p w14:paraId="4560B0CA">
      <w:pPr>
        <w:numPr>
          <w:ilvl w:val="0"/>
          <w:numId w:val="2"/>
        </w:numPr>
        <w:spacing w:line="360" w:lineRule="auto"/>
        <w:rPr>
          <w:sz w:val="24"/>
        </w:rPr>
      </w:pPr>
      <w:bookmarkStart w:id="2" w:name="OLE_LINK110"/>
      <w:r>
        <w:rPr>
          <w:rFonts w:hint="eastAsia"/>
          <w:b/>
          <w:sz w:val="24"/>
        </w:rPr>
        <w:t>技术规格：</w:t>
      </w:r>
    </w:p>
    <w:p w14:paraId="296B1F68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3.1 仪器硬件与性能要求</w:t>
      </w:r>
    </w:p>
    <w:p w14:paraId="0DA0B373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3.1.1 进样系统</w:t>
      </w:r>
    </w:p>
    <w:p w14:paraId="6910EE02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进样系统配置质子流量计等相关装置，可通入氧气，实现100%有机样品的直接进样分析，可实现样品气体稀释，稀释倍数≥100倍。</w:t>
      </w:r>
    </w:p>
    <w:p w14:paraId="4987BB83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3.1.2 射频发生器</w:t>
      </w:r>
    </w:p>
    <w:p w14:paraId="773162EF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#3.1.2.1 高频率自激式全固态射频发生器，频率≥30 MHz；</w:t>
      </w:r>
    </w:p>
    <w:p w14:paraId="61C4F653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3.1.2.2 采用无需屏蔽炬设计的虚拟接地技术，保证仪器最佳性能的同时减少不必要的消耗品——屏蔽炬，对使用屏蔽炬技术的产品，需配备20套屏蔽炬以备更换。</w:t>
      </w:r>
    </w:p>
    <w:p w14:paraId="5C2AAB36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3.2 接口</w:t>
      </w:r>
    </w:p>
    <w:p w14:paraId="6BF72762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#3.2.1 为实现对离子射束紧凑控制，接口大于等于三个锥（采用嵌片不能作为锥，如果采用嵌片，需提供30套嵌片作为耗材备用）；</w:t>
      </w:r>
    </w:p>
    <w:p w14:paraId="03AEC29B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#3.2.2 截取锥要求必须≥0.8 mm；</w:t>
      </w:r>
    </w:p>
    <w:p w14:paraId="626C6C47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3.2.3 为保证各类样品基体长时间运行稳定性，锥上不应施加电压，不得使用任何气体。</w:t>
      </w:r>
    </w:p>
    <w:p w14:paraId="7482D3EE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3.3 四极杆离子偏转器</w:t>
      </w:r>
    </w:p>
    <w:p w14:paraId="5A094021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3.3.1 四极杆设计，可同时进行目标离子选择和不带电物质去除；</w:t>
      </w:r>
    </w:p>
    <w:p w14:paraId="2FEE16C5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3.3.2 90度离子偏转技术，实现分析离子与未电离的中性粒子和光子彻底分离；</w:t>
      </w:r>
    </w:p>
    <w:p w14:paraId="5BEC42CE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3.3.3 离子透镜彻底免维护，不得采用提取透镜。</w:t>
      </w:r>
    </w:p>
    <w:p w14:paraId="11CBBE5E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3.4 四极杆碰撞反应池</w:t>
      </w:r>
    </w:p>
    <w:p w14:paraId="5052D458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#3.4.1 具有轴向加速的圆柱型四极杆（不是平面四平板）碰撞反应池系统（提供实物图）；</w:t>
      </w:r>
    </w:p>
    <w:p w14:paraId="14A916A7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3.4.2 四极杆除了低质量数切割，还能进行高质量数的切割，能进行10个质量数的区段筛选以达到更优异的干扰消除效果；</w:t>
      </w:r>
    </w:p>
    <w:p w14:paraId="35D6C09D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3.4.3 不少于2路气体控制：可通入纯氧气，甲烷作为反应气；</w:t>
      </w:r>
    </w:p>
    <w:p w14:paraId="0AA80681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#3.4.4 具有智能电子稀释技术，可在同一次进样中对1000 ppm钠标准溶液进行检测，可对日常样品中数十ppm的常量元素和ppb级的痕量元素在脉冲模式（pulse）下（响应值&lt;200万cps）同时测定，在不损失痕量元素灵敏度的情况下对常量元素进行智能的电子稀释，实现一次进样高低含量元素同时测定而对检测器不造成损伤（需提供软件中RPA值的设置截图和实验数据等相关证明材料）；</w:t>
      </w:r>
    </w:p>
    <w:p w14:paraId="6B0E3091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3.4.5 四极杆最短驻留时间≤10 µs（提供软件截图）。</w:t>
      </w:r>
    </w:p>
    <w:p w14:paraId="1A6A233D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3.5 四极杆质量分析器：</w:t>
      </w:r>
    </w:p>
    <w:p w14:paraId="74D698AC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#3.5.1 质量范围：1-285 amu；</w:t>
      </w:r>
    </w:p>
    <w:p w14:paraId="6346F1AA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3.5.2 分辨率：具有高分辨和标准分辨率两种模式，调节范围0.3-3.0 amu。连续可调，可以在一次方法分析过程中同时使用两种模式，以便通过变化分辨率扩大样品分析应用范围；</w:t>
      </w:r>
    </w:p>
    <w:p w14:paraId="67AC038E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#3.5.3 驱动频率≥2.5HMz</w:t>
      </w:r>
      <w:r>
        <w:rPr>
          <w:rFonts w:hint="eastAsia"/>
          <w:sz w:val="24"/>
        </w:rPr>
        <w:t>。</w:t>
      </w:r>
    </w:p>
    <w:p w14:paraId="4D114F34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3.6 检测器</w:t>
      </w:r>
    </w:p>
    <w:p w14:paraId="2C1857F5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3.6.1 动态线性范围10个数量级；</w:t>
      </w:r>
    </w:p>
    <w:p w14:paraId="3CF31238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3.6.2 检测器瞬时采集速率不低于100,000数据点/秒；</w:t>
      </w:r>
    </w:p>
    <w:p w14:paraId="540EBB5E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3.7 真空系统</w:t>
      </w:r>
    </w:p>
    <w:p w14:paraId="5436FADC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3.7.1 四级真空系统；</w:t>
      </w:r>
    </w:p>
    <w:p w14:paraId="5C42B179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3.7.2 前级真空泵抽力大于等于40 m</w:t>
      </w:r>
      <w:r>
        <w:rPr>
          <w:rFonts w:hint="eastAsia"/>
          <w:sz w:val="24"/>
          <w:vertAlign w:val="superscript"/>
        </w:rPr>
        <w:t>3</w:t>
      </w:r>
      <w:r>
        <w:rPr>
          <w:rFonts w:hint="eastAsia"/>
          <w:sz w:val="24"/>
        </w:rPr>
        <w:t>/h。</w:t>
      </w:r>
    </w:p>
    <w:p w14:paraId="059F49D9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3.8 软件</w:t>
      </w:r>
    </w:p>
    <w:p w14:paraId="4AE0C9F8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3.8.1 可用单颗粒软件可对土壤中的二氧化铈纳米颗粒（提供生产厂家盖章的文献证明）；</w:t>
      </w:r>
    </w:p>
    <w:p w14:paraId="2CB11B84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3.8.2 通过与氧气反应生成相应的氧化物（m/z47和48的PO</w:t>
      </w:r>
      <w:r>
        <w:rPr>
          <w:rFonts w:hint="eastAsia"/>
          <w:sz w:val="24"/>
          <w:vertAlign w:val="superscript"/>
        </w:rPr>
        <w:t>+</w:t>
      </w:r>
      <w:r>
        <w:rPr>
          <w:rFonts w:hint="eastAsia"/>
          <w:sz w:val="24"/>
        </w:rPr>
        <w:t>和SO</w:t>
      </w:r>
      <w:r>
        <w:rPr>
          <w:rFonts w:hint="eastAsia"/>
          <w:sz w:val="24"/>
          <w:vertAlign w:val="superscript"/>
        </w:rPr>
        <w:t>+</w:t>
      </w:r>
      <w:r>
        <w:rPr>
          <w:rFonts w:hint="eastAsia"/>
          <w:sz w:val="24"/>
        </w:rPr>
        <w:t>）将分析对象从被干扰的质量数转移开，实现了对低含量磷和硫的有效测定（需提供制造商盖章的对应文献证明）；</w:t>
      </w:r>
    </w:p>
    <w:p w14:paraId="21796A6D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#3.8.3 使用单颗粒ICP-MS软件测量C</w:t>
      </w:r>
      <w:r>
        <w:rPr>
          <w:rFonts w:hint="eastAsia"/>
          <w:sz w:val="24"/>
          <w:vertAlign w:val="subscript"/>
        </w:rPr>
        <w:t>13</w:t>
      </w:r>
      <w:r>
        <w:rPr>
          <w:rFonts w:hint="eastAsia"/>
          <w:sz w:val="24"/>
        </w:rPr>
        <w:t>，实现微塑料检测的研究（需提供制造商盖章的对应文献证明）；</w:t>
      </w:r>
    </w:p>
    <w:p w14:paraId="49F49869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3.8.4 通过甲烷气（CH</w:t>
      </w:r>
      <w:r>
        <w:rPr>
          <w:rFonts w:hint="eastAsia"/>
          <w:sz w:val="24"/>
          <w:vertAlign w:val="subscript"/>
        </w:rPr>
        <w:t>4</w:t>
      </w:r>
      <w:r>
        <w:rPr>
          <w:rFonts w:hint="eastAsia"/>
          <w:sz w:val="24"/>
        </w:rPr>
        <w:t>）作反应气来消除40Ar</w:t>
      </w:r>
      <w:r>
        <w:rPr>
          <w:rFonts w:hint="eastAsia"/>
          <w:sz w:val="24"/>
          <w:vertAlign w:val="superscript"/>
        </w:rPr>
        <w:t>2+</w:t>
      </w:r>
      <w:r>
        <w:rPr>
          <w:rFonts w:hint="eastAsia"/>
          <w:sz w:val="24"/>
        </w:rPr>
        <w:t>对80Se的干扰，来实现水中低含量的（20～80</w:t>
      </w:r>
      <w:r>
        <w:rPr>
          <w:sz w:val="24"/>
        </w:rPr>
        <w:t>μ</w:t>
      </w:r>
      <w:r>
        <w:rPr>
          <w:rFonts w:hint="eastAsia"/>
          <w:sz w:val="24"/>
        </w:rPr>
        <w:t>g/L）硒（Se）元素的测定（需提供制造商盖章的对应文献证明）。</w:t>
      </w:r>
    </w:p>
    <w:p w14:paraId="4787D28E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3.9 仪器整体性能</w:t>
      </w:r>
    </w:p>
    <w:p w14:paraId="40A56655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3.9.1 灵敏度：</w:t>
      </w:r>
    </w:p>
    <w:p w14:paraId="24538F11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低质量数（Li）：≥40 M cps/ppm；</w:t>
      </w:r>
    </w:p>
    <w:p w14:paraId="34A43DE4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中质量数（In）：≥200 M cps/ppm；</w:t>
      </w:r>
    </w:p>
    <w:p w14:paraId="1BE72EF2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高质量数（U）：≥200 M cps/ppm；</w:t>
      </w:r>
    </w:p>
    <w:p w14:paraId="0F00A899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3.9.2 氧化物离子（CeO</w:t>
      </w:r>
      <w:r>
        <w:rPr>
          <w:rFonts w:hint="eastAsia"/>
          <w:sz w:val="24"/>
          <w:vertAlign w:val="superscript"/>
        </w:rPr>
        <w:t>+</w:t>
      </w:r>
      <w:r>
        <w:rPr>
          <w:rFonts w:hint="eastAsia"/>
          <w:sz w:val="24"/>
        </w:rPr>
        <w:t>/Ce</w:t>
      </w:r>
      <w:r>
        <w:rPr>
          <w:rFonts w:hint="eastAsia"/>
          <w:sz w:val="24"/>
          <w:vertAlign w:val="superscript"/>
        </w:rPr>
        <w:t>+</w:t>
      </w:r>
      <w:r>
        <w:rPr>
          <w:rFonts w:hint="eastAsia"/>
          <w:sz w:val="24"/>
        </w:rPr>
        <w:t>）≤2%，双电荷离子（Ce</w:t>
      </w:r>
      <w:r>
        <w:rPr>
          <w:rFonts w:hint="eastAsia"/>
          <w:sz w:val="24"/>
          <w:vertAlign w:val="superscript"/>
        </w:rPr>
        <w:t>2+</w:t>
      </w:r>
      <w:r>
        <w:rPr>
          <w:rFonts w:hint="eastAsia"/>
          <w:sz w:val="24"/>
        </w:rPr>
        <w:t>/Ce</w:t>
      </w:r>
      <w:r>
        <w:rPr>
          <w:rFonts w:hint="eastAsia"/>
          <w:sz w:val="24"/>
          <w:vertAlign w:val="superscript"/>
        </w:rPr>
        <w:t>+</w:t>
      </w:r>
      <w:r>
        <w:rPr>
          <w:rFonts w:hint="eastAsia"/>
          <w:sz w:val="24"/>
        </w:rPr>
        <w:t>）≤2%；</w:t>
      </w:r>
    </w:p>
    <w:p w14:paraId="2750AF47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3.9.3 检出限</w:t>
      </w:r>
    </w:p>
    <w:p w14:paraId="5D610B63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Li：＜0.3 ppt；</w:t>
      </w:r>
    </w:p>
    <w:p w14:paraId="6EFEB193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In：＜0.05 ppt；</w:t>
      </w:r>
    </w:p>
    <w:p w14:paraId="3BEF41B9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U：＜0.05 ppt；</w:t>
      </w:r>
    </w:p>
    <w:p w14:paraId="64B930A5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3.9.4 短期稳定性（RSD）：＜2%（20分钟），长期稳定性（RSD）：＜3%（2小时）；</w:t>
      </w:r>
    </w:p>
    <w:p w14:paraId="2F8C0CFF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3.9.5 丰度灵敏度：低质量端:5×10</w:t>
      </w:r>
      <w:r>
        <w:rPr>
          <w:rFonts w:hint="eastAsia"/>
          <w:sz w:val="24"/>
          <w:vertAlign w:val="superscript"/>
        </w:rPr>
        <w:t>-7</w:t>
      </w:r>
      <w:r>
        <w:rPr>
          <w:rFonts w:hint="eastAsia"/>
          <w:sz w:val="24"/>
        </w:rPr>
        <w:t>；高质量端:1×10</w:t>
      </w:r>
      <w:r>
        <w:rPr>
          <w:rFonts w:hint="eastAsia"/>
          <w:sz w:val="24"/>
          <w:vertAlign w:val="superscript"/>
        </w:rPr>
        <w:t>-7</w:t>
      </w:r>
      <w:r>
        <w:rPr>
          <w:rFonts w:hint="eastAsia"/>
          <w:sz w:val="24"/>
        </w:rPr>
        <w:t>；</w:t>
      </w:r>
    </w:p>
    <w:p w14:paraId="2ADB716C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3.9.6 质量轴稳定性：&lt;0.05 amu/24h，背景稳定性：定义为5 amu处背景信号的平均值，低于0.5 cps；</w:t>
      </w:r>
    </w:p>
    <w:p w14:paraId="3F9B0D75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3.9.7 同位素比精度：107 Ag/109 Ag同位素比，RSD＜0.08％。</w:t>
      </w:r>
    </w:p>
    <w:p w14:paraId="3A601773">
      <w:pPr>
        <w:spacing w:line="360" w:lineRule="auto"/>
        <w:ind w:firstLine="480"/>
        <w:rPr>
          <w:sz w:val="24"/>
        </w:rPr>
      </w:pPr>
    </w:p>
    <w:p w14:paraId="1370575E">
      <w:pPr>
        <w:numPr>
          <w:ilvl w:val="0"/>
          <w:numId w:val="2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产品配置要求</w:t>
      </w:r>
    </w:p>
    <w:p w14:paraId="57D47AA7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4.1配置清单</w:t>
      </w:r>
    </w:p>
    <w:p w14:paraId="0D7239C7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等离子体质谱仪主机（含大于150位自动进样器，操作软件）1套；</w:t>
      </w:r>
    </w:p>
    <w:p w14:paraId="721F4A5A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循环冷却水机1套；</w:t>
      </w:r>
    </w:p>
    <w:p w14:paraId="35744E57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1升冷却剂8瓶；</w:t>
      </w:r>
    </w:p>
    <w:p w14:paraId="49EE2BF5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仪器调试溶液1套；</w:t>
      </w:r>
    </w:p>
    <w:p w14:paraId="5119335D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两年耗材：排废液管和进样泵管各2包，进样毛细管和内标泵管各1包，采样锥垫片1套，超锥O型圈及螺丝1套，英矩管+石英喷射管一体1套，镍采样锥1套，镍截取锥1套，超截取锥1套/嵌片30套，内标加入器2个，屏蔽矩和屏蔽板（如使用此耗材的，无此结构可不配）20套，125 mL 26元素多元素混合标准溶液1瓶，125 mL内标溶液1瓶；</w:t>
      </w:r>
    </w:p>
    <w:p w14:paraId="4ED45D10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原装操作软件1套；</w:t>
      </w:r>
    </w:p>
    <w:p w14:paraId="44030654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电脑1套，i5及以上CPU/32 GB内存/500 G以上硬盘/21”液晶/WINDOWS 11操作系统。</w:t>
      </w:r>
    </w:p>
    <w:p w14:paraId="4316A459">
      <w:pPr>
        <w:spacing w:line="360" w:lineRule="auto"/>
        <w:ind w:firstLine="480" w:firstLineChars="200"/>
        <w:rPr>
          <w:rFonts w:ascii="宋体"/>
          <w:sz w:val="24"/>
        </w:rPr>
      </w:pPr>
      <w:r>
        <w:rPr>
          <w:rFonts w:hint="eastAsia"/>
          <w:sz w:val="24"/>
        </w:rPr>
        <w:t>4.2其它保证仪器设备的正常运行和常规保养所需的附件、专用工具和消耗品（由投标人提供，请参考总则第2.1条）。</w:t>
      </w:r>
    </w:p>
    <w:bookmarkEnd w:id="2"/>
    <w:p w14:paraId="56ABD062">
      <w:pPr>
        <w:spacing w:line="360" w:lineRule="auto"/>
        <w:rPr>
          <w:sz w:val="24"/>
        </w:rPr>
      </w:pPr>
    </w:p>
    <w:p w14:paraId="18662894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（二）质保及售后服务：</w:t>
      </w:r>
    </w:p>
    <w:p w14:paraId="222F7B9A">
      <w:pPr>
        <w:spacing w:line="360" w:lineRule="auto"/>
        <w:rPr>
          <w:sz w:val="24"/>
        </w:rPr>
      </w:pPr>
      <w:r>
        <w:rPr>
          <w:rFonts w:hint="eastAsia"/>
          <w:sz w:val="24"/>
        </w:rPr>
        <w:t>1、交货期：合同签订之日起90日内完成本项目交付。</w:t>
      </w:r>
    </w:p>
    <w:p w14:paraId="12A58183">
      <w:pPr>
        <w:spacing w:line="360" w:lineRule="auto"/>
        <w:rPr>
          <w:sz w:val="24"/>
        </w:rPr>
      </w:pPr>
      <w:r>
        <w:rPr>
          <w:rFonts w:hint="eastAsia"/>
          <w:sz w:val="24"/>
        </w:rPr>
        <w:t>2、供应商免费提供用户现场安装、调试及培训。安装工程师在用户现场安装调试完毕后，进行现场讲解培训，人员不限。免费提供仪器使用手册、培训教材、应用文章等。保证用户掌握基本操作，可以正确操作使用仪器。</w:t>
      </w:r>
    </w:p>
    <w:p w14:paraId="72664BC3">
      <w:pPr>
        <w:spacing w:line="360" w:lineRule="auto"/>
        <w:rPr>
          <w:sz w:val="24"/>
        </w:rPr>
      </w:pPr>
      <w:r>
        <w:rPr>
          <w:rFonts w:hint="eastAsia"/>
          <w:sz w:val="24"/>
        </w:rPr>
        <w:t>3、供应商提供免费专业培训名额4名，包括仪器的基本原理、操作、日常维护及基础分析仪器理论课程，并提供上机培训。</w:t>
      </w:r>
    </w:p>
    <w:p w14:paraId="59757B7D">
      <w:pPr>
        <w:spacing w:line="360" w:lineRule="auto"/>
        <w:rPr>
          <w:sz w:val="24"/>
        </w:rPr>
      </w:pPr>
      <w:r>
        <w:rPr>
          <w:rFonts w:hint="eastAsia"/>
          <w:sz w:val="24"/>
        </w:rPr>
        <w:t>4、质保期1年。</w:t>
      </w:r>
    </w:p>
    <w:p w14:paraId="0B0F49CC">
      <w:pPr>
        <w:spacing w:line="360" w:lineRule="auto"/>
        <w:rPr>
          <w:sz w:val="24"/>
        </w:rPr>
      </w:pPr>
      <w:r>
        <w:rPr>
          <w:rFonts w:hint="eastAsia"/>
          <w:sz w:val="24"/>
        </w:rPr>
        <w:t>5、售后服务具体要求</w:t>
      </w:r>
    </w:p>
    <w:p w14:paraId="648ED35A">
      <w:pPr>
        <w:spacing w:line="360" w:lineRule="auto"/>
        <w:rPr>
          <w:sz w:val="24"/>
        </w:rPr>
      </w:pPr>
      <w:r>
        <w:rPr>
          <w:rFonts w:hint="eastAsia"/>
          <w:sz w:val="24"/>
        </w:rPr>
        <w:t>维修响应时间：接到故障通知后8小时内作出答复，一般问题24小时之内解决；若采购方有需求，48小时内到达现场解决；若遇重大问题在一周内解决。</w:t>
      </w:r>
    </w:p>
    <w:p w14:paraId="564EFF08">
      <w:pPr>
        <w:spacing w:line="360" w:lineRule="auto"/>
        <w:rPr>
          <w:sz w:val="24"/>
        </w:rPr>
      </w:pPr>
    </w:p>
    <w:p w14:paraId="2F9ABFDB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（三）订货数量：</w:t>
      </w:r>
    </w:p>
    <w:p w14:paraId="5EBF0840">
      <w:pPr>
        <w:spacing w:line="360" w:lineRule="auto"/>
        <w:ind w:firstLine="240" w:firstLineChars="100"/>
        <w:rPr>
          <w:sz w:val="24"/>
        </w:rPr>
      </w:pPr>
      <w:r>
        <w:rPr>
          <w:rFonts w:hint="eastAsia"/>
          <w:sz w:val="24"/>
        </w:rPr>
        <w:t>1套</w:t>
      </w:r>
    </w:p>
    <w:p w14:paraId="61AC7B54">
      <w:pPr>
        <w:spacing w:line="360" w:lineRule="auto"/>
        <w:rPr>
          <w:sz w:val="24"/>
        </w:rPr>
      </w:pPr>
    </w:p>
    <w:p w14:paraId="31043DED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（四）交货日期和交货地点（项目现场）：</w:t>
      </w:r>
    </w:p>
    <w:p w14:paraId="0AC882F8">
      <w:pPr>
        <w:spacing w:line="360" w:lineRule="auto"/>
        <w:rPr>
          <w:sz w:val="24"/>
        </w:rPr>
      </w:pPr>
      <w:r>
        <w:rPr>
          <w:rFonts w:hint="eastAsia"/>
          <w:sz w:val="24"/>
        </w:rPr>
        <w:t>交货时间：合同签订之日起90日内</w:t>
      </w:r>
    </w:p>
    <w:p w14:paraId="49551DB7">
      <w:pPr>
        <w:spacing w:line="360" w:lineRule="auto"/>
        <w:rPr>
          <w:sz w:val="24"/>
        </w:rPr>
      </w:pPr>
      <w:r>
        <w:rPr>
          <w:rFonts w:hint="eastAsia"/>
          <w:sz w:val="24"/>
        </w:rPr>
        <w:t>交货地点：用户指定地点</w:t>
      </w:r>
    </w:p>
    <w:p w14:paraId="6161C31B">
      <w:pPr>
        <w:spacing w:line="360" w:lineRule="auto"/>
        <w:rPr>
          <w:sz w:val="24"/>
        </w:rPr>
      </w:pPr>
    </w:p>
    <w:p w14:paraId="7E86C38A">
      <w:pPr>
        <w:spacing w:line="360" w:lineRule="auto"/>
        <w:rPr>
          <w:sz w:val="24"/>
        </w:rPr>
      </w:pPr>
      <w:r>
        <w:rPr>
          <w:rFonts w:hint="eastAsia"/>
          <w:b/>
          <w:sz w:val="24"/>
        </w:rPr>
        <w:t>（五）付款方式：</w:t>
      </w:r>
    </w:p>
    <w:p w14:paraId="13087215">
      <w:pPr>
        <w:adjustRightInd w:val="0"/>
        <w:snapToGrid w:val="0"/>
        <w:spacing w:line="360" w:lineRule="auto"/>
        <w:rPr>
          <w:sz w:val="24"/>
        </w:rPr>
      </w:pPr>
      <w:r>
        <w:rPr>
          <w:rFonts w:hint="eastAsia" w:ascii="宋体" w:hAnsi="宋体"/>
          <w:sz w:val="24"/>
        </w:rPr>
        <w:t>签订合同后支付</w:t>
      </w:r>
      <w:r>
        <w:rPr>
          <w:rFonts w:hint="eastAsia"/>
          <w:sz w:val="24"/>
        </w:rPr>
        <w:t>30%；货到用户指定地点支付60%；最终验收通过后支付10%。</w:t>
      </w:r>
    </w:p>
    <w:p w14:paraId="460D474D">
      <w:pPr>
        <w:adjustRightInd w:val="0"/>
        <w:snapToGrid w:val="0"/>
        <w:spacing w:line="360" w:lineRule="auto"/>
        <w:ind w:firstLine="720" w:firstLineChars="300"/>
        <w:rPr>
          <w:rFonts w:hint="eastAsia" w:ascii="宋体" w:hAnsi="宋体"/>
          <w:sz w:val="24"/>
        </w:rPr>
      </w:pPr>
    </w:p>
    <w:p w14:paraId="06752D3E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（六）执行的相关标准</w:t>
      </w:r>
    </w:p>
    <w:p w14:paraId="585555F3">
      <w:pPr>
        <w:spacing w:line="360" w:lineRule="auto"/>
        <w:rPr>
          <w:rFonts w:hint="eastAsia" w:ascii="inherit" w:hAnsi="inherit" w:cs="宋体"/>
          <w:kern w:val="0"/>
          <w:sz w:val="24"/>
        </w:rPr>
      </w:pPr>
      <w:r>
        <w:rPr>
          <w:rFonts w:hint="eastAsia" w:ascii="inherit" w:hAnsi="inherit" w:cs="宋体"/>
          <w:kern w:val="0"/>
          <w:sz w:val="24"/>
        </w:rPr>
        <w:t>产品应满足相关国家标准及行业标准。</w:t>
      </w:r>
    </w:p>
    <w:p w14:paraId="5CCF2E7B">
      <w:pPr>
        <w:spacing w:line="360" w:lineRule="auto"/>
        <w:rPr>
          <w:rFonts w:hint="eastAsia" w:ascii="宋体" w:hAnsi="宋体"/>
          <w:b/>
          <w:sz w:val="30"/>
          <w:szCs w:val="30"/>
        </w:rPr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1418" w:right="1418" w:bottom="1418" w:left="141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长城仿宋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E2B06">
    <w:pPr>
      <w:pStyle w:val="2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86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E942D3">
    <w:pPr>
      <w:pStyle w:val="2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62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B63E64">
    <w:pPr>
      <w:pStyle w:val="2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2491E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85B104"/>
    <w:multiLevelType w:val="singleLevel"/>
    <w:tmpl w:val="D785B10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4E5B42B3"/>
    <w:multiLevelType w:val="multilevel"/>
    <w:tmpl w:val="4E5B42B3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Q2ODBlYzc0NjRkMTZiZDAzOTQwZmVlNGQ5MmQwMDMifQ=="/>
  </w:docVars>
  <w:rsids>
    <w:rsidRoot w:val="00FA3835"/>
    <w:rsid w:val="000050A2"/>
    <w:rsid w:val="00013EB0"/>
    <w:rsid w:val="0001615D"/>
    <w:rsid w:val="00022647"/>
    <w:rsid w:val="00027C8D"/>
    <w:rsid w:val="00037B6B"/>
    <w:rsid w:val="00040005"/>
    <w:rsid w:val="00045EB3"/>
    <w:rsid w:val="00046E4D"/>
    <w:rsid w:val="000508F2"/>
    <w:rsid w:val="00052DA3"/>
    <w:rsid w:val="000543E7"/>
    <w:rsid w:val="0006010D"/>
    <w:rsid w:val="00060952"/>
    <w:rsid w:val="000668DC"/>
    <w:rsid w:val="00081ADD"/>
    <w:rsid w:val="000833D4"/>
    <w:rsid w:val="00086579"/>
    <w:rsid w:val="00092213"/>
    <w:rsid w:val="000950A5"/>
    <w:rsid w:val="000969BB"/>
    <w:rsid w:val="000973D2"/>
    <w:rsid w:val="000B12EC"/>
    <w:rsid w:val="000B636A"/>
    <w:rsid w:val="000C1F98"/>
    <w:rsid w:val="000C325D"/>
    <w:rsid w:val="000C505C"/>
    <w:rsid w:val="000D1449"/>
    <w:rsid w:val="000D1A3C"/>
    <w:rsid w:val="000E0B0C"/>
    <w:rsid w:val="000E17D4"/>
    <w:rsid w:val="000E4DA9"/>
    <w:rsid w:val="000F0512"/>
    <w:rsid w:val="000F0A5E"/>
    <w:rsid w:val="000F4571"/>
    <w:rsid w:val="00103352"/>
    <w:rsid w:val="00105333"/>
    <w:rsid w:val="00107AF4"/>
    <w:rsid w:val="001140D0"/>
    <w:rsid w:val="001235CA"/>
    <w:rsid w:val="00127E36"/>
    <w:rsid w:val="00137D93"/>
    <w:rsid w:val="00143411"/>
    <w:rsid w:val="001437EA"/>
    <w:rsid w:val="001444BD"/>
    <w:rsid w:val="00144505"/>
    <w:rsid w:val="00144DDA"/>
    <w:rsid w:val="0014761F"/>
    <w:rsid w:val="00153F11"/>
    <w:rsid w:val="00154DC4"/>
    <w:rsid w:val="00154F47"/>
    <w:rsid w:val="00155A34"/>
    <w:rsid w:val="00156A1B"/>
    <w:rsid w:val="00160CA1"/>
    <w:rsid w:val="00164E27"/>
    <w:rsid w:val="0018359C"/>
    <w:rsid w:val="001921CA"/>
    <w:rsid w:val="00192A34"/>
    <w:rsid w:val="00194900"/>
    <w:rsid w:val="001A0E56"/>
    <w:rsid w:val="001A6E63"/>
    <w:rsid w:val="001B195C"/>
    <w:rsid w:val="001B62CC"/>
    <w:rsid w:val="001B66E1"/>
    <w:rsid w:val="001B6E57"/>
    <w:rsid w:val="001D35C4"/>
    <w:rsid w:val="001D7301"/>
    <w:rsid w:val="001E1467"/>
    <w:rsid w:val="001E152C"/>
    <w:rsid w:val="001E3480"/>
    <w:rsid w:val="001F18B7"/>
    <w:rsid w:val="001F1D2B"/>
    <w:rsid w:val="001F5FAD"/>
    <w:rsid w:val="001F7659"/>
    <w:rsid w:val="001F79B6"/>
    <w:rsid w:val="002024C7"/>
    <w:rsid w:val="00203F02"/>
    <w:rsid w:val="00206639"/>
    <w:rsid w:val="0021259E"/>
    <w:rsid w:val="00213C28"/>
    <w:rsid w:val="00216AC9"/>
    <w:rsid w:val="00224FE7"/>
    <w:rsid w:val="00233C8A"/>
    <w:rsid w:val="00235330"/>
    <w:rsid w:val="00240E7B"/>
    <w:rsid w:val="00241DC4"/>
    <w:rsid w:val="00247ED0"/>
    <w:rsid w:val="00251DB7"/>
    <w:rsid w:val="00262D77"/>
    <w:rsid w:val="002661B8"/>
    <w:rsid w:val="002672D1"/>
    <w:rsid w:val="00275598"/>
    <w:rsid w:val="002761A3"/>
    <w:rsid w:val="0028124D"/>
    <w:rsid w:val="00282A80"/>
    <w:rsid w:val="00282F14"/>
    <w:rsid w:val="00292E0B"/>
    <w:rsid w:val="002B44BD"/>
    <w:rsid w:val="002B6E7A"/>
    <w:rsid w:val="002B7380"/>
    <w:rsid w:val="002C47B5"/>
    <w:rsid w:val="002C4B7B"/>
    <w:rsid w:val="002D5C47"/>
    <w:rsid w:val="002E03AA"/>
    <w:rsid w:val="002E5B25"/>
    <w:rsid w:val="002E6969"/>
    <w:rsid w:val="002E6A76"/>
    <w:rsid w:val="002F1704"/>
    <w:rsid w:val="002F6DE0"/>
    <w:rsid w:val="002F6FCA"/>
    <w:rsid w:val="002F7EF8"/>
    <w:rsid w:val="00301191"/>
    <w:rsid w:val="003116E2"/>
    <w:rsid w:val="0031561C"/>
    <w:rsid w:val="00322611"/>
    <w:rsid w:val="003242D7"/>
    <w:rsid w:val="003248D5"/>
    <w:rsid w:val="00326D72"/>
    <w:rsid w:val="00326DF8"/>
    <w:rsid w:val="0033189B"/>
    <w:rsid w:val="00331E66"/>
    <w:rsid w:val="003442AE"/>
    <w:rsid w:val="0034443A"/>
    <w:rsid w:val="0034469C"/>
    <w:rsid w:val="003474B8"/>
    <w:rsid w:val="00353E66"/>
    <w:rsid w:val="00353FE3"/>
    <w:rsid w:val="00357C16"/>
    <w:rsid w:val="0036104F"/>
    <w:rsid w:val="003637C6"/>
    <w:rsid w:val="00365CD4"/>
    <w:rsid w:val="00366154"/>
    <w:rsid w:val="003732CC"/>
    <w:rsid w:val="0037368D"/>
    <w:rsid w:val="00373B63"/>
    <w:rsid w:val="00374F9A"/>
    <w:rsid w:val="00382C0C"/>
    <w:rsid w:val="0038560C"/>
    <w:rsid w:val="00397506"/>
    <w:rsid w:val="00397F24"/>
    <w:rsid w:val="003A298A"/>
    <w:rsid w:val="003B37DD"/>
    <w:rsid w:val="003B4F45"/>
    <w:rsid w:val="003B6193"/>
    <w:rsid w:val="003C172D"/>
    <w:rsid w:val="003C558B"/>
    <w:rsid w:val="003C7092"/>
    <w:rsid w:val="003C785A"/>
    <w:rsid w:val="003D2B81"/>
    <w:rsid w:val="003F23F4"/>
    <w:rsid w:val="003F5F7A"/>
    <w:rsid w:val="0040013F"/>
    <w:rsid w:val="004043A2"/>
    <w:rsid w:val="00404EA5"/>
    <w:rsid w:val="00407336"/>
    <w:rsid w:val="00410972"/>
    <w:rsid w:val="00415144"/>
    <w:rsid w:val="00420D92"/>
    <w:rsid w:val="0042297A"/>
    <w:rsid w:val="004362C7"/>
    <w:rsid w:val="0044106E"/>
    <w:rsid w:val="0044422D"/>
    <w:rsid w:val="00446E68"/>
    <w:rsid w:val="00447503"/>
    <w:rsid w:val="00447B75"/>
    <w:rsid w:val="00457522"/>
    <w:rsid w:val="0046038A"/>
    <w:rsid w:val="00471176"/>
    <w:rsid w:val="00475563"/>
    <w:rsid w:val="00484FF8"/>
    <w:rsid w:val="00487A72"/>
    <w:rsid w:val="004A0EB1"/>
    <w:rsid w:val="004A3B49"/>
    <w:rsid w:val="004A5C14"/>
    <w:rsid w:val="004B3476"/>
    <w:rsid w:val="004B36B8"/>
    <w:rsid w:val="004B42A8"/>
    <w:rsid w:val="004C25A9"/>
    <w:rsid w:val="004C387C"/>
    <w:rsid w:val="004D0AB9"/>
    <w:rsid w:val="004E042A"/>
    <w:rsid w:val="004E4504"/>
    <w:rsid w:val="004F0FDE"/>
    <w:rsid w:val="004F3E07"/>
    <w:rsid w:val="004F524D"/>
    <w:rsid w:val="00504FD3"/>
    <w:rsid w:val="00505790"/>
    <w:rsid w:val="00512882"/>
    <w:rsid w:val="005143FF"/>
    <w:rsid w:val="00515627"/>
    <w:rsid w:val="00516FEB"/>
    <w:rsid w:val="005174D0"/>
    <w:rsid w:val="005211AB"/>
    <w:rsid w:val="005244F5"/>
    <w:rsid w:val="00524665"/>
    <w:rsid w:val="00525444"/>
    <w:rsid w:val="00526389"/>
    <w:rsid w:val="00527CBC"/>
    <w:rsid w:val="00543C0A"/>
    <w:rsid w:val="0054699B"/>
    <w:rsid w:val="005515EB"/>
    <w:rsid w:val="0055226E"/>
    <w:rsid w:val="00552CDD"/>
    <w:rsid w:val="00552E7C"/>
    <w:rsid w:val="00557686"/>
    <w:rsid w:val="005601D0"/>
    <w:rsid w:val="005613B2"/>
    <w:rsid w:val="0056304A"/>
    <w:rsid w:val="0057066D"/>
    <w:rsid w:val="00570828"/>
    <w:rsid w:val="00572671"/>
    <w:rsid w:val="00591688"/>
    <w:rsid w:val="005916DF"/>
    <w:rsid w:val="00595627"/>
    <w:rsid w:val="00595D3F"/>
    <w:rsid w:val="00595EAC"/>
    <w:rsid w:val="005A2F5B"/>
    <w:rsid w:val="005A52D6"/>
    <w:rsid w:val="005C574A"/>
    <w:rsid w:val="005D09A0"/>
    <w:rsid w:val="005D2101"/>
    <w:rsid w:val="005D479D"/>
    <w:rsid w:val="005E14BE"/>
    <w:rsid w:val="005E20D1"/>
    <w:rsid w:val="005E3639"/>
    <w:rsid w:val="005E416B"/>
    <w:rsid w:val="005E7A21"/>
    <w:rsid w:val="005F24B2"/>
    <w:rsid w:val="005F69B4"/>
    <w:rsid w:val="0060103A"/>
    <w:rsid w:val="00602911"/>
    <w:rsid w:val="00602A7A"/>
    <w:rsid w:val="0060509A"/>
    <w:rsid w:val="006125F5"/>
    <w:rsid w:val="00612A9B"/>
    <w:rsid w:val="00614D00"/>
    <w:rsid w:val="006225E2"/>
    <w:rsid w:val="00625F78"/>
    <w:rsid w:val="0062676A"/>
    <w:rsid w:val="00631884"/>
    <w:rsid w:val="00637D26"/>
    <w:rsid w:val="00640763"/>
    <w:rsid w:val="00640DB1"/>
    <w:rsid w:val="006416E9"/>
    <w:rsid w:val="0064545D"/>
    <w:rsid w:val="00646C82"/>
    <w:rsid w:val="00647CD5"/>
    <w:rsid w:val="0065417E"/>
    <w:rsid w:val="006548A6"/>
    <w:rsid w:val="00655478"/>
    <w:rsid w:val="00664D7F"/>
    <w:rsid w:val="00673641"/>
    <w:rsid w:val="00674AAC"/>
    <w:rsid w:val="006858B6"/>
    <w:rsid w:val="0069730F"/>
    <w:rsid w:val="006A377B"/>
    <w:rsid w:val="006B0930"/>
    <w:rsid w:val="006B2139"/>
    <w:rsid w:val="006B6C43"/>
    <w:rsid w:val="006B7EE3"/>
    <w:rsid w:val="006C4384"/>
    <w:rsid w:val="006C5135"/>
    <w:rsid w:val="006C546E"/>
    <w:rsid w:val="006D0821"/>
    <w:rsid w:val="006D29F2"/>
    <w:rsid w:val="006D695B"/>
    <w:rsid w:val="006D696B"/>
    <w:rsid w:val="006E2DE0"/>
    <w:rsid w:val="006E5A8E"/>
    <w:rsid w:val="0070081C"/>
    <w:rsid w:val="0071653B"/>
    <w:rsid w:val="00716F38"/>
    <w:rsid w:val="00721985"/>
    <w:rsid w:val="00724C84"/>
    <w:rsid w:val="007252A8"/>
    <w:rsid w:val="00725C0A"/>
    <w:rsid w:val="007260C4"/>
    <w:rsid w:val="0073119D"/>
    <w:rsid w:val="0073199C"/>
    <w:rsid w:val="007359F1"/>
    <w:rsid w:val="007376B0"/>
    <w:rsid w:val="0073779A"/>
    <w:rsid w:val="007377D5"/>
    <w:rsid w:val="007377DA"/>
    <w:rsid w:val="00740508"/>
    <w:rsid w:val="00742BCA"/>
    <w:rsid w:val="00743776"/>
    <w:rsid w:val="00751428"/>
    <w:rsid w:val="0075674B"/>
    <w:rsid w:val="00761F2B"/>
    <w:rsid w:val="00763B74"/>
    <w:rsid w:val="00766EF8"/>
    <w:rsid w:val="007731D0"/>
    <w:rsid w:val="00775B16"/>
    <w:rsid w:val="00784A25"/>
    <w:rsid w:val="00785A0A"/>
    <w:rsid w:val="00787CED"/>
    <w:rsid w:val="00795D75"/>
    <w:rsid w:val="007967F8"/>
    <w:rsid w:val="007A3772"/>
    <w:rsid w:val="007C2696"/>
    <w:rsid w:val="007C4C31"/>
    <w:rsid w:val="007C5EA5"/>
    <w:rsid w:val="007D381E"/>
    <w:rsid w:val="007D3EE2"/>
    <w:rsid w:val="007D577A"/>
    <w:rsid w:val="007E03CA"/>
    <w:rsid w:val="007E6193"/>
    <w:rsid w:val="007F2F97"/>
    <w:rsid w:val="007F387D"/>
    <w:rsid w:val="007F4624"/>
    <w:rsid w:val="007F7152"/>
    <w:rsid w:val="00810AD1"/>
    <w:rsid w:val="00810C15"/>
    <w:rsid w:val="008203E6"/>
    <w:rsid w:val="00822633"/>
    <w:rsid w:val="00830107"/>
    <w:rsid w:val="00831B02"/>
    <w:rsid w:val="00833174"/>
    <w:rsid w:val="00846609"/>
    <w:rsid w:val="00846E70"/>
    <w:rsid w:val="00852958"/>
    <w:rsid w:val="00852D0A"/>
    <w:rsid w:val="0085467F"/>
    <w:rsid w:val="00864F77"/>
    <w:rsid w:val="008661F8"/>
    <w:rsid w:val="008712FA"/>
    <w:rsid w:val="00875DB4"/>
    <w:rsid w:val="00876AA9"/>
    <w:rsid w:val="00876EFF"/>
    <w:rsid w:val="00882892"/>
    <w:rsid w:val="00883AB2"/>
    <w:rsid w:val="008861B2"/>
    <w:rsid w:val="00887A5A"/>
    <w:rsid w:val="00895AB8"/>
    <w:rsid w:val="00896377"/>
    <w:rsid w:val="008A09F5"/>
    <w:rsid w:val="008A22EF"/>
    <w:rsid w:val="008A4B18"/>
    <w:rsid w:val="008A738C"/>
    <w:rsid w:val="008B21E5"/>
    <w:rsid w:val="008B2645"/>
    <w:rsid w:val="008C3491"/>
    <w:rsid w:val="008C36D3"/>
    <w:rsid w:val="008D0675"/>
    <w:rsid w:val="008D0D0B"/>
    <w:rsid w:val="008D1425"/>
    <w:rsid w:val="008D3BC8"/>
    <w:rsid w:val="008D56EA"/>
    <w:rsid w:val="008D6F23"/>
    <w:rsid w:val="008E5041"/>
    <w:rsid w:val="008E5EB5"/>
    <w:rsid w:val="008F04C7"/>
    <w:rsid w:val="008F0BF9"/>
    <w:rsid w:val="008F21A5"/>
    <w:rsid w:val="008F2440"/>
    <w:rsid w:val="00914619"/>
    <w:rsid w:val="00916FF2"/>
    <w:rsid w:val="009202C8"/>
    <w:rsid w:val="009246BA"/>
    <w:rsid w:val="00927DE3"/>
    <w:rsid w:val="00930CDE"/>
    <w:rsid w:val="00935AA1"/>
    <w:rsid w:val="00937E64"/>
    <w:rsid w:val="009451DC"/>
    <w:rsid w:val="009467F2"/>
    <w:rsid w:val="00952161"/>
    <w:rsid w:val="0095655E"/>
    <w:rsid w:val="009718ED"/>
    <w:rsid w:val="0097297B"/>
    <w:rsid w:val="009740A0"/>
    <w:rsid w:val="0098154C"/>
    <w:rsid w:val="0098549E"/>
    <w:rsid w:val="009857EF"/>
    <w:rsid w:val="00986419"/>
    <w:rsid w:val="009906AF"/>
    <w:rsid w:val="00993DC5"/>
    <w:rsid w:val="009941D8"/>
    <w:rsid w:val="009A2C18"/>
    <w:rsid w:val="009A6515"/>
    <w:rsid w:val="009A7856"/>
    <w:rsid w:val="009B4103"/>
    <w:rsid w:val="009C0A0B"/>
    <w:rsid w:val="009C14BD"/>
    <w:rsid w:val="009D1AF8"/>
    <w:rsid w:val="009D32B1"/>
    <w:rsid w:val="009E1C84"/>
    <w:rsid w:val="009E32D4"/>
    <w:rsid w:val="009E4080"/>
    <w:rsid w:val="009E4DCB"/>
    <w:rsid w:val="009E580F"/>
    <w:rsid w:val="009F5A6A"/>
    <w:rsid w:val="00A01B3A"/>
    <w:rsid w:val="00A0205F"/>
    <w:rsid w:val="00A04E9D"/>
    <w:rsid w:val="00A06893"/>
    <w:rsid w:val="00A11FC7"/>
    <w:rsid w:val="00A21886"/>
    <w:rsid w:val="00A25682"/>
    <w:rsid w:val="00A2638C"/>
    <w:rsid w:val="00A27417"/>
    <w:rsid w:val="00A27AFD"/>
    <w:rsid w:val="00A31FA7"/>
    <w:rsid w:val="00A33FCA"/>
    <w:rsid w:val="00A354A8"/>
    <w:rsid w:val="00A36D5D"/>
    <w:rsid w:val="00A4031E"/>
    <w:rsid w:val="00A44A2B"/>
    <w:rsid w:val="00A46F60"/>
    <w:rsid w:val="00A53234"/>
    <w:rsid w:val="00A57F47"/>
    <w:rsid w:val="00A805E4"/>
    <w:rsid w:val="00A9108E"/>
    <w:rsid w:val="00A94C2B"/>
    <w:rsid w:val="00AA7A0D"/>
    <w:rsid w:val="00AB113B"/>
    <w:rsid w:val="00AC2904"/>
    <w:rsid w:val="00AD2FD2"/>
    <w:rsid w:val="00AD41E6"/>
    <w:rsid w:val="00AD4ECF"/>
    <w:rsid w:val="00AD6E8F"/>
    <w:rsid w:val="00AD70C8"/>
    <w:rsid w:val="00AE77E1"/>
    <w:rsid w:val="00AF6067"/>
    <w:rsid w:val="00B04039"/>
    <w:rsid w:val="00B07AAD"/>
    <w:rsid w:val="00B15273"/>
    <w:rsid w:val="00B16887"/>
    <w:rsid w:val="00B1746F"/>
    <w:rsid w:val="00B24B30"/>
    <w:rsid w:val="00B27A2B"/>
    <w:rsid w:val="00B31F00"/>
    <w:rsid w:val="00B34220"/>
    <w:rsid w:val="00B351A2"/>
    <w:rsid w:val="00B41959"/>
    <w:rsid w:val="00B4255C"/>
    <w:rsid w:val="00B42C18"/>
    <w:rsid w:val="00B43CF7"/>
    <w:rsid w:val="00B44327"/>
    <w:rsid w:val="00B53944"/>
    <w:rsid w:val="00B61FDD"/>
    <w:rsid w:val="00B758E7"/>
    <w:rsid w:val="00B75B80"/>
    <w:rsid w:val="00B7756C"/>
    <w:rsid w:val="00B81149"/>
    <w:rsid w:val="00B83002"/>
    <w:rsid w:val="00B85436"/>
    <w:rsid w:val="00B86090"/>
    <w:rsid w:val="00B8672D"/>
    <w:rsid w:val="00B936CB"/>
    <w:rsid w:val="00B94FB1"/>
    <w:rsid w:val="00B97058"/>
    <w:rsid w:val="00BA68AD"/>
    <w:rsid w:val="00BA726F"/>
    <w:rsid w:val="00BB437B"/>
    <w:rsid w:val="00BC7FBC"/>
    <w:rsid w:val="00BD11D6"/>
    <w:rsid w:val="00BD2A3B"/>
    <w:rsid w:val="00BD646D"/>
    <w:rsid w:val="00BD6A33"/>
    <w:rsid w:val="00BD7ED0"/>
    <w:rsid w:val="00BE5E06"/>
    <w:rsid w:val="00BE643E"/>
    <w:rsid w:val="00BE7CED"/>
    <w:rsid w:val="00BF59BF"/>
    <w:rsid w:val="00C056B5"/>
    <w:rsid w:val="00C10630"/>
    <w:rsid w:val="00C12939"/>
    <w:rsid w:val="00C14E3B"/>
    <w:rsid w:val="00C23BA4"/>
    <w:rsid w:val="00C241B2"/>
    <w:rsid w:val="00C27995"/>
    <w:rsid w:val="00C33FC5"/>
    <w:rsid w:val="00C34485"/>
    <w:rsid w:val="00C40AB3"/>
    <w:rsid w:val="00C41EB7"/>
    <w:rsid w:val="00C43805"/>
    <w:rsid w:val="00C43E24"/>
    <w:rsid w:val="00C45235"/>
    <w:rsid w:val="00C50CFC"/>
    <w:rsid w:val="00C60EF2"/>
    <w:rsid w:val="00C615B2"/>
    <w:rsid w:val="00C626E3"/>
    <w:rsid w:val="00C702F0"/>
    <w:rsid w:val="00C74553"/>
    <w:rsid w:val="00C8112C"/>
    <w:rsid w:val="00C821AD"/>
    <w:rsid w:val="00C83064"/>
    <w:rsid w:val="00C87EF4"/>
    <w:rsid w:val="00CA1753"/>
    <w:rsid w:val="00CA1F11"/>
    <w:rsid w:val="00CA623E"/>
    <w:rsid w:val="00CA630F"/>
    <w:rsid w:val="00CB4EB2"/>
    <w:rsid w:val="00CB7A41"/>
    <w:rsid w:val="00CC7A0B"/>
    <w:rsid w:val="00CD0A52"/>
    <w:rsid w:val="00CD0EEF"/>
    <w:rsid w:val="00CD57F9"/>
    <w:rsid w:val="00CD64CD"/>
    <w:rsid w:val="00CE2041"/>
    <w:rsid w:val="00CE3059"/>
    <w:rsid w:val="00CE4960"/>
    <w:rsid w:val="00CE56FA"/>
    <w:rsid w:val="00CE6C95"/>
    <w:rsid w:val="00CE7553"/>
    <w:rsid w:val="00CF0912"/>
    <w:rsid w:val="00CF2549"/>
    <w:rsid w:val="00D0060C"/>
    <w:rsid w:val="00D027B8"/>
    <w:rsid w:val="00D04134"/>
    <w:rsid w:val="00D0571C"/>
    <w:rsid w:val="00D0679B"/>
    <w:rsid w:val="00D11879"/>
    <w:rsid w:val="00D12547"/>
    <w:rsid w:val="00D22D44"/>
    <w:rsid w:val="00D24CEE"/>
    <w:rsid w:val="00D378BA"/>
    <w:rsid w:val="00D40668"/>
    <w:rsid w:val="00D433CA"/>
    <w:rsid w:val="00D6263A"/>
    <w:rsid w:val="00D776AC"/>
    <w:rsid w:val="00D778D7"/>
    <w:rsid w:val="00D83934"/>
    <w:rsid w:val="00D861C3"/>
    <w:rsid w:val="00D91A0C"/>
    <w:rsid w:val="00D9239C"/>
    <w:rsid w:val="00D95955"/>
    <w:rsid w:val="00D979AB"/>
    <w:rsid w:val="00DA590C"/>
    <w:rsid w:val="00DA59DE"/>
    <w:rsid w:val="00DA703D"/>
    <w:rsid w:val="00DB54CF"/>
    <w:rsid w:val="00DC1546"/>
    <w:rsid w:val="00DC55EF"/>
    <w:rsid w:val="00DD2172"/>
    <w:rsid w:val="00DD4A09"/>
    <w:rsid w:val="00DD4C25"/>
    <w:rsid w:val="00DD6A1F"/>
    <w:rsid w:val="00DE1D4C"/>
    <w:rsid w:val="00DE4C00"/>
    <w:rsid w:val="00DE5C67"/>
    <w:rsid w:val="00DF2449"/>
    <w:rsid w:val="00DF7ACF"/>
    <w:rsid w:val="00E004CA"/>
    <w:rsid w:val="00E0082D"/>
    <w:rsid w:val="00E03391"/>
    <w:rsid w:val="00E0373B"/>
    <w:rsid w:val="00E07308"/>
    <w:rsid w:val="00E14474"/>
    <w:rsid w:val="00E179B5"/>
    <w:rsid w:val="00E26286"/>
    <w:rsid w:val="00E30AC2"/>
    <w:rsid w:val="00E33D84"/>
    <w:rsid w:val="00E34813"/>
    <w:rsid w:val="00E356D2"/>
    <w:rsid w:val="00E401B3"/>
    <w:rsid w:val="00E458DA"/>
    <w:rsid w:val="00E55625"/>
    <w:rsid w:val="00E5687E"/>
    <w:rsid w:val="00E636B4"/>
    <w:rsid w:val="00E639CC"/>
    <w:rsid w:val="00E63D5B"/>
    <w:rsid w:val="00E671AD"/>
    <w:rsid w:val="00E73446"/>
    <w:rsid w:val="00E73543"/>
    <w:rsid w:val="00E749BB"/>
    <w:rsid w:val="00E81FAA"/>
    <w:rsid w:val="00E83E40"/>
    <w:rsid w:val="00E857B8"/>
    <w:rsid w:val="00E87FB9"/>
    <w:rsid w:val="00E907E5"/>
    <w:rsid w:val="00E943B8"/>
    <w:rsid w:val="00EA11F7"/>
    <w:rsid w:val="00EA1C34"/>
    <w:rsid w:val="00EA20B9"/>
    <w:rsid w:val="00EA4549"/>
    <w:rsid w:val="00EC737D"/>
    <w:rsid w:val="00ED0B37"/>
    <w:rsid w:val="00ED22DF"/>
    <w:rsid w:val="00ED4C66"/>
    <w:rsid w:val="00ED6781"/>
    <w:rsid w:val="00ED6879"/>
    <w:rsid w:val="00EE38FD"/>
    <w:rsid w:val="00EE4BD8"/>
    <w:rsid w:val="00EF5BA0"/>
    <w:rsid w:val="00EF69B5"/>
    <w:rsid w:val="00F03A5D"/>
    <w:rsid w:val="00F0503F"/>
    <w:rsid w:val="00F13600"/>
    <w:rsid w:val="00F15FC0"/>
    <w:rsid w:val="00F17042"/>
    <w:rsid w:val="00F175D1"/>
    <w:rsid w:val="00F21DA9"/>
    <w:rsid w:val="00F22A75"/>
    <w:rsid w:val="00F30C1E"/>
    <w:rsid w:val="00F3185D"/>
    <w:rsid w:val="00F34DC8"/>
    <w:rsid w:val="00F35217"/>
    <w:rsid w:val="00F35C50"/>
    <w:rsid w:val="00F41E76"/>
    <w:rsid w:val="00F42D68"/>
    <w:rsid w:val="00F436FE"/>
    <w:rsid w:val="00F43BFA"/>
    <w:rsid w:val="00F500D2"/>
    <w:rsid w:val="00F51A9D"/>
    <w:rsid w:val="00F57792"/>
    <w:rsid w:val="00F60048"/>
    <w:rsid w:val="00F6068F"/>
    <w:rsid w:val="00F6185A"/>
    <w:rsid w:val="00F6417F"/>
    <w:rsid w:val="00F73129"/>
    <w:rsid w:val="00F73FE2"/>
    <w:rsid w:val="00F74944"/>
    <w:rsid w:val="00F8497C"/>
    <w:rsid w:val="00F91E41"/>
    <w:rsid w:val="00F94ECB"/>
    <w:rsid w:val="00FA0F3C"/>
    <w:rsid w:val="00FA238D"/>
    <w:rsid w:val="00FA3835"/>
    <w:rsid w:val="00FA6816"/>
    <w:rsid w:val="00FB5D79"/>
    <w:rsid w:val="00FC557F"/>
    <w:rsid w:val="00FC7770"/>
    <w:rsid w:val="00FD1596"/>
    <w:rsid w:val="00FD4088"/>
    <w:rsid w:val="00FD50E4"/>
    <w:rsid w:val="00FE039D"/>
    <w:rsid w:val="00FE0EDA"/>
    <w:rsid w:val="00FE1A6B"/>
    <w:rsid w:val="00FE3D91"/>
    <w:rsid w:val="00FE55D2"/>
    <w:rsid w:val="00FF5179"/>
    <w:rsid w:val="00FF638C"/>
    <w:rsid w:val="00FF728E"/>
    <w:rsid w:val="01281816"/>
    <w:rsid w:val="020B291A"/>
    <w:rsid w:val="02111A30"/>
    <w:rsid w:val="03102D1B"/>
    <w:rsid w:val="053E2C54"/>
    <w:rsid w:val="07106510"/>
    <w:rsid w:val="0762073E"/>
    <w:rsid w:val="08A04AF6"/>
    <w:rsid w:val="08F053C4"/>
    <w:rsid w:val="09120680"/>
    <w:rsid w:val="09A45050"/>
    <w:rsid w:val="09FA1199"/>
    <w:rsid w:val="0A5B05D9"/>
    <w:rsid w:val="0A735171"/>
    <w:rsid w:val="0AE0030A"/>
    <w:rsid w:val="0CCC67C0"/>
    <w:rsid w:val="0D6B0DE4"/>
    <w:rsid w:val="0D8A6F81"/>
    <w:rsid w:val="0E39045D"/>
    <w:rsid w:val="0E865ECE"/>
    <w:rsid w:val="0E936CC2"/>
    <w:rsid w:val="0EE967FA"/>
    <w:rsid w:val="0F4075C9"/>
    <w:rsid w:val="0F4672D5"/>
    <w:rsid w:val="0F4E40DD"/>
    <w:rsid w:val="0F6F4465"/>
    <w:rsid w:val="10E279BE"/>
    <w:rsid w:val="11C33CAB"/>
    <w:rsid w:val="11F50142"/>
    <w:rsid w:val="122E6778"/>
    <w:rsid w:val="124949E7"/>
    <w:rsid w:val="15D50880"/>
    <w:rsid w:val="15D708BB"/>
    <w:rsid w:val="15F52619"/>
    <w:rsid w:val="165822AD"/>
    <w:rsid w:val="16E97DDE"/>
    <w:rsid w:val="16F2564D"/>
    <w:rsid w:val="17CB6513"/>
    <w:rsid w:val="17E30CEE"/>
    <w:rsid w:val="185D6BC0"/>
    <w:rsid w:val="18FC1134"/>
    <w:rsid w:val="1968723B"/>
    <w:rsid w:val="19AE7309"/>
    <w:rsid w:val="1A18361C"/>
    <w:rsid w:val="1A902BB0"/>
    <w:rsid w:val="1B9E3D36"/>
    <w:rsid w:val="1BBA3A2F"/>
    <w:rsid w:val="1BDE256C"/>
    <w:rsid w:val="1C686EB5"/>
    <w:rsid w:val="1C8F2A04"/>
    <w:rsid w:val="1D814DF5"/>
    <w:rsid w:val="1D8B6157"/>
    <w:rsid w:val="20365C75"/>
    <w:rsid w:val="20863AF3"/>
    <w:rsid w:val="20D81D57"/>
    <w:rsid w:val="20FD3BD3"/>
    <w:rsid w:val="214F4CA5"/>
    <w:rsid w:val="2187305D"/>
    <w:rsid w:val="218B2C39"/>
    <w:rsid w:val="22597BF6"/>
    <w:rsid w:val="227819CB"/>
    <w:rsid w:val="23256975"/>
    <w:rsid w:val="23423424"/>
    <w:rsid w:val="23A93A98"/>
    <w:rsid w:val="240C4724"/>
    <w:rsid w:val="243F7370"/>
    <w:rsid w:val="2489149A"/>
    <w:rsid w:val="26053E04"/>
    <w:rsid w:val="26DD3CEE"/>
    <w:rsid w:val="270359EC"/>
    <w:rsid w:val="27F05BD9"/>
    <w:rsid w:val="27F12816"/>
    <w:rsid w:val="29A62ABE"/>
    <w:rsid w:val="2A8E004C"/>
    <w:rsid w:val="2ACC7B67"/>
    <w:rsid w:val="2B6A1BE2"/>
    <w:rsid w:val="2CB90995"/>
    <w:rsid w:val="2D5179CF"/>
    <w:rsid w:val="2ED5581D"/>
    <w:rsid w:val="2F25260C"/>
    <w:rsid w:val="2FB87B1A"/>
    <w:rsid w:val="308A097E"/>
    <w:rsid w:val="319039E6"/>
    <w:rsid w:val="32085AE3"/>
    <w:rsid w:val="327F0D3B"/>
    <w:rsid w:val="328F3CF2"/>
    <w:rsid w:val="331A4758"/>
    <w:rsid w:val="3369385E"/>
    <w:rsid w:val="33CA23C6"/>
    <w:rsid w:val="34B3108C"/>
    <w:rsid w:val="35C0542C"/>
    <w:rsid w:val="372B2789"/>
    <w:rsid w:val="384F06F9"/>
    <w:rsid w:val="38D74FB0"/>
    <w:rsid w:val="38EF6EB7"/>
    <w:rsid w:val="394924A4"/>
    <w:rsid w:val="395026E3"/>
    <w:rsid w:val="39A43A9C"/>
    <w:rsid w:val="3AE72E6B"/>
    <w:rsid w:val="3AFF33E8"/>
    <w:rsid w:val="3C2D3B80"/>
    <w:rsid w:val="3D476359"/>
    <w:rsid w:val="3D9A658C"/>
    <w:rsid w:val="3DE10046"/>
    <w:rsid w:val="3DEE1D80"/>
    <w:rsid w:val="3DF338D5"/>
    <w:rsid w:val="3EA378DA"/>
    <w:rsid w:val="3EF73899"/>
    <w:rsid w:val="3F651E10"/>
    <w:rsid w:val="426C16E4"/>
    <w:rsid w:val="427159DF"/>
    <w:rsid w:val="42C41CE4"/>
    <w:rsid w:val="42D24401"/>
    <w:rsid w:val="43D85920"/>
    <w:rsid w:val="442742D8"/>
    <w:rsid w:val="442F62DC"/>
    <w:rsid w:val="443B5FD6"/>
    <w:rsid w:val="448E2B5F"/>
    <w:rsid w:val="459220B9"/>
    <w:rsid w:val="46DB7A17"/>
    <w:rsid w:val="46FD0811"/>
    <w:rsid w:val="48333FF5"/>
    <w:rsid w:val="485E6BC5"/>
    <w:rsid w:val="49430615"/>
    <w:rsid w:val="49B72972"/>
    <w:rsid w:val="49FA5FEB"/>
    <w:rsid w:val="4A3E0C6F"/>
    <w:rsid w:val="4B914BF5"/>
    <w:rsid w:val="4C7D3400"/>
    <w:rsid w:val="4CB171D5"/>
    <w:rsid w:val="4CB230FF"/>
    <w:rsid w:val="4D413CB4"/>
    <w:rsid w:val="4EE564B0"/>
    <w:rsid w:val="4FA90297"/>
    <w:rsid w:val="4FFC159D"/>
    <w:rsid w:val="50FC37C6"/>
    <w:rsid w:val="511D5A22"/>
    <w:rsid w:val="51CD3614"/>
    <w:rsid w:val="522400A9"/>
    <w:rsid w:val="531539E5"/>
    <w:rsid w:val="53D55AFF"/>
    <w:rsid w:val="53FC6986"/>
    <w:rsid w:val="54A60BE9"/>
    <w:rsid w:val="559A7000"/>
    <w:rsid w:val="5628185A"/>
    <w:rsid w:val="56770AFB"/>
    <w:rsid w:val="573C6F55"/>
    <w:rsid w:val="57D63A28"/>
    <w:rsid w:val="57F95C42"/>
    <w:rsid w:val="581B6CF3"/>
    <w:rsid w:val="58527420"/>
    <w:rsid w:val="585F0652"/>
    <w:rsid w:val="591A5625"/>
    <w:rsid w:val="5980136F"/>
    <w:rsid w:val="59DD58A1"/>
    <w:rsid w:val="5AE900E2"/>
    <w:rsid w:val="5C7F1F93"/>
    <w:rsid w:val="5E72647F"/>
    <w:rsid w:val="5E834DD9"/>
    <w:rsid w:val="5F236DE7"/>
    <w:rsid w:val="608E3660"/>
    <w:rsid w:val="617B7B59"/>
    <w:rsid w:val="620B4DE2"/>
    <w:rsid w:val="621505DC"/>
    <w:rsid w:val="625D22A8"/>
    <w:rsid w:val="63025693"/>
    <w:rsid w:val="63BF6E3C"/>
    <w:rsid w:val="6456582F"/>
    <w:rsid w:val="648D7D30"/>
    <w:rsid w:val="64FD5243"/>
    <w:rsid w:val="657340D8"/>
    <w:rsid w:val="65B307A7"/>
    <w:rsid w:val="65C0401D"/>
    <w:rsid w:val="65C45F55"/>
    <w:rsid w:val="662648F8"/>
    <w:rsid w:val="665F1537"/>
    <w:rsid w:val="678F4E88"/>
    <w:rsid w:val="67D85B6C"/>
    <w:rsid w:val="682616CA"/>
    <w:rsid w:val="68ED6A71"/>
    <w:rsid w:val="69317B0A"/>
    <w:rsid w:val="69F67FAD"/>
    <w:rsid w:val="6B1A0CCC"/>
    <w:rsid w:val="6C48739D"/>
    <w:rsid w:val="6C67192F"/>
    <w:rsid w:val="6CE60189"/>
    <w:rsid w:val="6CF4412C"/>
    <w:rsid w:val="6CFA58BA"/>
    <w:rsid w:val="6E04301E"/>
    <w:rsid w:val="6F135C55"/>
    <w:rsid w:val="6F215C44"/>
    <w:rsid w:val="6F5A2F04"/>
    <w:rsid w:val="6FDB37E3"/>
    <w:rsid w:val="70494F1C"/>
    <w:rsid w:val="713F235B"/>
    <w:rsid w:val="732820F7"/>
    <w:rsid w:val="734D446A"/>
    <w:rsid w:val="740972B4"/>
    <w:rsid w:val="74C80B12"/>
    <w:rsid w:val="76B61368"/>
    <w:rsid w:val="77FE4FE3"/>
    <w:rsid w:val="78617CDA"/>
    <w:rsid w:val="78C830A0"/>
    <w:rsid w:val="78D36201"/>
    <w:rsid w:val="79010F6B"/>
    <w:rsid w:val="792F1A3C"/>
    <w:rsid w:val="79B5177D"/>
    <w:rsid w:val="7A463EB9"/>
    <w:rsid w:val="7A8377B3"/>
    <w:rsid w:val="7B0703E4"/>
    <w:rsid w:val="7C2A25DC"/>
    <w:rsid w:val="7D273D20"/>
    <w:rsid w:val="7D9D4043"/>
    <w:rsid w:val="7DA619A7"/>
    <w:rsid w:val="7DE54E45"/>
    <w:rsid w:val="7E9D0BC6"/>
    <w:rsid w:val="7F8942DD"/>
    <w:rsid w:val="7FD2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99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3">
    <w:name w:val="heading 2"/>
    <w:basedOn w:val="1"/>
    <w:next w:val="4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qFormat/>
    <w:uiPriority w:val="0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8">
    <w:name w:val="heading 6"/>
    <w:basedOn w:val="1"/>
    <w:next w:val="4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9">
    <w:name w:val="heading 7"/>
    <w:basedOn w:val="1"/>
    <w:next w:val="4"/>
    <w:qFormat/>
    <w:uiPriority w:val="0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0">
    <w:name w:val="heading 8"/>
    <w:basedOn w:val="1"/>
    <w:next w:val="4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1">
    <w:name w:val="heading 9"/>
    <w:basedOn w:val="1"/>
    <w:next w:val="4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40">
    <w:name w:val="Default Paragraph Font"/>
    <w:semiHidden/>
    <w:unhideWhenUsed/>
    <w:qFormat/>
    <w:uiPriority w:val="1"/>
  </w:style>
  <w:style w:type="table" w:default="1" w:styleId="3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12">
    <w:name w:val="toc 7"/>
    <w:basedOn w:val="1"/>
    <w:next w:val="1"/>
    <w:qFormat/>
    <w:uiPriority w:val="0"/>
    <w:pPr>
      <w:ind w:left="2520" w:leftChars="1200"/>
    </w:pPr>
    <w:rPr>
      <w:rFonts w:ascii="Cambria" w:hAnsi="Cambria"/>
      <w:szCs w:val="21"/>
    </w:rPr>
  </w:style>
  <w:style w:type="paragraph" w:styleId="13">
    <w:name w:val="Document Map"/>
    <w:basedOn w:val="1"/>
    <w:semiHidden/>
    <w:qFormat/>
    <w:uiPriority w:val="0"/>
    <w:pPr>
      <w:shd w:val="clear" w:color="auto" w:fill="000080"/>
    </w:pPr>
  </w:style>
  <w:style w:type="paragraph" w:styleId="14">
    <w:name w:val="annotation text"/>
    <w:basedOn w:val="1"/>
    <w:link w:val="47"/>
    <w:qFormat/>
    <w:uiPriority w:val="99"/>
    <w:pPr>
      <w:jc w:val="left"/>
    </w:pPr>
    <w:rPr>
      <w:rFonts w:ascii="Cambria" w:hAnsi="Cambria"/>
      <w:szCs w:val="21"/>
    </w:rPr>
  </w:style>
  <w:style w:type="paragraph" w:styleId="15">
    <w:name w:val="Body Text 3"/>
    <w:basedOn w:val="1"/>
    <w:qFormat/>
    <w:uiPriority w:val="0"/>
    <w:pPr>
      <w:widowControl/>
      <w:ind w:right="720"/>
      <w:jc w:val="left"/>
    </w:pPr>
    <w:rPr>
      <w:kern w:val="0"/>
      <w:sz w:val="20"/>
      <w:szCs w:val="20"/>
      <w:lang w:eastAsia="en-US"/>
    </w:rPr>
  </w:style>
  <w:style w:type="paragraph" w:styleId="16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17">
    <w:name w:val="Body Text Indent"/>
    <w:basedOn w:val="1"/>
    <w:qFormat/>
    <w:uiPriority w:val="0"/>
    <w:pPr>
      <w:spacing w:after="120"/>
      <w:ind w:left="420" w:leftChars="200"/>
    </w:pPr>
  </w:style>
  <w:style w:type="paragraph" w:styleId="18">
    <w:name w:val="toc 5"/>
    <w:basedOn w:val="1"/>
    <w:next w:val="1"/>
    <w:qFormat/>
    <w:uiPriority w:val="0"/>
    <w:pPr>
      <w:ind w:left="1680" w:leftChars="800"/>
    </w:pPr>
    <w:rPr>
      <w:rFonts w:ascii="Cambria" w:hAnsi="Cambria"/>
      <w:szCs w:val="21"/>
    </w:rPr>
  </w:style>
  <w:style w:type="paragraph" w:styleId="19">
    <w:name w:val="toc 3"/>
    <w:basedOn w:val="1"/>
    <w:next w:val="1"/>
    <w:qFormat/>
    <w:uiPriority w:val="0"/>
    <w:pPr>
      <w:ind w:left="840" w:leftChars="400"/>
    </w:pPr>
    <w:rPr>
      <w:rFonts w:ascii="Cambria" w:hAnsi="Cambria"/>
      <w:szCs w:val="21"/>
    </w:rPr>
  </w:style>
  <w:style w:type="paragraph" w:styleId="20">
    <w:name w:val="Plain Text"/>
    <w:basedOn w:val="1"/>
    <w:link w:val="48"/>
    <w:qFormat/>
    <w:uiPriority w:val="99"/>
    <w:rPr>
      <w:rFonts w:ascii="宋体" w:hAnsi="Courier New"/>
      <w:szCs w:val="20"/>
    </w:rPr>
  </w:style>
  <w:style w:type="paragraph" w:styleId="21">
    <w:name w:val="toc 8"/>
    <w:basedOn w:val="1"/>
    <w:next w:val="1"/>
    <w:qFormat/>
    <w:uiPriority w:val="0"/>
    <w:pPr>
      <w:ind w:left="2940" w:leftChars="1400"/>
    </w:pPr>
    <w:rPr>
      <w:rFonts w:ascii="Cambria" w:hAnsi="Cambria"/>
      <w:szCs w:val="21"/>
    </w:rPr>
  </w:style>
  <w:style w:type="paragraph" w:styleId="22">
    <w:name w:val="Date"/>
    <w:basedOn w:val="1"/>
    <w:next w:val="1"/>
    <w:link w:val="49"/>
    <w:qFormat/>
    <w:uiPriority w:val="0"/>
    <w:rPr>
      <w:szCs w:val="20"/>
    </w:rPr>
  </w:style>
  <w:style w:type="paragraph" w:styleId="23">
    <w:name w:val="Body Text Indent 2"/>
    <w:basedOn w:val="1"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24">
    <w:name w:val="Balloon Text"/>
    <w:basedOn w:val="1"/>
    <w:semiHidden/>
    <w:qFormat/>
    <w:uiPriority w:val="0"/>
    <w:rPr>
      <w:sz w:val="18"/>
      <w:szCs w:val="18"/>
    </w:rPr>
  </w:style>
  <w:style w:type="paragraph" w:styleId="25">
    <w:name w:val="footer"/>
    <w:basedOn w:val="1"/>
    <w:link w:val="5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6">
    <w:name w:val="header"/>
    <w:basedOn w:val="1"/>
    <w:link w:val="5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7">
    <w:name w:val="toc 1"/>
    <w:basedOn w:val="1"/>
    <w:next w:val="1"/>
    <w:qFormat/>
    <w:uiPriority w:val="39"/>
    <w:pPr>
      <w:tabs>
        <w:tab w:val="right" w:leader="dot" w:pos="9061"/>
      </w:tabs>
    </w:pPr>
    <w:rPr>
      <w:rFonts w:ascii="仿宋_GB2312" w:hAnsi="宋体" w:eastAsia="仿宋_GB2312" w:cs="仿宋_GB2312"/>
      <w:color w:val="000000"/>
      <w:szCs w:val="21"/>
    </w:rPr>
  </w:style>
  <w:style w:type="paragraph" w:styleId="28">
    <w:name w:val="toc 4"/>
    <w:basedOn w:val="1"/>
    <w:next w:val="1"/>
    <w:qFormat/>
    <w:uiPriority w:val="0"/>
    <w:pPr>
      <w:ind w:left="1260" w:leftChars="600"/>
    </w:pPr>
    <w:rPr>
      <w:rFonts w:ascii="Cambria" w:hAnsi="Cambria"/>
      <w:szCs w:val="21"/>
    </w:rPr>
  </w:style>
  <w:style w:type="paragraph" w:styleId="29">
    <w:name w:val="toc 6"/>
    <w:basedOn w:val="1"/>
    <w:next w:val="1"/>
    <w:qFormat/>
    <w:uiPriority w:val="0"/>
    <w:pPr>
      <w:ind w:left="2100" w:leftChars="1000"/>
    </w:pPr>
    <w:rPr>
      <w:rFonts w:ascii="Cambria" w:hAnsi="Cambria"/>
      <w:szCs w:val="21"/>
    </w:rPr>
  </w:style>
  <w:style w:type="paragraph" w:styleId="30">
    <w:name w:val="Body Text Indent 3"/>
    <w:basedOn w:val="1"/>
    <w:link w:val="52"/>
    <w:qFormat/>
    <w:uiPriority w:val="0"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rFonts w:ascii="宋体" w:hAnsi="Cambria" w:cs="宋体"/>
      <w:kern w:val="0"/>
      <w:sz w:val="24"/>
    </w:rPr>
  </w:style>
  <w:style w:type="paragraph" w:styleId="31">
    <w:name w:val="toc 2"/>
    <w:basedOn w:val="1"/>
    <w:next w:val="1"/>
    <w:qFormat/>
    <w:uiPriority w:val="0"/>
    <w:pPr>
      <w:spacing w:before="120" w:line="360" w:lineRule="auto"/>
    </w:pPr>
    <w:rPr>
      <w:rFonts w:ascii="仿宋_GB2312" w:hAnsi="宋体" w:eastAsia="仿宋_GB2312" w:cs="仿宋_GB2312"/>
      <w:b/>
      <w:bCs/>
      <w:sz w:val="24"/>
    </w:rPr>
  </w:style>
  <w:style w:type="paragraph" w:styleId="32">
    <w:name w:val="toc 9"/>
    <w:basedOn w:val="1"/>
    <w:next w:val="1"/>
    <w:qFormat/>
    <w:uiPriority w:val="0"/>
    <w:pPr>
      <w:ind w:left="3360" w:leftChars="1600"/>
    </w:pPr>
    <w:rPr>
      <w:rFonts w:ascii="Cambria" w:hAnsi="Cambria"/>
      <w:szCs w:val="21"/>
    </w:rPr>
  </w:style>
  <w:style w:type="paragraph" w:styleId="33">
    <w:name w:val="Body Text 2"/>
    <w:basedOn w:val="1"/>
    <w:qFormat/>
    <w:uiPriority w:val="0"/>
    <w:pPr>
      <w:widowControl/>
    </w:pPr>
    <w:rPr>
      <w:kern w:val="0"/>
      <w:sz w:val="20"/>
      <w:szCs w:val="20"/>
      <w:lang w:eastAsia="en-US"/>
    </w:rPr>
  </w:style>
  <w:style w:type="paragraph" w:styleId="3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paragraph" w:styleId="35">
    <w:name w:val="index 1"/>
    <w:basedOn w:val="1"/>
    <w:next w:val="1"/>
    <w:qFormat/>
    <w:uiPriority w:val="0"/>
    <w:rPr>
      <w:rFonts w:ascii="Cambria" w:hAnsi="Cambria"/>
      <w:szCs w:val="21"/>
    </w:rPr>
  </w:style>
  <w:style w:type="paragraph" w:styleId="36">
    <w:name w:val="Title"/>
    <w:basedOn w:val="1"/>
    <w:qFormat/>
    <w:uiPriority w:val="0"/>
    <w:pPr>
      <w:jc w:val="center"/>
    </w:pPr>
    <w:rPr>
      <w:sz w:val="30"/>
    </w:rPr>
  </w:style>
  <w:style w:type="paragraph" w:styleId="37">
    <w:name w:val="annotation subject"/>
    <w:basedOn w:val="14"/>
    <w:next w:val="14"/>
    <w:link w:val="70"/>
    <w:qFormat/>
    <w:uiPriority w:val="0"/>
    <w:rPr>
      <w:rFonts w:ascii="Times New Roman" w:hAnsi="Times New Roman"/>
      <w:b/>
      <w:bCs/>
      <w:szCs w:val="24"/>
    </w:rPr>
  </w:style>
  <w:style w:type="table" w:styleId="39">
    <w:name w:val="Table Grid"/>
    <w:basedOn w:val="3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1">
    <w:name w:val="Strong"/>
    <w:qFormat/>
    <w:uiPriority w:val="22"/>
    <w:rPr>
      <w:b/>
      <w:bCs/>
    </w:rPr>
  </w:style>
  <w:style w:type="character" w:styleId="42">
    <w:name w:val="page number"/>
    <w:qFormat/>
    <w:uiPriority w:val="0"/>
  </w:style>
  <w:style w:type="character" w:styleId="43">
    <w:name w:val="FollowedHyperlink"/>
    <w:qFormat/>
    <w:uiPriority w:val="0"/>
    <w:rPr>
      <w:color w:val="800080"/>
      <w:u w:val="single"/>
    </w:rPr>
  </w:style>
  <w:style w:type="character" w:styleId="44">
    <w:name w:val="Emphasis"/>
    <w:qFormat/>
    <w:uiPriority w:val="20"/>
    <w:rPr>
      <w:i/>
      <w:iCs/>
    </w:rPr>
  </w:style>
  <w:style w:type="character" w:styleId="45">
    <w:name w:val="Hyperlink"/>
    <w:qFormat/>
    <w:uiPriority w:val="99"/>
    <w:rPr>
      <w:color w:val="0000FF"/>
      <w:u w:val="single"/>
    </w:rPr>
  </w:style>
  <w:style w:type="character" w:styleId="46">
    <w:name w:val="annotation reference"/>
    <w:basedOn w:val="40"/>
    <w:qFormat/>
    <w:uiPriority w:val="99"/>
    <w:rPr>
      <w:sz w:val="21"/>
      <w:szCs w:val="21"/>
    </w:rPr>
  </w:style>
  <w:style w:type="character" w:customStyle="1" w:styleId="47">
    <w:name w:val="批注文字 字符"/>
    <w:link w:val="14"/>
    <w:qFormat/>
    <w:uiPriority w:val="99"/>
    <w:rPr>
      <w:rFonts w:ascii="Cambria" w:hAnsi="Cambria"/>
      <w:kern w:val="2"/>
      <w:sz w:val="21"/>
      <w:szCs w:val="21"/>
    </w:rPr>
  </w:style>
  <w:style w:type="character" w:customStyle="1" w:styleId="48">
    <w:name w:val="纯文本 字符"/>
    <w:link w:val="20"/>
    <w:qFormat/>
    <w:uiPriority w:val="99"/>
    <w:rPr>
      <w:rFonts w:ascii="宋体" w:hAnsi="Courier New"/>
      <w:kern w:val="2"/>
      <w:sz w:val="21"/>
    </w:rPr>
  </w:style>
  <w:style w:type="character" w:customStyle="1" w:styleId="49">
    <w:name w:val="日期 字符"/>
    <w:link w:val="22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50">
    <w:name w:val="页脚 字符"/>
    <w:link w:val="25"/>
    <w:qFormat/>
    <w:uiPriority w:val="99"/>
    <w:rPr>
      <w:kern w:val="2"/>
      <w:sz w:val="18"/>
      <w:szCs w:val="18"/>
    </w:rPr>
  </w:style>
  <w:style w:type="character" w:customStyle="1" w:styleId="51">
    <w:name w:val="页眉 字符"/>
    <w:link w:val="26"/>
    <w:qFormat/>
    <w:uiPriority w:val="0"/>
    <w:rPr>
      <w:kern w:val="2"/>
      <w:sz w:val="18"/>
      <w:szCs w:val="18"/>
    </w:rPr>
  </w:style>
  <w:style w:type="character" w:customStyle="1" w:styleId="52">
    <w:name w:val="正文文本缩进 3 字符"/>
    <w:link w:val="30"/>
    <w:qFormat/>
    <w:uiPriority w:val="0"/>
    <w:rPr>
      <w:rFonts w:ascii="宋体" w:hAnsi="Cambria" w:cs="宋体"/>
      <w:sz w:val="24"/>
      <w:szCs w:val="24"/>
    </w:rPr>
  </w:style>
  <w:style w:type="character" w:customStyle="1" w:styleId="53">
    <w:name w:val="Char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customStyle="1" w:styleId="54">
    <w:name w:val="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55">
    <w:name w:val="彩色列表 - 强调文字颜色 1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56">
    <w:name w:val="正文文本 21"/>
    <w:basedOn w:val="1"/>
    <w:qFormat/>
    <w:uiPriority w:val="0"/>
    <w:pPr>
      <w:adjustRightInd w:val="0"/>
      <w:spacing w:before="120" w:line="360" w:lineRule="auto"/>
      <w:ind w:firstLine="480"/>
      <w:textAlignment w:val="baseline"/>
    </w:pPr>
    <w:rPr>
      <w:sz w:val="24"/>
      <w:szCs w:val="20"/>
    </w:rPr>
  </w:style>
  <w:style w:type="paragraph" w:customStyle="1" w:styleId="57">
    <w:name w:val="文档正文"/>
    <w:basedOn w:val="1"/>
    <w:qFormat/>
    <w:uiPriority w:val="0"/>
    <w:pPr>
      <w:adjustRightInd w:val="0"/>
      <w:spacing w:line="480" w:lineRule="atLeast"/>
      <w:ind w:firstLine="567"/>
      <w:textAlignment w:val="baseline"/>
    </w:pPr>
    <w:rPr>
      <w:rFonts w:ascii="长城仿宋"/>
      <w:kern w:val="0"/>
      <w:sz w:val="24"/>
      <w:szCs w:val="20"/>
    </w:rPr>
  </w:style>
  <w:style w:type="paragraph" w:customStyle="1" w:styleId="58">
    <w:name w:val="正文文本缩进 21"/>
    <w:basedOn w:val="1"/>
    <w:qFormat/>
    <w:uiPriority w:val="0"/>
    <w:pPr>
      <w:adjustRightInd w:val="0"/>
      <w:spacing w:before="120"/>
      <w:ind w:firstLine="420"/>
      <w:textAlignment w:val="baseline"/>
    </w:pPr>
    <w:rPr>
      <w:sz w:val="24"/>
      <w:szCs w:val="20"/>
    </w:rPr>
  </w:style>
  <w:style w:type="character" w:customStyle="1" w:styleId="59">
    <w:name w:val="Char2"/>
    <w:qFormat/>
    <w:uiPriority w:val="0"/>
    <w:rPr>
      <w:rFonts w:ascii="宋体" w:hAnsi="Courier New" w:eastAsia="宋体" w:cs="宋体"/>
      <w:kern w:val="2"/>
      <w:sz w:val="21"/>
      <w:szCs w:val="21"/>
      <w:lang w:val="en-US" w:eastAsia="zh-CN"/>
    </w:rPr>
  </w:style>
  <w:style w:type="paragraph" w:customStyle="1" w:styleId="60">
    <w:name w:val="标题1"/>
    <w:basedOn w:val="36"/>
    <w:qFormat/>
    <w:uiPriority w:val="0"/>
    <w:pPr>
      <w:spacing w:before="240" w:after="240"/>
      <w:outlineLvl w:val="0"/>
    </w:pPr>
    <w:rPr>
      <w:rFonts w:ascii="Arial" w:hAnsi="Arial" w:cs="Arial"/>
      <w:b/>
      <w:bCs/>
      <w:spacing w:val="2"/>
      <w:sz w:val="44"/>
      <w:szCs w:val="44"/>
    </w:rPr>
  </w:style>
  <w:style w:type="paragraph" w:customStyle="1" w:styleId="61">
    <w:name w:val="附录标题3"/>
    <w:basedOn w:val="1"/>
    <w:next w:val="4"/>
    <w:qFormat/>
    <w:uiPriority w:val="0"/>
    <w:pPr>
      <w:tabs>
        <w:tab w:val="left" w:pos="1080"/>
        <w:tab w:val="left" w:pos="2880"/>
      </w:tabs>
      <w:ind w:left="2880" w:hanging="720"/>
      <w:outlineLvl w:val="0"/>
    </w:pPr>
    <w:rPr>
      <w:rFonts w:ascii="Arial" w:hAnsi="Arial" w:cs="Arial"/>
      <w:sz w:val="24"/>
    </w:rPr>
  </w:style>
  <w:style w:type="paragraph" w:customStyle="1" w:styleId="62">
    <w:name w:val="样式"/>
    <w:basedOn w:val="1"/>
    <w:next w:val="20"/>
    <w:qFormat/>
    <w:uiPriority w:val="0"/>
    <w:rPr>
      <w:rFonts w:ascii="宋体" w:hAnsi="Courier New" w:cs="宋体"/>
      <w:szCs w:val="21"/>
    </w:rPr>
  </w:style>
  <w:style w:type="paragraph" w:customStyle="1" w:styleId="63">
    <w:name w:val="Char1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64">
    <w:name w:val="Char Char Char Char"/>
    <w:basedOn w:val="1"/>
    <w:qFormat/>
    <w:uiPriority w:val="0"/>
    <w:pPr>
      <w:spacing w:after="160" w:line="240" w:lineRule="exact"/>
    </w:pPr>
    <w:rPr>
      <w:rFonts w:ascii="Cambria" w:hAnsi="Cambria"/>
      <w:szCs w:val="21"/>
    </w:rPr>
  </w:style>
  <w:style w:type="paragraph" w:customStyle="1" w:styleId="65">
    <w:name w:val="trs_edito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66">
    <w:name w:val="List Paragraph"/>
    <w:basedOn w:val="1"/>
    <w:qFormat/>
    <w:uiPriority w:val="34"/>
    <w:pPr>
      <w:ind w:left="205" w:right="169" w:firstLine="655"/>
    </w:pPr>
    <w:rPr>
      <w:rFonts w:ascii="Cambria" w:hAnsi="Cambria"/>
      <w:szCs w:val="21"/>
    </w:rPr>
  </w:style>
  <w:style w:type="table" w:customStyle="1" w:styleId="67">
    <w:name w:val="Table Normal"/>
    <w:unhideWhenUsed/>
    <w:qFormat/>
    <w:uiPriority w:val="2"/>
    <w:pPr>
      <w:widowControl w:val="0"/>
      <w:autoSpaceDE w:val="0"/>
      <w:autoSpaceDN w:val="0"/>
    </w:pPr>
    <w:rPr>
      <w:rFonts w:ascii="Cambria" w:hAnsi="Cambria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8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eastAsia="en-US"/>
    </w:rPr>
  </w:style>
  <w:style w:type="paragraph" w:customStyle="1" w:styleId="69">
    <w:name w:val="xl25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/>
      <w:kern w:val="0"/>
      <w:szCs w:val="21"/>
    </w:rPr>
  </w:style>
  <w:style w:type="character" w:customStyle="1" w:styleId="70">
    <w:name w:val="批注主题 字符"/>
    <w:basedOn w:val="47"/>
    <w:link w:val="37"/>
    <w:qFormat/>
    <w:uiPriority w:val="0"/>
    <w:rPr>
      <w:rFonts w:ascii="Cambria" w:hAnsi="Cambria"/>
      <w:b/>
      <w:bCs/>
      <w:kern w:val="2"/>
      <w:sz w:val="21"/>
      <w:szCs w:val="24"/>
    </w:rPr>
  </w:style>
  <w:style w:type="paragraph" w:customStyle="1" w:styleId="71">
    <w:name w:val="修订1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72">
    <w:name w:val="修订2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73">
    <w:name w:val="修订3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74">
    <w:name w:val="Revision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8</Pages>
  <Words>3738</Words>
  <Characters>4209</Characters>
  <Lines>1181</Lines>
  <Paragraphs>1323</Paragraphs>
  <TotalTime>44</TotalTime>
  <ScaleCrop>false</ScaleCrop>
  <LinksUpToDate>false</LinksUpToDate>
  <CharactersWithSpaces>4314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2025-11-13T05:28:00Z</dcterms:created>
  <dc:creator>caowuning</dc:creator>
  <cp:lastModifiedBy>清</cp:lastModifiedBy>
  <cp:lastPrinted>2009-04-21T09:03:00Z</cp:lastPrinted>
  <dcterms:modified xsi:type="dcterms:W3CDTF">2025-12-29T01:32:34Z</dcterms:modified>
  <dc:title>北 京 市 政 府 采 购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4C2E026B0B4C4442AB624F93DDC4CE72_13</vt:lpwstr>
  </property>
  <property fmtid="{D5CDD505-2E9C-101B-9397-08002B2CF9AE}" pid="4" name="KSOTemplateDocerSaveRecord">
    <vt:lpwstr>eyJoZGlkIjoiNTI5ZmZjMjA2MjdiMDFiYzZmZWIzNjQ5YThhMzQxMzIiLCJ1c2VySWQiOiI3MTgzNDAyNjIifQ==</vt:lpwstr>
  </property>
  <property fmtid="{D5CDD505-2E9C-101B-9397-08002B2CF9AE}" pid="5" name="ClassificationContentMarkingHeaderShapeIds">
    <vt:lpwstr>5a128685,1cde7623,6267c93e,3bf3e7bf,19ea64e3</vt:lpwstr>
  </property>
  <property fmtid="{D5CDD505-2E9C-101B-9397-08002B2CF9AE}" pid="6" name="ClassificationContentMarkingHeaderFontProps">
    <vt:lpwstr>#000000,10,Aptos</vt:lpwstr>
  </property>
  <property fmtid="{D5CDD505-2E9C-101B-9397-08002B2CF9AE}" pid="7" name="ClassificationContentMarkingHeaderText">
    <vt:lpwstr>受批准可向公众公开 Publishable after approval (D4)</vt:lpwstr>
  </property>
  <property fmtid="{D5CDD505-2E9C-101B-9397-08002B2CF9AE}" pid="8" name="ClassificationContentMarkingFooterShapeIds">
    <vt:lpwstr>425f11ac,70db723,7024e03f,48c1d7cf,286ebf35,288d49ac,5d58f960,158c33b2,15cdf7cc,3b07e88e,1beef630</vt:lpwstr>
  </property>
  <property fmtid="{D5CDD505-2E9C-101B-9397-08002B2CF9AE}" pid="9" name="ClassificationContentMarkingFooterFontProps">
    <vt:lpwstr>#000000,10,Aptos</vt:lpwstr>
  </property>
  <property fmtid="{D5CDD505-2E9C-101B-9397-08002B2CF9AE}" pid="10" name="ClassificationContentMarkingFooterText">
    <vt:lpwstr>受批准可向公众公开 Publishable after approval (D4)</vt:lpwstr>
  </property>
  <property fmtid="{D5CDD505-2E9C-101B-9397-08002B2CF9AE}" pid="11" name="MSIP_Label_4a66cc45-1ff8-442d-add6-bd64808102cf_Enabled">
    <vt:lpwstr>true</vt:lpwstr>
  </property>
  <property fmtid="{D5CDD505-2E9C-101B-9397-08002B2CF9AE}" pid="12" name="MSIP_Label_4a66cc45-1ff8-442d-add6-bd64808102cf_SetDate">
    <vt:lpwstr>2025-10-21T03:18:42Z</vt:lpwstr>
  </property>
  <property fmtid="{D5CDD505-2E9C-101B-9397-08002B2CF9AE}" pid="13" name="MSIP_Label_4a66cc45-1ff8-442d-add6-bd64808102cf_Method">
    <vt:lpwstr>Privileged</vt:lpwstr>
  </property>
  <property fmtid="{D5CDD505-2E9C-101B-9397-08002B2CF9AE}" pid="14" name="MSIP_Label_4a66cc45-1ff8-442d-add6-bd64808102cf_Name">
    <vt:lpwstr>受批准可公开 Approved to Public (D4)</vt:lpwstr>
  </property>
  <property fmtid="{D5CDD505-2E9C-101B-9397-08002B2CF9AE}" pid="15" name="MSIP_Label_4a66cc45-1ff8-442d-add6-bd64808102cf_SiteId">
    <vt:lpwstr>68ad275d-e682-495f-b9fa-dcfb22875390</vt:lpwstr>
  </property>
  <property fmtid="{D5CDD505-2E9C-101B-9397-08002B2CF9AE}" pid="16" name="MSIP_Label_4a66cc45-1ff8-442d-add6-bd64808102cf_ActionId">
    <vt:lpwstr>a2434cb1-0b9f-403c-8529-2bab1543a48a</vt:lpwstr>
  </property>
  <property fmtid="{D5CDD505-2E9C-101B-9397-08002B2CF9AE}" pid="17" name="MSIP_Label_4a66cc45-1ff8-442d-add6-bd64808102cf_ContentBits">
    <vt:lpwstr>3</vt:lpwstr>
  </property>
  <property fmtid="{D5CDD505-2E9C-101B-9397-08002B2CF9AE}" pid="18" name="MSIP_Label_4a66cc45-1ff8-442d-add6-bd64808102cf_Tag">
    <vt:lpwstr>10, 0, 1, 1</vt:lpwstr>
  </property>
</Properties>
</file>