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0AB8D8">
      <w:pPr>
        <w:adjustRightInd w:val="0"/>
        <w:snapToGrid w:val="0"/>
        <w:spacing w:after="156" w:afterLines="50" w:line="360" w:lineRule="auto"/>
        <w:jc w:val="center"/>
        <w:outlineLvl w:val="0"/>
        <w:rPr>
          <w:rFonts w:ascii="黑体" w:eastAsia="黑体"/>
          <w:b/>
          <w:color w:val="000000" w:themeColor="text1"/>
          <w:kern w:val="44"/>
          <w:sz w:val="48"/>
          <w:szCs w:val="20"/>
          <w14:textFill>
            <w14:solidFill>
              <w14:schemeClr w14:val="tx1"/>
            </w14:solidFill>
          </w14:textFill>
        </w:rPr>
      </w:pPr>
      <w:bookmarkStart w:id="2" w:name="_GoBack"/>
      <w:bookmarkEnd w:id="2"/>
      <w:bookmarkStart w:id="0" w:name="_Toc129880039"/>
      <w:bookmarkStart w:id="1" w:name="_Toc512937852"/>
      <w:r>
        <w:rPr>
          <w:rFonts w:hint="eastAsia" w:ascii="宋体" w:hAnsi="宋体"/>
          <w:b/>
          <w:color w:val="000000" w:themeColor="text1"/>
          <w:sz w:val="30"/>
          <w:szCs w:val="30"/>
          <w14:textFill>
            <w14:solidFill>
              <w14:schemeClr w14:val="tx1"/>
            </w14:solidFill>
          </w14:textFill>
        </w:rPr>
        <w:t>第八部分 采购需求</w:t>
      </w:r>
      <w:bookmarkEnd w:id="0"/>
    </w:p>
    <w:bookmarkEnd w:id="1"/>
    <w:p w14:paraId="4D61EA3E">
      <w:pPr>
        <w:adjustRightInd w:val="0"/>
        <w:snapToGrid w:val="0"/>
        <w:spacing w:before="156" w:beforeLines="50" w:after="156" w:afterLines="50" w:line="360" w:lineRule="auto"/>
        <w:jc w:val="center"/>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货物需求一览表</w:t>
      </w:r>
    </w:p>
    <w:p w14:paraId="40643A12">
      <w:pPr>
        <w:adjustRightInd w:val="0"/>
        <w:snapToGrid w:val="0"/>
        <w:jc w:val="center"/>
        <w:rPr>
          <w:rFonts w:ascii="宋体" w:hAnsi="宋体"/>
          <w:b/>
          <w:color w:val="000000" w:themeColor="text1"/>
          <w:sz w:val="30"/>
          <w:szCs w:val="30"/>
          <w14:textFill>
            <w14:solidFill>
              <w14:schemeClr w14:val="tx1"/>
            </w14:solidFill>
          </w14:textFill>
        </w:rPr>
      </w:pPr>
    </w:p>
    <w:tbl>
      <w:tblPr>
        <w:tblStyle w:val="38"/>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0A66C7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6014A472">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包号</w:t>
            </w:r>
          </w:p>
        </w:tc>
        <w:tc>
          <w:tcPr>
            <w:tcW w:w="2357" w:type="dxa"/>
            <w:vAlign w:val="center"/>
          </w:tcPr>
          <w:p w14:paraId="12F59670">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货物名称</w:t>
            </w:r>
          </w:p>
        </w:tc>
        <w:tc>
          <w:tcPr>
            <w:tcW w:w="1329" w:type="dxa"/>
            <w:vAlign w:val="center"/>
          </w:tcPr>
          <w:p w14:paraId="7299052D">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数量</w:t>
            </w:r>
          </w:p>
        </w:tc>
        <w:tc>
          <w:tcPr>
            <w:tcW w:w="2470" w:type="dxa"/>
            <w:vAlign w:val="center"/>
          </w:tcPr>
          <w:p w14:paraId="73687BEA">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是否接受进口</w:t>
            </w:r>
          </w:p>
        </w:tc>
      </w:tr>
      <w:tr w14:paraId="2DB70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40DDC2D">
            <w:pPr>
              <w:jc w:val="center"/>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w:t>
            </w:r>
          </w:p>
        </w:tc>
        <w:tc>
          <w:tcPr>
            <w:tcW w:w="2357" w:type="dxa"/>
            <w:vAlign w:val="center"/>
          </w:tcPr>
          <w:p w14:paraId="42C465FE">
            <w:pPr>
              <w:jc w:val="center"/>
              <w:rPr>
                <w:rFonts w:ascii="Bookman Old Style" w:hAnsi="Bookman Old Style"/>
                <w:color w:val="000000" w:themeColor="text1"/>
                <w:sz w:val="24"/>
                <w14:textFill>
                  <w14:solidFill>
                    <w14:schemeClr w14:val="tx1"/>
                  </w14:solidFill>
                </w14:textFill>
              </w:rPr>
            </w:pPr>
            <w:r>
              <w:rPr>
                <w:rFonts w:hint="eastAsia" w:ascii="Bookman Old Style" w:hAnsi="Bookman Old Style"/>
                <w:color w:val="000000" w:themeColor="text1"/>
                <w:sz w:val="24"/>
                <w14:textFill>
                  <w14:solidFill>
                    <w14:schemeClr w14:val="tx1"/>
                  </w14:solidFill>
                </w14:textFill>
              </w:rPr>
              <w:t>等温滴定微量热仪</w:t>
            </w:r>
          </w:p>
        </w:tc>
        <w:tc>
          <w:tcPr>
            <w:tcW w:w="1329" w:type="dxa"/>
            <w:vAlign w:val="center"/>
          </w:tcPr>
          <w:p w14:paraId="03898B3B">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1套</w:t>
            </w:r>
          </w:p>
        </w:tc>
        <w:tc>
          <w:tcPr>
            <w:tcW w:w="2470" w:type="dxa"/>
            <w:vAlign w:val="center"/>
          </w:tcPr>
          <w:p w14:paraId="4EAF14A0">
            <w:pPr>
              <w:jc w:val="center"/>
              <w:rPr>
                <w:rFonts w:ascii="宋体" w:hAnsi="Bookman Old Style"/>
                <w:color w:val="000000" w:themeColor="text1"/>
                <w:sz w:val="24"/>
                <w14:textFill>
                  <w14:solidFill>
                    <w14:schemeClr w14:val="tx1"/>
                  </w14:solidFill>
                </w14:textFill>
              </w:rPr>
            </w:pPr>
            <w:r>
              <w:rPr>
                <w:rFonts w:hint="eastAsia" w:ascii="宋体" w:hAnsi="Bookman Old Style"/>
                <w:color w:val="000000" w:themeColor="text1"/>
                <w:sz w:val="24"/>
                <w14:textFill>
                  <w14:solidFill>
                    <w14:schemeClr w14:val="tx1"/>
                  </w14:solidFill>
                </w14:textFill>
              </w:rPr>
              <w:t>是</w:t>
            </w:r>
          </w:p>
        </w:tc>
      </w:tr>
    </w:tbl>
    <w:p w14:paraId="62C0802E">
      <w:pPr>
        <w:adjustRightInd w:val="0"/>
        <w:snapToGrid w:val="0"/>
        <w:jc w:val="center"/>
        <w:rPr>
          <w:rFonts w:ascii="宋体" w:hAnsi="宋体"/>
          <w:b/>
          <w:color w:val="000000" w:themeColor="text1"/>
          <w:sz w:val="30"/>
          <w:szCs w:val="30"/>
          <w14:textFill>
            <w14:solidFill>
              <w14:schemeClr w14:val="tx1"/>
            </w14:solidFill>
          </w14:textFill>
        </w:rPr>
      </w:pPr>
    </w:p>
    <w:p w14:paraId="0E024226">
      <w:pPr>
        <w:adjustRightInd w:val="0"/>
        <w:snapToGrid w:val="0"/>
        <w:jc w:val="center"/>
        <w:rPr>
          <w:rFonts w:ascii="宋体" w:hAnsi="宋体"/>
          <w:b/>
          <w:color w:val="000000" w:themeColor="text1"/>
          <w:sz w:val="30"/>
          <w:szCs w:val="30"/>
          <w14:textFill>
            <w14:solidFill>
              <w14:schemeClr w14:val="tx1"/>
            </w14:solidFill>
          </w14:textFill>
        </w:rPr>
      </w:pPr>
    </w:p>
    <w:p w14:paraId="07B072B1">
      <w:pPr>
        <w:rPr>
          <w:rFonts w:ascii="Bookman Old Style" w:hAnsi="Bookman Old Style"/>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注：投标人须对上述投标内容中完整的一包或几包进行投标，</w:t>
      </w:r>
      <w:r>
        <w:rPr>
          <w:rFonts w:hint="eastAsia" w:ascii="Bookman Old Style" w:hAnsi="Bookman Old Style"/>
          <w:color w:val="000000" w:themeColor="text1"/>
          <w:sz w:val="24"/>
          <w14:textFill>
            <w14:solidFill>
              <w14:schemeClr w14:val="tx1"/>
            </w14:solidFill>
          </w14:textFill>
        </w:rPr>
        <w:t>不完整的投标将视为非响应性投标予以拒绝。</w:t>
      </w:r>
    </w:p>
    <w:p w14:paraId="172C9D56">
      <w:pPr>
        <w:adjustRightInd w:val="0"/>
        <w:snapToGrid w:val="0"/>
        <w:rPr>
          <w:rFonts w:ascii="宋体" w:hAnsi="宋体"/>
          <w:color w:val="000000" w:themeColor="text1"/>
          <w:szCs w:val="21"/>
          <w14:textFill>
            <w14:solidFill>
              <w14:schemeClr w14:val="tx1"/>
            </w14:solidFill>
          </w14:textFill>
        </w:rPr>
      </w:pPr>
    </w:p>
    <w:p w14:paraId="259CA617">
      <w:pPr>
        <w:adjustRightInd w:val="0"/>
        <w:snapToGrid w:val="0"/>
        <w:rPr>
          <w:rFonts w:ascii="宋体" w:hAnsi="宋体"/>
          <w:color w:val="000000" w:themeColor="text1"/>
          <w:szCs w:val="21"/>
          <w14:textFill>
            <w14:solidFill>
              <w14:schemeClr w14:val="tx1"/>
            </w14:solidFill>
          </w14:textFill>
        </w:rPr>
      </w:pPr>
    </w:p>
    <w:p w14:paraId="059C7C87">
      <w:pPr>
        <w:adjustRightInd w:val="0"/>
        <w:snapToGrid w:val="0"/>
        <w:rPr>
          <w:rFonts w:ascii="宋体" w:hAnsi="宋体"/>
          <w:color w:val="000000" w:themeColor="text1"/>
          <w:szCs w:val="21"/>
          <w14:textFill>
            <w14:solidFill>
              <w14:schemeClr w14:val="tx1"/>
            </w14:solidFill>
          </w14:textFill>
        </w:rPr>
      </w:pPr>
    </w:p>
    <w:p w14:paraId="5F61F50C">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30"/>
          <w:szCs w:val="30"/>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一、总则</w:t>
      </w:r>
    </w:p>
    <w:p w14:paraId="4C02BB6E">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1</w:t>
      </w:r>
      <w:r>
        <w:rPr>
          <w:rFonts w:hint="eastAsia" w:ascii="宋体" w:hAnsi="宋体"/>
          <w:b/>
          <w:color w:val="000000" w:themeColor="text1"/>
          <w:sz w:val="28"/>
          <w:szCs w:val="28"/>
          <w14:textFill>
            <w14:solidFill>
              <w14:schemeClr w14:val="tx1"/>
            </w14:solidFill>
          </w14:textFill>
        </w:rPr>
        <w:t>、投标要求</w:t>
      </w:r>
    </w:p>
    <w:p w14:paraId="1FDD3E49">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w:t>
      </w:r>
      <w:r>
        <w:rPr>
          <w:rFonts w:hint="eastAsia" w:ascii="宋体" w:hAnsi="宋体"/>
          <w:color w:val="000000" w:themeColor="text1"/>
          <w:sz w:val="24"/>
          <w14:textFill>
            <w14:solidFill>
              <w14:schemeClr w14:val="tx1"/>
            </w14:solidFill>
          </w14:textFill>
        </w:rPr>
        <w:t xml:space="preserve"> 投标人在准备投标书时，务必在所提供的商品的技术规格文件中，标明型号、商标名称、目录号。</w:t>
      </w:r>
    </w:p>
    <w:p w14:paraId="05AB2966">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125FEE59">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投标人提供的</w:t>
      </w:r>
      <w:r>
        <w:rPr>
          <w:rFonts w:hint="eastAsia" w:ascii="宋体"/>
          <w:color w:val="000000" w:themeColor="text1"/>
          <w:sz w:val="24"/>
          <w14:textFill>
            <w14:solidFill>
              <w14:schemeClr w14:val="tx1"/>
            </w14:solidFill>
          </w14:textFill>
        </w:rPr>
        <w:t>产品</w:t>
      </w:r>
      <w:r>
        <w:rPr>
          <w:rFonts w:hint="eastAsia"/>
          <w:color w:val="000000" w:themeColor="text1"/>
          <w:sz w:val="24"/>
          <w14:textFill>
            <w14:solidFill>
              <w14:schemeClr w14:val="tx1"/>
            </w14:solidFill>
          </w14:textFill>
        </w:rPr>
        <w:t>样本，必须是“原件”而非复印件，</w:t>
      </w:r>
      <w:r>
        <w:rPr>
          <w:rFonts w:hint="eastAsia" w:ascii="宋体"/>
          <w:color w:val="000000" w:themeColor="text1"/>
          <w:sz w:val="24"/>
          <w14:textFill>
            <w14:solidFill>
              <w14:schemeClr w14:val="tx1"/>
            </w14:solidFill>
          </w14:textFill>
        </w:rPr>
        <w:t>图表、简图、电路图以及印刷电路板图等都应</w:t>
      </w:r>
      <w:r>
        <w:rPr>
          <w:rFonts w:hint="eastAsia"/>
          <w:color w:val="000000" w:themeColor="text1"/>
          <w:sz w:val="24"/>
          <w14:textFill>
            <w14:solidFill>
              <w14:schemeClr w14:val="tx1"/>
            </w14:solidFill>
          </w14:textFill>
        </w:rPr>
        <w:t>清晰易读。买方有权</w:t>
      </w:r>
      <w:r>
        <w:rPr>
          <w:rFonts w:hint="eastAsia" w:ascii="宋体"/>
          <w:color w:val="000000" w:themeColor="text1"/>
          <w:sz w:val="24"/>
          <w14:textFill>
            <w14:solidFill>
              <w14:schemeClr w14:val="tx1"/>
            </w14:solidFill>
          </w14:textFill>
        </w:rPr>
        <w:t>不付任何附加费用</w:t>
      </w:r>
      <w:r>
        <w:rPr>
          <w:rFonts w:hint="eastAsia"/>
          <w:color w:val="000000" w:themeColor="text1"/>
          <w:sz w:val="24"/>
          <w14:textFill>
            <w14:solidFill>
              <w14:schemeClr w14:val="tx1"/>
            </w14:solidFill>
          </w14:textFill>
        </w:rPr>
        <w:t>复制这些资料</w:t>
      </w:r>
      <w:r>
        <w:rPr>
          <w:rFonts w:hint="eastAsia" w:ascii="宋体"/>
          <w:color w:val="000000" w:themeColor="text1"/>
          <w:sz w:val="24"/>
          <w14:textFill>
            <w14:solidFill>
              <w14:schemeClr w14:val="tx1"/>
            </w14:solidFill>
          </w14:textFill>
        </w:rPr>
        <w:t>以供参考。</w:t>
      </w:r>
    </w:p>
    <w:p w14:paraId="054779F8">
      <w:pPr>
        <w:spacing w:line="360" w:lineRule="auto"/>
        <w:ind w:left="554" w:hanging="554" w:hangingChars="231"/>
        <w:rPr>
          <w:rFonts w:ascii="宋体"/>
          <w:color w:val="000000" w:themeColor="text1"/>
          <w:sz w:val="24"/>
          <w14:textFill>
            <w14:solidFill>
              <w14:schemeClr w14:val="tx1"/>
            </w14:solidFill>
          </w14:textFill>
        </w:rPr>
      </w:pPr>
      <w:r>
        <w:rPr>
          <w:rFonts w:hint="eastAsia" w:ascii="宋体"/>
          <w:color w:val="000000" w:themeColor="text1"/>
          <w:sz w:val="24"/>
          <w14:textFill>
            <w14:solidFill>
              <w14:schemeClr w14:val="tx1"/>
            </w14:solidFill>
          </w14:textFill>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221EC3F6">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2、评标标准</w:t>
      </w:r>
    </w:p>
    <w:p w14:paraId="115075EF">
      <w:pPr>
        <w:spacing w:line="360" w:lineRule="auto"/>
        <w:ind w:left="554" w:hanging="554" w:hangingChars="231"/>
        <w:rPr>
          <w:rFonts w:asci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 xml:space="preserve">1  </w:t>
      </w:r>
      <w:r>
        <w:rPr>
          <w:rFonts w:hint="eastAsia"/>
          <w:color w:val="000000" w:themeColor="text1"/>
          <w:sz w:val="24"/>
          <w14:textFill>
            <w14:solidFill>
              <w14:schemeClr w14:val="tx1"/>
            </w14:solidFill>
          </w14:textFill>
        </w:rPr>
        <w:t>除招标文件中指定的附件和专用工具外，</w:t>
      </w:r>
      <w:r>
        <w:rPr>
          <w:rFonts w:hint="eastAsia" w:ascii="宋体"/>
          <w:color w:val="000000" w:themeColor="text1"/>
          <w:sz w:val="24"/>
          <w14:textFill>
            <w14:solidFill>
              <w14:schemeClr w14:val="tx1"/>
            </w14:solidFill>
          </w14:textFill>
        </w:rPr>
        <w:t>投标人应提供仪器设备的正常运行和常规保养所需的全套标准附件、专用工具</w:t>
      </w:r>
      <w:r>
        <w:rPr>
          <w:rFonts w:hint="eastAsia"/>
          <w:color w:val="000000" w:themeColor="text1"/>
          <w:sz w:val="24"/>
          <w14:textFill>
            <w14:solidFill>
              <w14:schemeClr w14:val="tx1"/>
            </w14:solidFill>
          </w14:textFill>
        </w:rPr>
        <w:t>和消耗品</w:t>
      </w:r>
      <w:r>
        <w:rPr>
          <w:rFonts w:hint="eastAsia" w:ascii="宋体"/>
          <w:color w:val="000000" w:themeColor="text1"/>
          <w:sz w:val="24"/>
          <w14:textFill>
            <w14:solidFill>
              <w14:schemeClr w14:val="tx1"/>
            </w14:solidFill>
          </w14:textFill>
        </w:rPr>
        <w:t>。投标人在投标书中需列出这些附件和工具的数量和单价的清单，这些附件和工具的报价的总值需计入投标价中。</w:t>
      </w:r>
    </w:p>
    <w:p w14:paraId="56C902D4">
      <w:pPr>
        <w:spacing w:line="360" w:lineRule="auto"/>
        <w:ind w:left="554" w:hanging="554" w:hangingChars="231"/>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对于标书</w:t>
      </w:r>
      <w:r>
        <w:rPr>
          <w:rFonts w:hint="eastAsia" w:ascii="宋体"/>
          <w:color w:val="000000" w:themeColor="text1"/>
          <w:sz w:val="24"/>
          <w14:textFill>
            <w14:solidFill>
              <w14:schemeClr w14:val="tx1"/>
            </w14:solidFill>
          </w14:textFill>
        </w:rPr>
        <w:t>技术规范中已列</w:t>
      </w:r>
      <w:r>
        <w:rPr>
          <w:rFonts w:hint="eastAsia"/>
          <w:color w:val="000000" w:themeColor="text1"/>
          <w:sz w:val="24"/>
          <w14:textFill>
            <w14:solidFill>
              <w14:schemeClr w14:val="tx1"/>
            </w14:solidFill>
          </w14:textFill>
        </w:rPr>
        <w:t>出的作为查询选件的附件、零配件、专用工具和消耗品，投标书中</w:t>
      </w:r>
      <w:r>
        <w:rPr>
          <w:rFonts w:hint="eastAsia" w:ascii="宋体"/>
          <w:color w:val="000000" w:themeColor="text1"/>
          <w:sz w:val="24"/>
          <w14:textFill>
            <w14:solidFill>
              <w14:schemeClr w14:val="tx1"/>
            </w14:solidFill>
          </w14:textFill>
        </w:rPr>
        <w:t>应列明其数量、单价、总价供买方参考。投标人也可推荐买方没有要求的附件或专用工具作为选件，并列明其数量、单价、总价供买方参考。选件价格不计入评标价中。</w:t>
      </w:r>
    </w:p>
    <w:p w14:paraId="787E50E9">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2.3  为便于用户进行接收仪器的准备工作，卖方应在合同生效后</w:t>
      </w:r>
      <w:r>
        <w:rPr>
          <w:rFonts w:hint="eastAsia" w:ascii="宋体" w:hAnsi="宋体"/>
          <w:b/>
          <w:color w:val="000000" w:themeColor="text1"/>
          <w:sz w:val="24"/>
          <w14:textFill>
            <w14:solidFill>
              <w14:schemeClr w14:val="tx1"/>
            </w14:solidFill>
          </w14:textFill>
        </w:rPr>
        <w:t>60</w:t>
      </w:r>
      <w:r>
        <w:rPr>
          <w:rFonts w:hint="eastAsia" w:ascii="宋体" w:hAnsi="宋体"/>
          <w:color w:val="000000" w:themeColor="text1"/>
          <w:sz w:val="24"/>
          <w14:textFill>
            <w14:solidFill>
              <w14:schemeClr w14:val="tx1"/>
            </w14:solidFill>
          </w14:textFill>
        </w:rPr>
        <w:t>天内向用户提供一套完整的使用说明书、操作手册、维修及安装说明等文件。另一套完整上述资料应在交货时随货包装提供给用户，这些费用应计入投标价中。</w:t>
      </w:r>
    </w:p>
    <w:p w14:paraId="20F2E8F1">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2</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4</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关于设备的安装调试，如果有必要的安装准备条件，卖方应在合同生效后一个月内向买方提出详细的要求或计划。安装调试的费用应计入投标价中，并应单独列出，供评标使用。</w:t>
      </w:r>
    </w:p>
    <w:p w14:paraId="21DF276A">
      <w:pPr>
        <w:spacing w:line="360" w:lineRule="auto"/>
        <w:ind w:left="554" w:hanging="554" w:hangingChars="23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5  制造厂家提供的培训指的是涉及货物的基本原理、操作使用和保养维修等有关内容的培训。培训教员的培训费、旅费、食宿费等费用和培训场地费及培训资料费均应由卖方支付。</w:t>
      </w:r>
    </w:p>
    <w:p w14:paraId="08F7DA63">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3、工作条件</w:t>
      </w:r>
    </w:p>
    <w:p w14:paraId="2781C961">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除非在技术规格中另有说明，所有仪器、设备和系统都应符合下列要求：</w:t>
      </w:r>
      <w:r>
        <w:rPr>
          <w:rFonts w:ascii="宋体" w:hAnsi="宋体"/>
          <w:color w:val="000000" w:themeColor="text1"/>
          <w:sz w:val="24"/>
          <w14:textFill>
            <w14:solidFill>
              <w14:schemeClr w14:val="tx1"/>
            </w14:solidFill>
          </w14:textFill>
        </w:rPr>
        <w:t xml:space="preserve"> </w:t>
      </w:r>
    </w:p>
    <w:p w14:paraId="391757AB">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3.1  适于在气温为摄氏</w:t>
      </w:r>
      <w:r>
        <w:rPr>
          <w:rFonts w:ascii="宋体" w:hAnsi="宋体"/>
          <w:b/>
          <w:color w:val="000000" w:themeColor="text1"/>
          <w:sz w:val="24"/>
          <w14:textFill>
            <w14:solidFill>
              <w14:schemeClr w14:val="tx1"/>
            </w14:solidFill>
          </w14:textFill>
        </w:rPr>
        <w:t>-40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和相对湿度为</w:t>
      </w:r>
      <w:r>
        <w:rPr>
          <w:rFonts w:ascii="宋体" w:hAnsi="宋体"/>
          <w:b/>
          <w:color w:val="000000" w:themeColor="text1"/>
          <w:sz w:val="24"/>
          <w14:textFill>
            <w14:solidFill>
              <w14:schemeClr w14:val="tx1"/>
            </w14:solidFill>
          </w14:textFill>
        </w:rPr>
        <w:t>90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的环境条件下运输和贮存。</w:t>
      </w:r>
    </w:p>
    <w:p w14:paraId="4F8B1542">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3.2  适于在电源</w:t>
      </w:r>
      <w:r>
        <w:rPr>
          <w:rFonts w:ascii="宋体" w:hAnsi="宋体"/>
          <w:b/>
          <w:color w:val="000000" w:themeColor="text1"/>
          <w:sz w:val="24"/>
          <w14:textFill>
            <w14:solidFill>
              <w14:schemeClr w14:val="tx1"/>
            </w14:solidFill>
          </w14:textFill>
        </w:rPr>
        <w:t>220V</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sym w:font="Symbol" w:char="F0B1"/>
      </w:r>
      <w:r>
        <w:rPr>
          <w:rFonts w:ascii="宋体" w:hAnsi="宋体"/>
          <w:b/>
          <w:color w:val="000000" w:themeColor="text1"/>
          <w:sz w:val="24"/>
          <w14:textFill>
            <w14:solidFill>
              <w14:schemeClr w14:val="tx1"/>
            </w14:solidFill>
          </w14:textFill>
        </w:rPr>
        <w:t>10</w:t>
      </w:r>
      <w:r>
        <w:rPr>
          <w:rFonts w:hint="eastAsia" w:ascii="宋体" w:hAnsi="宋体"/>
          <w:b/>
          <w:color w:val="000000" w:themeColor="text1"/>
          <w:sz w:val="24"/>
          <w14:textFill>
            <w14:solidFill>
              <w14:schemeClr w14:val="tx1"/>
            </w14:solidFill>
          </w14:textFill>
        </w:rPr>
        <w:t>％）</w:t>
      </w:r>
      <w:r>
        <w:rPr>
          <w:rFonts w:ascii="宋体" w:hAnsi="宋体"/>
          <w:b/>
          <w:color w:val="000000" w:themeColor="text1"/>
          <w:sz w:val="24"/>
          <w14:textFill>
            <w14:solidFill>
              <w14:schemeClr w14:val="tx1"/>
            </w14:solidFill>
          </w14:textFill>
        </w:rPr>
        <w:t>/50Hz</w:t>
      </w:r>
      <w:r>
        <w:rPr>
          <w:rFonts w:hint="eastAsia" w:ascii="宋体" w:hAnsi="宋体"/>
          <w:color w:val="000000" w:themeColor="text1"/>
          <w:sz w:val="24"/>
          <w14:textFill>
            <w14:solidFill>
              <w14:schemeClr w14:val="tx1"/>
            </w14:solidFill>
          </w14:textFill>
        </w:rPr>
        <w:t>、气温摄氏</w:t>
      </w:r>
      <w:r>
        <w:rPr>
          <w:rFonts w:hint="eastAsia" w:ascii="宋体" w:hAnsi="宋体"/>
          <w:b/>
          <w:color w:val="000000" w:themeColor="text1"/>
          <w:sz w:val="24"/>
          <w14:textFill>
            <w14:solidFill>
              <w14:schemeClr w14:val="tx1"/>
            </w14:solidFill>
          </w14:textFill>
        </w:rPr>
        <w:t>+1</w:t>
      </w:r>
      <w:r>
        <w:rPr>
          <w:rFonts w:ascii="宋体" w:hAnsi="宋体"/>
          <w:b/>
          <w:color w:val="000000" w:themeColor="text1"/>
          <w:sz w:val="24"/>
          <w14:textFill>
            <w14:solidFill>
              <w14:schemeClr w14:val="tx1"/>
            </w14:solidFill>
          </w14:textFill>
        </w:rPr>
        <w:t>5</w:t>
      </w:r>
      <w:r>
        <w:rPr>
          <w:rFonts w:hint="eastAsia" w:ascii="宋体" w:hAnsi="宋体"/>
          <w:b/>
          <w:color w:val="000000" w:themeColor="text1"/>
          <w:sz w:val="24"/>
          <w14:textFill>
            <w14:solidFill>
              <w14:schemeClr w14:val="tx1"/>
            </w14:solidFill>
          </w14:textFill>
        </w:rPr>
        <w:t>℃～＋3</w:t>
      </w:r>
      <w:r>
        <w:rPr>
          <w:rFonts w:ascii="宋体" w:hAnsi="宋体"/>
          <w:b/>
          <w:color w:val="000000" w:themeColor="text1"/>
          <w:sz w:val="24"/>
          <w14:textFill>
            <w14:solidFill>
              <w14:schemeClr w14:val="tx1"/>
            </w14:solidFill>
          </w14:textFill>
        </w:rPr>
        <w:t>0</w:t>
      </w:r>
      <w:r>
        <w:rPr>
          <w:rFonts w:hint="eastAsia" w:ascii="宋体" w:hAnsi="宋体"/>
          <w:b/>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和相对湿度小于</w:t>
      </w:r>
      <w:r>
        <w:rPr>
          <w:rFonts w:ascii="宋体" w:hAnsi="宋体"/>
          <w:b/>
          <w:color w:val="000000" w:themeColor="text1"/>
          <w:sz w:val="24"/>
          <w14:textFill>
            <w14:solidFill>
              <w14:schemeClr w14:val="tx1"/>
            </w14:solidFill>
          </w14:textFill>
        </w:rPr>
        <w:t>8</w:t>
      </w:r>
      <w:r>
        <w:rPr>
          <w:rFonts w:hint="eastAsia" w:ascii="宋体" w:hAnsi="宋体"/>
          <w:b/>
          <w:color w:val="000000" w:themeColor="text1"/>
          <w:sz w:val="24"/>
          <w14:textFill>
            <w14:solidFill>
              <w14:schemeClr w14:val="tx1"/>
            </w14:solidFill>
          </w14:textFill>
        </w:rPr>
        <w:t>0％</w:t>
      </w:r>
      <w:r>
        <w:rPr>
          <w:rFonts w:hint="eastAsia" w:ascii="宋体" w:hAnsi="宋体"/>
          <w:color w:val="000000" w:themeColor="text1"/>
          <w:sz w:val="24"/>
          <w14:textFill>
            <w14:solidFill>
              <w14:schemeClr w14:val="tx1"/>
            </w14:solidFill>
          </w14:textFill>
        </w:rPr>
        <w:t>的环境条件下运行。</w:t>
      </w:r>
      <w:r>
        <w:rPr>
          <w:rFonts w:hint="eastAsia" w:ascii="宋体" w:hAnsi="宋体"/>
          <w:b/>
          <w:color w:val="000000" w:themeColor="text1"/>
          <w:sz w:val="24"/>
          <w14:textFill>
            <w14:solidFill>
              <w14:schemeClr w14:val="tx1"/>
            </w14:solidFill>
          </w14:textFill>
        </w:rPr>
        <w:t>能够连续正常工作。</w:t>
      </w:r>
    </w:p>
    <w:p w14:paraId="25BB7286">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3.3  配置符合中国有关标准要求的插头，如果没有这样的插头，则需</w:t>
      </w:r>
      <w:r>
        <w:rPr>
          <w:rFonts w:hint="eastAsia" w:ascii="宋体"/>
          <w:color w:val="000000" w:themeColor="text1"/>
          <w:sz w:val="24"/>
          <w14:textFill>
            <w14:solidFill>
              <w14:schemeClr w14:val="tx1"/>
            </w14:solidFill>
          </w14:textFill>
        </w:rPr>
        <w:t>提供适当的转</w:t>
      </w:r>
      <w:r>
        <w:rPr>
          <w:rFonts w:hint="eastAsia" w:ascii="宋体" w:hAnsi="宋体"/>
          <w:color w:val="000000" w:themeColor="text1"/>
          <w:sz w:val="24"/>
          <w14:textFill>
            <w14:solidFill>
              <w14:schemeClr w14:val="tx1"/>
            </w14:solidFill>
          </w14:textFill>
        </w:rPr>
        <w:t>换插座。</w:t>
      </w:r>
    </w:p>
    <w:p w14:paraId="23254796">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3.4  如产品达不到上述要求，投标人应注明其偏差。如仪器设备需要特殊工作条件（如水、电源、磁场强度、温度、湿度、动强度等）投标人应在投标书中加以说明。</w:t>
      </w:r>
    </w:p>
    <w:p w14:paraId="68381537">
      <w:pPr>
        <w:rPr>
          <w:rFonts w:eastAsia="黑体"/>
          <w:b/>
          <w:bCs/>
          <w:color w:val="000000" w:themeColor="text1"/>
          <w:kern w:val="44"/>
          <w:sz w:val="24"/>
          <w14:textFill>
            <w14:solidFill>
              <w14:schemeClr w14:val="tx1"/>
            </w14:solidFill>
          </w14:textFill>
        </w:rPr>
      </w:pPr>
    </w:p>
    <w:p w14:paraId="4A92C302">
      <w:pPr>
        <w:adjustRightInd w:val="0"/>
        <w:snapToGrid w:val="0"/>
        <w:spacing w:line="360" w:lineRule="auto"/>
        <w:rPr>
          <w:rFonts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t>4、验收标准</w:t>
      </w:r>
    </w:p>
    <w:p w14:paraId="7B50105F">
      <w:pPr>
        <w:spacing w:after="312" w:afterLines="100"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除非在技术规格中另有说明，所有仪器、设备和系统按下列要求进行验收：</w:t>
      </w:r>
      <w:r>
        <w:rPr>
          <w:rFonts w:ascii="宋体" w:hAnsi="宋体"/>
          <w:color w:val="000000" w:themeColor="text1"/>
          <w:sz w:val="24"/>
          <w14:textFill>
            <w14:solidFill>
              <w14:schemeClr w14:val="tx1"/>
            </w14:solidFill>
          </w14:textFill>
        </w:rPr>
        <w:t xml:space="preserve"> </w:t>
      </w:r>
    </w:p>
    <w:p w14:paraId="4990F4E3">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4.1  仪器设备运抵安装现场后，买方将与卖方共同开箱验收</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如卖方届时不派人来</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则验收结果应以买方的验收报告为最终验收结果。验收时发现短缺、破损</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买方有权要求卖方负责更换。</w:t>
      </w:r>
    </w:p>
    <w:p w14:paraId="590F835A">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  </w:t>
      </w:r>
      <w:r>
        <w:rPr>
          <w:rFonts w:hint="eastAsia"/>
          <w:color w:val="000000" w:themeColor="text1"/>
          <w:sz w:val="24"/>
          <w14:textFill>
            <w14:solidFill>
              <w14:schemeClr w14:val="tx1"/>
            </w14:solidFill>
          </w14:textFill>
        </w:rPr>
        <w:t>验收标准以中标人提供的投标文件中所列的指标为准（该指标应不低于招标文件所要求的指标）。任何虚假指标响应一经发现即作废标，卖方必须承担由此给买方带来的一切经济损失和其它相关责任。</w:t>
      </w:r>
    </w:p>
    <w:p w14:paraId="432EFA33">
      <w:pPr>
        <w:spacing w:line="360" w:lineRule="auto"/>
        <w:ind w:left="554" w:hanging="554" w:hangingChars="231"/>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4.3  </w:t>
      </w:r>
      <w:r>
        <w:rPr>
          <w:rFonts w:ascii="宋体" w:hAnsi="宋体"/>
          <w:color w:val="000000" w:themeColor="text1"/>
          <w:sz w:val="24"/>
          <w14:textFill>
            <w14:solidFill>
              <w14:schemeClr w14:val="tx1"/>
            </w14:solidFill>
          </w14:textFill>
        </w:rPr>
        <w:t>验收由采购人、中标人及相关人员依国家有关标准、合同及有关附件要求进行，验收完毕由采购人及中标人在验收报告上签名。</w:t>
      </w:r>
    </w:p>
    <w:p w14:paraId="7C413C95">
      <w:pPr>
        <w:pStyle w:val="20"/>
        <w:spacing w:line="360" w:lineRule="auto"/>
        <w:ind w:left="410" w:hanging="410" w:hangingChars="170"/>
        <w:rPr>
          <w:rFonts w:hAnsi="宋体"/>
          <w:b/>
          <w:color w:val="000000" w:themeColor="text1"/>
          <w:sz w:val="24"/>
          <w:szCs w:val="24"/>
          <w14:textFill>
            <w14:solidFill>
              <w14:schemeClr w14:val="tx1"/>
            </w14:solidFill>
          </w14:textFill>
        </w:rPr>
      </w:pPr>
    </w:p>
    <w:p w14:paraId="6DBE19F6">
      <w:pPr>
        <w:adjustRightInd w:val="0"/>
        <w:snapToGrid w:val="0"/>
        <w:spacing w:line="360" w:lineRule="auto"/>
        <w:rPr>
          <w:rFonts w:hAnsi="宋体"/>
          <w:b/>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5、本采购需求书中标注“★”号技术条款的为实质性要求，不满足其投标将视为无效投标被拒绝。</w:t>
      </w:r>
    </w:p>
    <w:p w14:paraId="30F6D9B2">
      <w:pPr>
        <w:adjustRightInd w:val="0"/>
        <w:snapToGrid w:val="0"/>
        <w:spacing w:line="360" w:lineRule="auto"/>
        <w:rPr>
          <w:rFonts w:ascii="宋体" w:hAnsi="宋体"/>
          <w:b/>
          <w:color w:val="000000" w:themeColor="text1"/>
          <w:sz w:val="24"/>
          <w14:textFill>
            <w14:solidFill>
              <w14:schemeClr w14:val="tx1"/>
            </w14:solidFill>
          </w14:textFill>
        </w:rPr>
      </w:pPr>
    </w:p>
    <w:p w14:paraId="090A47BA">
      <w:pPr>
        <w:adjustRightInd w:val="0"/>
        <w:snapToGrid w:val="0"/>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6、如在具体技术规格中有本总则不一致之处，以具体技术规格中的要求为准。</w:t>
      </w:r>
    </w:p>
    <w:p w14:paraId="6A6E57AD">
      <w:pPr>
        <w:adjustRightInd w:val="0"/>
        <w:snapToGrid w:val="0"/>
        <w:spacing w:line="360" w:lineRule="auto"/>
        <w:rPr>
          <w:rFonts w:ascii="宋体" w:hAnsi="宋体"/>
          <w:b/>
          <w:color w:val="000000" w:themeColor="text1"/>
          <w:sz w:val="28"/>
          <w:szCs w:val="28"/>
          <w14:textFill>
            <w14:solidFill>
              <w14:schemeClr w14:val="tx1"/>
            </w14:solidFill>
          </w14:textFill>
        </w:rPr>
      </w:pPr>
      <w:r>
        <w:rPr>
          <w:rFonts w:ascii="宋体" w:hAnsi="宋体"/>
          <w:b/>
          <w:color w:val="000000" w:themeColor="text1"/>
          <w:sz w:val="28"/>
          <w14:textFill>
            <w14:solidFill>
              <w14:schemeClr w14:val="tx1"/>
            </w14:solidFill>
          </w14:textFill>
        </w:rPr>
        <w:br w:type="page"/>
      </w:r>
      <w:r>
        <w:rPr>
          <w:rFonts w:hint="eastAsia" w:ascii="宋体" w:hAnsi="宋体"/>
          <w:b/>
          <w:color w:val="000000" w:themeColor="text1"/>
          <w:sz w:val="28"/>
          <w:szCs w:val="28"/>
          <w14:textFill>
            <w14:solidFill>
              <w14:schemeClr w14:val="tx1"/>
            </w14:solidFill>
          </w14:textFill>
        </w:rPr>
        <w:t>二、具体技术规格</w:t>
      </w:r>
    </w:p>
    <w:p w14:paraId="26266F07">
      <w:pPr>
        <w:jc w:val="cente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第1包 等温滴定微量热仪</w:t>
      </w:r>
    </w:p>
    <w:p w14:paraId="2B7E1797">
      <w:pPr>
        <w:rPr>
          <w:b/>
          <w:color w:val="000000" w:themeColor="text1"/>
          <w:sz w:val="24"/>
          <w14:textFill>
            <w14:solidFill>
              <w14:schemeClr w14:val="tx1"/>
            </w14:solidFill>
          </w14:textFill>
        </w:rPr>
      </w:pPr>
    </w:p>
    <w:p w14:paraId="1F5BD09A">
      <w:pPr>
        <w:numPr>
          <w:ilvl w:val="0"/>
          <w:numId w:val="1"/>
        </w:numPr>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技术要求：</w:t>
      </w:r>
    </w:p>
    <w:p w14:paraId="205E6822">
      <w:pPr>
        <w:rPr>
          <w:b/>
          <w:color w:val="000000" w:themeColor="text1"/>
          <w:sz w:val="24"/>
          <w14:textFill>
            <w14:solidFill>
              <w14:schemeClr w14:val="tx1"/>
            </w14:solidFill>
          </w14:textFill>
        </w:rPr>
      </w:pPr>
    </w:p>
    <w:p w14:paraId="166C5277">
      <w:pPr>
        <w:spacing w:line="360" w:lineRule="auto"/>
        <w:rPr>
          <w:b/>
          <w:color w:val="000000"/>
          <w:sz w:val="24"/>
        </w:rPr>
      </w:pPr>
      <w:r>
        <w:rPr>
          <w:b/>
          <w:color w:val="000000"/>
          <w:sz w:val="24"/>
        </w:rPr>
        <w:t>1</w:t>
      </w:r>
      <w:r>
        <w:rPr>
          <w:rFonts w:hint="eastAsia"/>
          <w:b/>
          <w:color w:val="000000"/>
          <w:sz w:val="24"/>
        </w:rPr>
        <w:t>.工作条件</w:t>
      </w:r>
    </w:p>
    <w:p w14:paraId="3B47DF5E">
      <w:pPr>
        <w:snapToGrid w:val="0"/>
        <w:spacing w:line="440" w:lineRule="atLeast"/>
        <w:rPr>
          <w:color w:val="000000"/>
          <w:sz w:val="24"/>
        </w:rPr>
      </w:pPr>
      <w:r>
        <w:rPr>
          <w:rFonts w:hint="eastAsia"/>
          <w:color w:val="000000"/>
          <w:sz w:val="24"/>
        </w:rPr>
        <w:t>2.1工作温度和湿度：10 ~28℃；0 ~70% 相对湿度</w:t>
      </w:r>
    </w:p>
    <w:p w14:paraId="37C782A0">
      <w:pPr>
        <w:snapToGrid w:val="0"/>
        <w:spacing w:line="440" w:lineRule="atLeast"/>
        <w:rPr>
          <w:color w:val="000000"/>
          <w:sz w:val="24"/>
        </w:rPr>
      </w:pPr>
      <w:r>
        <w:rPr>
          <w:rFonts w:hint="eastAsia"/>
          <w:color w:val="000000"/>
          <w:sz w:val="24"/>
        </w:rPr>
        <w:t>2.2 电力要求：220V，50Hz</w:t>
      </w:r>
    </w:p>
    <w:p w14:paraId="19C6CC5C">
      <w:pPr>
        <w:snapToGrid w:val="0"/>
        <w:spacing w:line="440" w:lineRule="atLeast"/>
        <w:rPr>
          <w:color w:val="000000"/>
          <w:sz w:val="24"/>
        </w:rPr>
      </w:pPr>
      <w:r>
        <w:rPr>
          <w:rFonts w:hint="eastAsia"/>
          <w:color w:val="000000"/>
          <w:sz w:val="24"/>
        </w:rPr>
        <w:t>2.3 场地要求：可容纳尺寸43 x 38 x 46 cm、13.6 kg重量</w:t>
      </w:r>
    </w:p>
    <w:p w14:paraId="2183EA04">
      <w:pPr>
        <w:snapToGrid w:val="0"/>
        <w:spacing w:line="440" w:lineRule="atLeast"/>
        <w:rPr>
          <w:color w:val="000000"/>
          <w:sz w:val="24"/>
        </w:rPr>
      </w:pPr>
    </w:p>
    <w:p w14:paraId="7A9A9DFD">
      <w:pPr>
        <w:spacing w:line="360" w:lineRule="auto"/>
        <w:rPr>
          <w:b/>
          <w:color w:val="000000"/>
          <w:sz w:val="24"/>
        </w:rPr>
      </w:pPr>
      <w:r>
        <w:rPr>
          <w:b/>
          <w:color w:val="000000"/>
          <w:sz w:val="24"/>
        </w:rPr>
        <w:t>2</w:t>
      </w:r>
      <w:r>
        <w:rPr>
          <w:rFonts w:hint="eastAsia"/>
          <w:b/>
          <w:color w:val="000000"/>
          <w:sz w:val="24"/>
        </w:rPr>
        <w:t>.仪器用途</w:t>
      </w:r>
      <w:r>
        <w:rPr>
          <w:b/>
          <w:color w:val="000000"/>
          <w:sz w:val="24"/>
        </w:rPr>
        <w:t xml:space="preserve">  </w:t>
      </w:r>
    </w:p>
    <w:p w14:paraId="1866882D">
      <w:pPr>
        <w:snapToGrid w:val="0"/>
        <w:spacing w:line="440" w:lineRule="atLeast"/>
        <w:ind w:firstLine="480" w:firstLineChars="200"/>
        <w:rPr>
          <w:color w:val="000000"/>
          <w:sz w:val="24"/>
        </w:rPr>
      </w:pPr>
      <w:r>
        <w:rPr>
          <w:rFonts w:hint="eastAsia"/>
          <w:color w:val="000000"/>
          <w:sz w:val="24"/>
        </w:rPr>
        <w:t>主要用于研究生物分子的结合行为，包括分子间有无结合的信息（Yes/No)（定性信息）、分子间结合的强弱，即亲和力KD（定量信息）、分子间结合的比例，即反应计量比N值、分子结合的热力学信息（焓变ΔH、熵变ΔS、吉布斯自由能ΔG）、酶催化的酶学动力学信息（Km, kcat， Ki等）、分子间作用的机制信息（特异性作用、疏水相互作用）、超分子组装机制、二聚体解离常数。</w:t>
      </w:r>
    </w:p>
    <w:p w14:paraId="627B2DDB">
      <w:pPr>
        <w:snapToGrid w:val="0"/>
        <w:spacing w:line="440" w:lineRule="atLeast"/>
        <w:rPr>
          <w:color w:val="000000"/>
          <w:sz w:val="24"/>
        </w:rPr>
      </w:pPr>
    </w:p>
    <w:p w14:paraId="3082F5A0">
      <w:pPr>
        <w:spacing w:line="360" w:lineRule="auto"/>
        <w:rPr>
          <w:b/>
          <w:color w:val="000000"/>
          <w:sz w:val="24"/>
        </w:rPr>
      </w:pPr>
      <w:r>
        <w:rPr>
          <w:b/>
          <w:color w:val="000000"/>
          <w:sz w:val="24"/>
        </w:rPr>
        <w:t>3</w:t>
      </w:r>
      <w:r>
        <w:rPr>
          <w:rFonts w:hint="eastAsia"/>
          <w:b/>
          <w:color w:val="000000"/>
          <w:sz w:val="24"/>
        </w:rPr>
        <w:t>.技术指标</w:t>
      </w:r>
    </w:p>
    <w:p w14:paraId="48A5DE5F">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.1量热模式：功率补偿方式</w:t>
      </w:r>
    </w:p>
    <w:p w14:paraId="1E50B1F0">
      <w:pPr>
        <w:pStyle w:val="71"/>
        <w:spacing w:line="360" w:lineRule="auto"/>
        <w:ind w:left="1275" w:leftChars="150" w:hanging="960" w:hangingChars="400"/>
        <w:rPr>
          <w:rFonts w:eastAsia="宋体"/>
          <w:sz w:val="24"/>
          <w:szCs w:val="24"/>
        </w:rPr>
      </w:pPr>
      <w:r>
        <w:rPr>
          <w:rFonts w:ascii="Segoe UI Symbol" w:hAnsi="Segoe UI Symbol" w:eastAsia="宋体" w:cs="Segoe UI Symbol"/>
          <w:sz w:val="24"/>
          <w:szCs w:val="24"/>
        </w:rPr>
        <w:t>★</w:t>
      </w:r>
      <w:r>
        <w:rPr>
          <w:rFonts w:hint="eastAsia" w:eastAsia="宋体"/>
          <w:sz w:val="24"/>
          <w:szCs w:val="24"/>
        </w:rPr>
        <w:t>3</w:t>
      </w:r>
      <w:r>
        <w:rPr>
          <w:rFonts w:eastAsia="宋体"/>
          <w:sz w:val="24"/>
          <w:szCs w:val="24"/>
        </w:rPr>
        <w:t>.2 噪音水平：不高于0.2 ncal/s (不高于0.84 nW)；</w:t>
      </w:r>
    </w:p>
    <w:p w14:paraId="18C70C59">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.3  温控范围：2℃-80℃；</w:t>
      </w:r>
    </w:p>
    <w:p w14:paraId="273162BD">
      <w:pPr>
        <w:pStyle w:val="71"/>
        <w:spacing w:line="360" w:lineRule="auto"/>
        <w:ind w:left="1275" w:leftChars="150" w:hanging="960" w:hangingChars="400"/>
        <w:rPr>
          <w:rFonts w:eastAsia="宋体"/>
          <w:sz w:val="24"/>
          <w:szCs w:val="24"/>
        </w:rPr>
      </w:pPr>
      <w:r>
        <w:rPr>
          <w:rFonts w:ascii="Segoe UI Symbol" w:hAnsi="Segoe UI Symbol" w:eastAsia="宋体" w:cs="Segoe UI Symbol"/>
          <w:sz w:val="24"/>
          <w:szCs w:val="24"/>
        </w:rPr>
        <w:t>★</w:t>
      </w:r>
      <w:r>
        <w:rPr>
          <w:rFonts w:hint="eastAsia" w:eastAsia="宋体"/>
          <w:sz w:val="24"/>
          <w:szCs w:val="24"/>
        </w:rPr>
        <w:t>3</w:t>
      </w:r>
      <w:r>
        <w:rPr>
          <w:rFonts w:eastAsia="宋体"/>
          <w:sz w:val="24"/>
          <w:szCs w:val="24"/>
        </w:rPr>
        <w:t>.4 响应时间：不高于10秒；</w:t>
      </w:r>
    </w:p>
    <w:p w14:paraId="2CA5AD2D">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.5 样品池材质：哈斯特洛镍合金 (Hastelloy™)；</w:t>
      </w:r>
    </w:p>
    <w:p w14:paraId="6AF159E2">
      <w:pPr>
        <w:pStyle w:val="71"/>
        <w:spacing w:line="360" w:lineRule="auto"/>
        <w:ind w:left="1275" w:leftChars="150" w:hanging="960" w:hangingChars="400"/>
        <w:rPr>
          <w:rFonts w:eastAsia="宋体"/>
          <w:sz w:val="24"/>
          <w:szCs w:val="24"/>
        </w:rPr>
      </w:pPr>
      <w:r>
        <w:rPr>
          <w:rFonts w:ascii="Segoe UI Symbol" w:hAnsi="Segoe UI Symbol" w:eastAsia="宋体" w:cs="Segoe UI Symbol"/>
          <w:sz w:val="24"/>
          <w:szCs w:val="24"/>
        </w:rPr>
        <w:t>★</w:t>
      </w:r>
      <w:r>
        <w:rPr>
          <w:rFonts w:hint="eastAsia" w:eastAsia="宋体"/>
          <w:sz w:val="24"/>
          <w:szCs w:val="24"/>
        </w:rPr>
        <w:t>3</w:t>
      </w:r>
      <w:r>
        <w:rPr>
          <w:rFonts w:eastAsia="宋体"/>
          <w:sz w:val="24"/>
          <w:szCs w:val="24"/>
        </w:rPr>
        <w:t>.6 最高搅拌速率： 1000 转/分；</w:t>
      </w:r>
    </w:p>
    <w:p w14:paraId="48121854">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.7 样品池设计：硬币状，固定式；保证与样品的最大的接触表面积，只有最</w:t>
      </w:r>
    </w:p>
    <w:p w14:paraId="793C37A3">
      <w:pPr>
        <w:pStyle w:val="71"/>
        <w:spacing w:line="360" w:lineRule="auto"/>
        <w:ind w:left="1275" w:leftChars="150" w:hanging="960" w:hangingChars="400"/>
        <w:rPr>
          <w:rFonts w:eastAsia="宋体"/>
          <w:sz w:val="24"/>
          <w:szCs w:val="24"/>
        </w:rPr>
      </w:pPr>
      <w:r>
        <w:rPr>
          <w:rFonts w:eastAsia="宋体"/>
          <w:sz w:val="24"/>
          <w:szCs w:val="24"/>
        </w:rPr>
        <w:t>大的接触表面积才能从硬件上保证最佳的灵敏度。</w:t>
      </w:r>
    </w:p>
    <w:p w14:paraId="162F625A">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.8 滴定注射器体积：不高于40 μL，带自动滴定及搅拌；</w:t>
      </w:r>
    </w:p>
    <w:p w14:paraId="32DCCD2B">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.9 最小注射体积：0.1 μL；</w:t>
      </w:r>
    </w:p>
    <w:p w14:paraId="5BB7C67B">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.10 样品池体积：200 μL；</w:t>
      </w:r>
    </w:p>
    <w:p w14:paraId="3446510C">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.11 样品实际消耗量≤ 280μL；</w:t>
      </w:r>
    </w:p>
    <w:p w14:paraId="08A01693">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.12 快速温度平衡时间：不高于6min</w:t>
      </w:r>
    </w:p>
    <w:p w14:paraId="008EB762">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.13温度稳定性：± 0.00012℃@25℃</w:t>
      </w:r>
    </w:p>
    <w:p w14:paraId="7E1DE3FE">
      <w:pPr>
        <w:pStyle w:val="71"/>
        <w:spacing w:line="360" w:lineRule="auto"/>
        <w:ind w:left="1275" w:leftChars="150" w:hanging="960" w:hangingChars="400"/>
        <w:rPr>
          <w:rFonts w:eastAsia="宋体"/>
          <w:sz w:val="24"/>
          <w:szCs w:val="24"/>
        </w:rPr>
      </w:pPr>
      <w:r>
        <w:rPr>
          <w:rFonts w:hint="eastAsia" w:ascii="Segoe UI Symbol" w:hAnsi="Segoe UI Symbol" w:eastAsia="宋体" w:cs="Segoe UI Symbol"/>
          <w:sz w:val="24"/>
          <w:szCs w:val="24"/>
        </w:rPr>
        <w:t>★</w:t>
      </w:r>
      <w:r>
        <w:rPr>
          <w:rFonts w:hint="eastAsia" w:eastAsia="宋体"/>
          <w:sz w:val="24"/>
          <w:szCs w:val="24"/>
        </w:rPr>
        <w:t>3</w:t>
      </w:r>
      <w:r>
        <w:rPr>
          <w:rFonts w:eastAsia="宋体"/>
          <w:sz w:val="24"/>
          <w:szCs w:val="24"/>
        </w:rPr>
        <w:t>.14 热信号响应模式： 根据不同的实验和样品要求，用户可通过控制软件选</w:t>
      </w:r>
    </w:p>
    <w:p w14:paraId="5BC08CB8">
      <w:pPr>
        <w:pStyle w:val="71"/>
        <w:spacing w:line="360" w:lineRule="auto"/>
        <w:ind w:left="1275" w:leftChars="150" w:hanging="960" w:hangingChars="400"/>
        <w:rPr>
          <w:rFonts w:eastAsia="宋体"/>
          <w:sz w:val="24"/>
          <w:szCs w:val="24"/>
        </w:rPr>
      </w:pPr>
      <w:r>
        <w:rPr>
          <w:rFonts w:eastAsia="宋体"/>
          <w:sz w:val="24"/>
          <w:szCs w:val="24"/>
        </w:rPr>
        <w:t xml:space="preserve">择三种热信号响应模式： 高反馈、中反馈和低反馈； </w:t>
      </w:r>
    </w:p>
    <w:p w14:paraId="04E3678F">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.15亲和力KA检测范围：102-1012 M-1或者KD检测范围：10-2 -10-12 M;</w:t>
      </w:r>
    </w:p>
    <w:p w14:paraId="23087DF7">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.16 一次实验可直接获得数据：KA，ΔH，ΔS，n，[C]cell, [C]Syringe而无需</w:t>
      </w:r>
    </w:p>
    <w:p w14:paraId="17D53C3B">
      <w:pPr>
        <w:pStyle w:val="71"/>
        <w:spacing w:line="360" w:lineRule="auto"/>
        <w:ind w:left="1275" w:leftChars="150" w:hanging="960" w:hangingChars="400"/>
        <w:rPr>
          <w:rFonts w:eastAsia="宋体"/>
          <w:sz w:val="24"/>
          <w:szCs w:val="24"/>
        </w:rPr>
      </w:pPr>
      <w:r>
        <w:rPr>
          <w:rFonts w:eastAsia="宋体"/>
          <w:sz w:val="24"/>
          <w:szCs w:val="24"/>
        </w:rPr>
        <w:t>额外计算；</w:t>
      </w:r>
    </w:p>
    <w:p w14:paraId="6A74728E">
      <w:pPr>
        <w:pStyle w:val="71"/>
        <w:spacing w:line="360" w:lineRule="auto"/>
        <w:ind w:left="1275" w:leftChars="150" w:hanging="960" w:hangingChars="400"/>
        <w:rPr>
          <w:rFonts w:eastAsia="宋体"/>
          <w:sz w:val="24"/>
          <w:szCs w:val="24"/>
        </w:rPr>
      </w:pPr>
      <w:r>
        <w:rPr>
          <w:rFonts w:ascii="Segoe UI Symbol" w:hAnsi="Segoe UI Symbol" w:eastAsia="宋体" w:cs="Segoe UI Symbol"/>
          <w:sz w:val="24"/>
          <w:szCs w:val="24"/>
        </w:rPr>
        <w:t>★</w:t>
      </w:r>
      <w:r>
        <w:rPr>
          <w:rFonts w:hint="eastAsia" w:eastAsia="宋体"/>
          <w:sz w:val="24"/>
          <w:szCs w:val="24"/>
        </w:rPr>
        <w:t>3</w:t>
      </w:r>
      <w:r>
        <w:rPr>
          <w:rFonts w:eastAsia="宋体"/>
          <w:sz w:val="24"/>
          <w:szCs w:val="24"/>
        </w:rPr>
        <w:t>.17 独立样品池和滴定注射器清洗单元：全自动、不间断完成去垢剂清洗、</w:t>
      </w:r>
    </w:p>
    <w:p w14:paraId="105BAA99">
      <w:pPr>
        <w:pStyle w:val="71"/>
        <w:spacing w:line="360" w:lineRule="auto"/>
        <w:ind w:left="1275" w:leftChars="150" w:hanging="960" w:hangingChars="400"/>
        <w:rPr>
          <w:rFonts w:eastAsia="宋体"/>
          <w:sz w:val="24"/>
          <w:szCs w:val="24"/>
        </w:rPr>
      </w:pPr>
      <w:r>
        <w:rPr>
          <w:rFonts w:eastAsia="宋体"/>
          <w:sz w:val="24"/>
          <w:szCs w:val="24"/>
        </w:rPr>
        <w:t>水清洗、甲醇洗、干燥等步骤；自动完成样品池的缓冲液润洗；</w:t>
      </w:r>
    </w:p>
    <w:p w14:paraId="27AC7079">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.18 Latch扣锁设计，轻松锁定滴定针在清洗平台，确保出色的密封效果和高效</w:t>
      </w:r>
    </w:p>
    <w:p w14:paraId="1D6390F9">
      <w:pPr>
        <w:pStyle w:val="71"/>
        <w:spacing w:line="360" w:lineRule="auto"/>
        <w:ind w:left="1275" w:leftChars="150" w:hanging="960" w:hangingChars="400"/>
        <w:rPr>
          <w:rFonts w:eastAsia="宋体"/>
          <w:sz w:val="24"/>
          <w:szCs w:val="24"/>
        </w:rPr>
      </w:pPr>
      <w:r>
        <w:rPr>
          <w:rFonts w:eastAsia="宋体"/>
          <w:sz w:val="24"/>
          <w:szCs w:val="24"/>
        </w:rPr>
        <w:t>的滴定针清洗与干燥；</w:t>
      </w:r>
    </w:p>
    <w:p w14:paraId="0FBD7115">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.19清洗液可自动进行正向/反向冲洗，确保彻底的样品池和滴定针、无残留；</w:t>
      </w:r>
    </w:p>
    <w:p w14:paraId="71A7F730">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.20具有负压报警和漏液传感器，可及时显示与屏幕，帮助用户第一时间了解</w:t>
      </w:r>
    </w:p>
    <w:p w14:paraId="53C2CDFE">
      <w:pPr>
        <w:pStyle w:val="71"/>
        <w:spacing w:line="360" w:lineRule="auto"/>
        <w:ind w:left="1275" w:leftChars="150" w:hanging="960" w:hangingChars="400"/>
        <w:rPr>
          <w:rFonts w:eastAsia="宋体"/>
          <w:sz w:val="24"/>
          <w:szCs w:val="24"/>
        </w:rPr>
      </w:pPr>
      <w:r>
        <w:rPr>
          <w:rFonts w:eastAsia="宋体"/>
          <w:sz w:val="24"/>
          <w:szCs w:val="24"/>
        </w:rPr>
        <w:t>仪器状态，避免用户在仪器非正常状态下继续实验，节省用户时间；</w:t>
      </w:r>
    </w:p>
    <w:p w14:paraId="7365764B">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.21样品池可进行自动的去垢剂高温浸泡和清洗；高效的去除沉淀的蛋白和粘</w:t>
      </w:r>
    </w:p>
    <w:p w14:paraId="1678001A">
      <w:pPr>
        <w:pStyle w:val="71"/>
        <w:spacing w:line="360" w:lineRule="auto"/>
        <w:ind w:left="1275" w:leftChars="150" w:hanging="960" w:hangingChars="400"/>
        <w:rPr>
          <w:rFonts w:eastAsia="宋体"/>
          <w:sz w:val="24"/>
          <w:szCs w:val="24"/>
        </w:rPr>
      </w:pPr>
      <w:r>
        <w:rPr>
          <w:rFonts w:eastAsia="宋体"/>
          <w:sz w:val="24"/>
          <w:szCs w:val="24"/>
        </w:rPr>
        <w:t>性物质；</w:t>
      </w:r>
    </w:p>
    <w:p w14:paraId="14A8ABCE">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.22滴定针可进行自动的去垢剂清洗；</w:t>
      </w:r>
    </w:p>
    <w:p w14:paraId="25D3C6D1">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.23滴定注射器侧排气设计确保简单、自动的进样和高效的排气泡操作；</w:t>
      </w:r>
    </w:p>
    <w:p w14:paraId="487F169E">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eastAsia="宋体"/>
          <w:sz w:val="24"/>
          <w:szCs w:val="24"/>
        </w:rPr>
        <w:t>4.24全新的Kalrez接口（FPA）通过平端密封于滴定注射器侧面，操作极为简</w:t>
      </w:r>
    </w:p>
    <w:p w14:paraId="4E938B4E">
      <w:pPr>
        <w:pStyle w:val="71"/>
        <w:spacing w:line="360" w:lineRule="auto"/>
        <w:ind w:left="1275" w:leftChars="150" w:hanging="960" w:hangingChars="400"/>
        <w:rPr>
          <w:rFonts w:eastAsia="宋体"/>
          <w:sz w:val="24"/>
          <w:szCs w:val="24"/>
        </w:rPr>
      </w:pPr>
      <w:r>
        <w:rPr>
          <w:rFonts w:eastAsia="宋体"/>
          <w:sz w:val="24"/>
          <w:szCs w:val="24"/>
        </w:rPr>
        <w:t>便。在正常操作情况下，无法损坏滴定注射器，且确保滴定注射器清洗更加高</w:t>
      </w:r>
    </w:p>
    <w:p w14:paraId="0D541C5C">
      <w:pPr>
        <w:pStyle w:val="71"/>
        <w:spacing w:line="360" w:lineRule="auto"/>
        <w:ind w:left="1275" w:leftChars="150" w:hanging="960" w:hangingChars="400"/>
        <w:rPr>
          <w:rFonts w:eastAsia="宋体"/>
          <w:sz w:val="24"/>
          <w:szCs w:val="24"/>
        </w:rPr>
      </w:pPr>
      <w:r>
        <w:rPr>
          <w:rFonts w:eastAsia="宋体"/>
          <w:sz w:val="24"/>
          <w:szCs w:val="24"/>
        </w:rPr>
        <w:t>效；</w:t>
      </w:r>
    </w:p>
    <w:p w14:paraId="6ED0B3E9">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.25控制软件具有直观的操作界面，具有快速模式和高级模式两种实验设计模式；</w:t>
      </w:r>
    </w:p>
    <w:p w14:paraId="5792DE37">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 xml:space="preserve">.26高级模式中可通过拖动参数滑动块，调节参数并将ITC模拟数据（包括Raw </w:t>
      </w:r>
    </w:p>
    <w:p w14:paraId="3863C577">
      <w:pPr>
        <w:pStyle w:val="71"/>
        <w:spacing w:line="360" w:lineRule="auto"/>
        <w:ind w:left="1275" w:leftChars="150" w:hanging="960" w:hangingChars="400"/>
        <w:rPr>
          <w:rFonts w:eastAsia="宋体"/>
          <w:sz w:val="24"/>
          <w:szCs w:val="24"/>
        </w:rPr>
      </w:pPr>
      <w:r>
        <w:rPr>
          <w:rFonts w:eastAsia="宋体"/>
          <w:sz w:val="24"/>
          <w:szCs w:val="24"/>
        </w:rPr>
        <w:t>Data和Normalized Data）实时显示；</w:t>
      </w:r>
    </w:p>
    <w:p w14:paraId="669B25C5">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.27可进行多种结合模型的实验模拟，包括单位点结合曲线、双位点结合曲线、</w:t>
      </w:r>
    </w:p>
    <w:p w14:paraId="6904D19A">
      <w:pPr>
        <w:pStyle w:val="71"/>
        <w:spacing w:line="360" w:lineRule="auto"/>
        <w:ind w:left="1275" w:leftChars="150" w:hanging="960" w:hangingChars="400"/>
        <w:rPr>
          <w:rFonts w:eastAsia="宋体"/>
          <w:sz w:val="24"/>
          <w:szCs w:val="24"/>
        </w:rPr>
      </w:pPr>
      <w:r>
        <w:rPr>
          <w:rFonts w:eastAsia="宋体"/>
          <w:sz w:val="24"/>
          <w:szCs w:val="24"/>
        </w:rPr>
        <w:t>竞争性结合曲线、解聚模型曲线和接序结合曲线；</w:t>
      </w:r>
    </w:p>
    <w:p w14:paraId="78E9F561">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.28 控制软件实时进行仪器维护提醒，督促用户按要求进行仪器维护，确保仪</w:t>
      </w:r>
    </w:p>
    <w:p w14:paraId="427794C8">
      <w:pPr>
        <w:pStyle w:val="71"/>
        <w:spacing w:line="360" w:lineRule="auto"/>
        <w:ind w:left="1275" w:leftChars="150" w:hanging="960" w:hangingChars="400"/>
        <w:rPr>
          <w:rFonts w:eastAsia="宋体"/>
          <w:sz w:val="24"/>
          <w:szCs w:val="24"/>
        </w:rPr>
      </w:pPr>
      <w:r>
        <w:rPr>
          <w:rFonts w:eastAsia="宋体"/>
          <w:sz w:val="24"/>
          <w:szCs w:val="24"/>
        </w:rPr>
        <w:t>器最高的性能；</w:t>
      </w:r>
    </w:p>
    <w:p w14:paraId="009390F4">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.29控制软件内置本地全程维护操作录像，无论对ITC新手和老手均可快速掌</w:t>
      </w:r>
    </w:p>
    <w:p w14:paraId="382CA161">
      <w:pPr>
        <w:pStyle w:val="71"/>
        <w:spacing w:line="360" w:lineRule="auto"/>
        <w:ind w:left="1275" w:leftChars="150" w:hanging="960" w:hangingChars="400"/>
        <w:rPr>
          <w:rFonts w:eastAsia="宋体"/>
          <w:sz w:val="24"/>
          <w:szCs w:val="24"/>
        </w:rPr>
      </w:pPr>
      <w:r>
        <w:rPr>
          <w:rFonts w:eastAsia="宋体"/>
          <w:sz w:val="24"/>
          <w:szCs w:val="24"/>
        </w:rPr>
        <w:t>握更换易损部件的更换，确保仪器始终处于最佳状态；</w:t>
      </w:r>
    </w:p>
    <w:p w14:paraId="2337DDAF">
      <w:pPr>
        <w:pStyle w:val="71"/>
        <w:spacing w:line="360" w:lineRule="auto"/>
        <w:ind w:left="1275" w:leftChars="150" w:hanging="960" w:hangingChars="400"/>
        <w:rPr>
          <w:rFonts w:eastAsia="宋体"/>
          <w:sz w:val="24"/>
          <w:szCs w:val="24"/>
        </w:rPr>
      </w:pPr>
      <w:r>
        <w:rPr>
          <w:rFonts w:hint="eastAsia" w:ascii="宋体" w:hAnsi="宋体"/>
          <w:color w:val="000000" w:themeColor="text1"/>
          <w:sz w:val="24"/>
          <w14:textFill>
            <w14:solidFill>
              <w14:schemeClr w14:val="tx1"/>
            </w14:solidFill>
          </w14:textFill>
        </w:rPr>
        <w:t>#</w:t>
      </w:r>
      <w:r>
        <w:rPr>
          <w:rFonts w:hint="eastAsia" w:eastAsia="宋体"/>
          <w:sz w:val="24"/>
          <w:szCs w:val="24"/>
        </w:rPr>
        <w:t>3</w:t>
      </w:r>
      <w:r>
        <w:rPr>
          <w:rFonts w:eastAsia="宋体"/>
          <w:sz w:val="24"/>
          <w:szCs w:val="24"/>
        </w:rPr>
        <w:t>.30分析软件基于Origin™ 内核算法；</w:t>
      </w:r>
    </w:p>
    <w:p w14:paraId="3140408B">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.31数据分析软件具有导航条式分析流程，直观易懂；</w:t>
      </w:r>
    </w:p>
    <w:p w14:paraId="08F8D04B">
      <w:pPr>
        <w:pStyle w:val="71"/>
        <w:spacing w:line="360" w:lineRule="auto"/>
        <w:ind w:left="1275" w:leftChars="150" w:hanging="960" w:hangingChars="400"/>
        <w:rPr>
          <w:rFonts w:eastAsia="宋体"/>
          <w:sz w:val="24"/>
          <w:szCs w:val="24"/>
        </w:rPr>
      </w:pPr>
      <w:r>
        <w:rPr>
          <w:rFonts w:eastAsia="宋体"/>
          <w:sz w:val="24"/>
          <w:szCs w:val="24"/>
        </w:rPr>
        <w:t>具有数据批处理功能，一次可导入和分析多达数百个原始数据；</w:t>
      </w:r>
    </w:p>
    <w:p w14:paraId="4C5B7EC6">
      <w:pPr>
        <w:pStyle w:val="71"/>
        <w:spacing w:line="360" w:lineRule="auto"/>
        <w:ind w:left="1275" w:leftChars="150" w:hanging="960" w:hangingChars="400"/>
        <w:rPr>
          <w:rFonts w:eastAsia="宋体"/>
          <w:sz w:val="24"/>
          <w:szCs w:val="24"/>
        </w:rPr>
      </w:pPr>
      <w:r>
        <w:rPr>
          <w:rFonts w:eastAsia="宋体"/>
          <w:sz w:val="24"/>
          <w:szCs w:val="24"/>
        </w:rPr>
        <w:t>具备自动选择对照数据、自动对照扣减、非主观性基线选择功能；</w:t>
      </w:r>
    </w:p>
    <w:p w14:paraId="6D1B4E3D">
      <w:pPr>
        <w:pStyle w:val="71"/>
        <w:spacing w:line="360" w:lineRule="auto"/>
        <w:ind w:left="1275" w:leftChars="150" w:hanging="960" w:hangingChars="400"/>
        <w:rPr>
          <w:rFonts w:eastAsia="宋体"/>
          <w:sz w:val="24"/>
          <w:szCs w:val="24"/>
        </w:rPr>
      </w:pPr>
      <w:r>
        <w:rPr>
          <w:rFonts w:eastAsia="宋体"/>
          <w:sz w:val="24"/>
          <w:szCs w:val="24"/>
        </w:rPr>
        <w:t>具有图形化数据质量分析和评价功能，</w:t>
      </w:r>
    </w:p>
    <w:p w14:paraId="4B9571F8">
      <w:pPr>
        <w:pStyle w:val="71"/>
        <w:spacing w:line="360" w:lineRule="auto"/>
        <w:ind w:left="1275" w:leftChars="150" w:hanging="960" w:hangingChars="400"/>
        <w:rPr>
          <w:rFonts w:eastAsia="宋体"/>
          <w:sz w:val="24"/>
          <w:szCs w:val="24"/>
        </w:rPr>
      </w:pPr>
      <w:r>
        <w:rPr>
          <w:rFonts w:hint="eastAsia" w:eastAsia="宋体"/>
          <w:sz w:val="24"/>
          <w:szCs w:val="24"/>
        </w:rPr>
        <w:t>3</w:t>
      </w:r>
      <w:r>
        <w:rPr>
          <w:rFonts w:eastAsia="宋体"/>
          <w:sz w:val="24"/>
          <w:szCs w:val="24"/>
        </w:rPr>
        <w:t>.32具有具有多种基于Origin内核的数据拟合模型，可满足用户多种复杂数据</w:t>
      </w:r>
    </w:p>
    <w:p w14:paraId="3F422204">
      <w:pPr>
        <w:pStyle w:val="71"/>
        <w:spacing w:line="360" w:lineRule="auto"/>
        <w:ind w:left="1275" w:leftChars="150" w:hanging="960" w:hangingChars="400"/>
        <w:rPr>
          <w:rFonts w:eastAsia="宋体"/>
          <w:sz w:val="24"/>
          <w:szCs w:val="24"/>
        </w:rPr>
      </w:pPr>
      <w:r>
        <w:rPr>
          <w:rFonts w:eastAsia="宋体"/>
          <w:sz w:val="24"/>
          <w:szCs w:val="24"/>
        </w:rPr>
        <w:t>的分析，如：</w:t>
      </w:r>
    </w:p>
    <w:p w14:paraId="671FD502">
      <w:pPr>
        <w:pStyle w:val="71"/>
        <w:spacing w:line="360" w:lineRule="auto"/>
        <w:ind w:left="1275" w:leftChars="150" w:hanging="960" w:hangingChars="400"/>
        <w:rPr>
          <w:rFonts w:eastAsia="宋体"/>
          <w:sz w:val="24"/>
          <w:szCs w:val="24"/>
        </w:rPr>
      </w:pPr>
      <w:r>
        <w:rPr>
          <w:rFonts w:eastAsia="宋体"/>
          <w:sz w:val="24"/>
          <w:szCs w:val="24"/>
        </w:rPr>
        <w:t xml:space="preserve">One set of sites (单位点结合)，Two set of sites（多位点结合），Sequential binding </w:t>
      </w:r>
    </w:p>
    <w:p w14:paraId="4B3B9A99">
      <w:pPr>
        <w:pStyle w:val="71"/>
        <w:spacing w:line="360" w:lineRule="auto"/>
        <w:ind w:left="1275" w:leftChars="150" w:hanging="960" w:hangingChars="400"/>
        <w:rPr>
          <w:rFonts w:eastAsia="宋体"/>
          <w:sz w:val="24"/>
          <w:szCs w:val="24"/>
        </w:rPr>
      </w:pPr>
      <w:r>
        <w:rPr>
          <w:rFonts w:eastAsia="宋体"/>
          <w:sz w:val="24"/>
          <w:szCs w:val="24"/>
        </w:rPr>
        <w:t>sites （接序结合），Competitive binding ( 竞争性实验) ，Enzyme kinetics (酶促</w:t>
      </w:r>
    </w:p>
    <w:p w14:paraId="48A6B680">
      <w:pPr>
        <w:pStyle w:val="71"/>
        <w:spacing w:line="360" w:lineRule="auto"/>
        <w:ind w:left="1275" w:leftChars="150" w:hanging="960" w:hangingChars="400"/>
        <w:rPr>
          <w:rFonts w:eastAsia="宋体"/>
          <w:sz w:val="24"/>
          <w:szCs w:val="24"/>
        </w:rPr>
      </w:pPr>
      <w:r>
        <w:rPr>
          <w:rFonts w:eastAsia="宋体"/>
          <w:sz w:val="24"/>
          <w:szCs w:val="24"/>
        </w:rPr>
        <w:t>反应动力学)，Dissociation （二聚体解聚模型），Single Injection Mode（一次性</w:t>
      </w:r>
    </w:p>
    <w:p w14:paraId="3EB41AF3">
      <w:pPr>
        <w:pStyle w:val="71"/>
        <w:spacing w:line="360" w:lineRule="auto"/>
        <w:ind w:left="1275" w:leftChars="150" w:hanging="960" w:hangingChars="400"/>
        <w:rPr>
          <w:rFonts w:eastAsia="宋体"/>
          <w:sz w:val="24"/>
          <w:szCs w:val="24"/>
        </w:rPr>
      </w:pPr>
      <w:r>
        <w:rPr>
          <w:rFonts w:eastAsia="宋体"/>
          <w:sz w:val="24"/>
          <w:szCs w:val="24"/>
        </w:rPr>
        <w:t>滴定）。</w:t>
      </w:r>
    </w:p>
    <w:p w14:paraId="5C002B13">
      <w:pPr>
        <w:pStyle w:val="71"/>
        <w:spacing w:line="360" w:lineRule="auto"/>
        <w:ind w:left="1275" w:leftChars="150" w:hanging="960" w:hangingChars="400"/>
        <w:rPr>
          <w:rFonts w:eastAsia="宋体"/>
          <w:sz w:val="24"/>
          <w:szCs w:val="24"/>
        </w:rPr>
      </w:pPr>
      <w:r>
        <w:rPr>
          <w:rFonts w:hint="eastAsia" w:eastAsia="宋体"/>
          <w:sz w:val="24"/>
          <w:szCs w:val="24"/>
        </w:rPr>
        <w:t>3.33 能够测量并直接分析酶促反应动力学：可测Km，Ki和Kcat（Vmax）</w:t>
      </w:r>
    </w:p>
    <w:p w14:paraId="2B0D4382">
      <w:pPr>
        <w:spacing w:line="360" w:lineRule="auto"/>
        <w:jc w:val="left"/>
        <w:rPr>
          <w:sz w:val="24"/>
        </w:rPr>
      </w:pPr>
    </w:p>
    <w:p w14:paraId="5EAF4F5E">
      <w:pPr>
        <w:tabs>
          <w:tab w:val="left" w:pos="540"/>
        </w:tabs>
        <w:spacing w:line="360" w:lineRule="auto"/>
        <w:rPr>
          <w:b/>
          <w:color w:val="000000"/>
          <w:sz w:val="24"/>
        </w:rPr>
      </w:pPr>
      <w:r>
        <w:rPr>
          <w:b/>
          <w:color w:val="000000"/>
          <w:sz w:val="24"/>
        </w:rPr>
        <w:t>4.</w:t>
      </w:r>
      <w:r>
        <w:rPr>
          <w:rFonts w:hint="eastAsia"/>
          <w:b/>
          <w:color w:val="000000"/>
          <w:sz w:val="24"/>
        </w:rPr>
        <w:t>产品配置要求</w:t>
      </w:r>
    </w:p>
    <w:p w14:paraId="7BCBF0BC">
      <w:pPr>
        <w:spacing w:line="360" w:lineRule="auto"/>
        <w:ind w:left="523" w:hanging="523" w:hangingChars="218"/>
        <w:rPr>
          <w:color w:val="000000"/>
          <w:sz w:val="24"/>
        </w:rPr>
      </w:pPr>
      <w:r>
        <w:rPr>
          <w:rFonts w:hint="eastAsia"/>
          <w:color w:val="000000"/>
          <w:sz w:val="24"/>
        </w:rPr>
        <w:t>4.1 等温滴定微量热仪主机，1台</w:t>
      </w:r>
    </w:p>
    <w:p w14:paraId="59DF64BD">
      <w:pPr>
        <w:spacing w:line="360" w:lineRule="auto"/>
        <w:ind w:left="523" w:hanging="523" w:hangingChars="218"/>
        <w:rPr>
          <w:color w:val="000000"/>
          <w:sz w:val="24"/>
        </w:rPr>
      </w:pPr>
      <w:r>
        <w:rPr>
          <w:rFonts w:hint="eastAsia"/>
          <w:color w:val="000000"/>
          <w:sz w:val="24"/>
        </w:rPr>
        <w:t>4.2 分析及控制软件，1套</w:t>
      </w:r>
    </w:p>
    <w:p w14:paraId="6A289E05">
      <w:pPr>
        <w:spacing w:line="360" w:lineRule="auto"/>
        <w:ind w:left="523" w:hanging="523" w:hangingChars="218"/>
        <w:rPr>
          <w:color w:val="000000"/>
          <w:sz w:val="24"/>
        </w:rPr>
      </w:pPr>
      <w:r>
        <w:rPr>
          <w:rFonts w:hint="eastAsia"/>
          <w:color w:val="000000"/>
          <w:sz w:val="24"/>
        </w:rPr>
        <w:t>4.3 控制电脑，1台</w:t>
      </w:r>
    </w:p>
    <w:p w14:paraId="33430D38">
      <w:pPr>
        <w:spacing w:line="360" w:lineRule="auto"/>
        <w:ind w:left="523" w:hanging="523" w:hangingChars="218"/>
        <w:rPr>
          <w:color w:val="000000"/>
          <w:sz w:val="24"/>
        </w:rPr>
      </w:pPr>
      <w:r>
        <w:rPr>
          <w:rFonts w:hint="eastAsia"/>
          <w:color w:val="000000"/>
          <w:sz w:val="24"/>
        </w:rPr>
        <w:t>4.4</w:t>
      </w:r>
      <w:r>
        <w:rPr>
          <w:rFonts w:hint="eastAsia" w:ascii="宋体" w:hAnsi="宋体" w:cs="宋体"/>
          <w:color w:val="000000"/>
          <w:sz w:val="24"/>
        </w:rPr>
        <w:t xml:space="preserve"> </w:t>
      </w:r>
      <w:r>
        <w:rPr>
          <w:rFonts w:hint="eastAsia"/>
          <w:color w:val="000000"/>
          <w:sz w:val="24"/>
        </w:rPr>
        <w:t>FPA接头，</w:t>
      </w:r>
      <w:r>
        <w:rPr>
          <w:color w:val="000000"/>
          <w:sz w:val="24"/>
        </w:rPr>
        <w:t>3</w:t>
      </w:r>
      <w:r>
        <w:rPr>
          <w:rFonts w:hint="eastAsia"/>
          <w:color w:val="000000"/>
          <w:sz w:val="24"/>
        </w:rPr>
        <w:t>个</w:t>
      </w:r>
    </w:p>
    <w:p w14:paraId="2E5EEA4C">
      <w:pPr>
        <w:spacing w:line="360" w:lineRule="auto"/>
        <w:ind w:left="523" w:hanging="523" w:hangingChars="218"/>
        <w:rPr>
          <w:color w:val="000000"/>
          <w:sz w:val="24"/>
        </w:rPr>
      </w:pPr>
      <w:r>
        <w:rPr>
          <w:rFonts w:hint="eastAsia"/>
          <w:color w:val="000000"/>
          <w:sz w:val="24"/>
        </w:rPr>
        <w:t>4.5 垫圈，</w:t>
      </w:r>
      <w:r>
        <w:rPr>
          <w:color w:val="000000"/>
          <w:sz w:val="24"/>
        </w:rPr>
        <w:t>10</w:t>
      </w:r>
      <w:r>
        <w:rPr>
          <w:rFonts w:hint="eastAsia"/>
          <w:color w:val="000000"/>
          <w:sz w:val="24"/>
        </w:rPr>
        <w:t>套</w:t>
      </w:r>
    </w:p>
    <w:p w14:paraId="0A4F2DFE">
      <w:pPr>
        <w:spacing w:line="360" w:lineRule="auto"/>
        <w:ind w:left="523" w:hanging="523" w:hangingChars="218"/>
        <w:rPr>
          <w:color w:val="000000"/>
          <w:sz w:val="24"/>
        </w:rPr>
      </w:pPr>
      <w:r>
        <w:rPr>
          <w:color w:val="000000"/>
          <w:sz w:val="24"/>
        </w:rPr>
        <w:t>4.6</w:t>
      </w:r>
      <w:r>
        <w:rPr>
          <w:rFonts w:ascii="宋体" w:hAnsi="宋体" w:cs="宋体"/>
          <w:color w:val="000000"/>
          <w:sz w:val="24"/>
        </w:rPr>
        <w:t xml:space="preserve"> </w:t>
      </w:r>
      <w:r>
        <w:rPr>
          <w:color w:val="000000"/>
          <w:sz w:val="24"/>
        </w:rPr>
        <w:t>Tip</w:t>
      </w:r>
      <w:r>
        <w:rPr>
          <w:rFonts w:hint="eastAsia"/>
          <w:color w:val="000000"/>
          <w:sz w:val="24"/>
        </w:rPr>
        <w:t>头，</w:t>
      </w:r>
      <w:r>
        <w:rPr>
          <w:color w:val="000000"/>
          <w:sz w:val="24"/>
        </w:rPr>
        <w:t>2</w:t>
      </w:r>
      <w:r>
        <w:rPr>
          <w:rFonts w:hint="eastAsia"/>
          <w:color w:val="000000"/>
          <w:sz w:val="24"/>
        </w:rPr>
        <w:t>包</w:t>
      </w:r>
    </w:p>
    <w:p w14:paraId="1AA42E96">
      <w:pPr>
        <w:spacing w:line="360" w:lineRule="auto"/>
        <w:ind w:left="523" w:hanging="523" w:hangingChars="218"/>
        <w:rPr>
          <w:color w:val="000000"/>
          <w:sz w:val="24"/>
        </w:rPr>
      </w:pPr>
      <w:r>
        <w:rPr>
          <w:color w:val="000000"/>
          <w:sz w:val="24"/>
        </w:rPr>
        <w:t xml:space="preserve">4.7 </w:t>
      </w:r>
      <w:r>
        <w:rPr>
          <w:rFonts w:hint="eastAsia"/>
          <w:color w:val="000000"/>
          <w:sz w:val="24"/>
        </w:rPr>
        <w:t>滴定针，</w:t>
      </w:r>
      <w:r>
        <w:rPr>
          <w:color w:val="000000"/>
          <w:sz w:val="24"/>
        </w:rPr>
        <w:t>3</w:t>
      </w:r>
      <w:r>
        <w:rPr>
          <w:rFonts w:hint="eastAsia"/>
          <w:color w:val="000000"/>
          <w:sz w:val="24"/>
        </w:rPr>
        <w:t>根</w:t>
      </w:r>
    </w:p>
    <w:p w14:paraId="279BE4A5">
      <w:pPr>
        <w:spacing w:line="360" w:lineRule="auto"/>
        <w:ind w:left="523" w:hanging="523" w:hangingChars="218"/>
        <w:rPr>
          <w:color w:val="000000"/>
          <w:sz w:val="24"/>
        </w:rPr>
      </w:pPr>
      <w:r>
        <w:rPr>
          <w:color w:val="000000"/>
          <w:sz w:val="24"/>
        </w:rPr>
        <w:t xml:space="preserve">4.8 </w:t>
      </w:r>
      <w:r>
        <w:rPr>
          <w:rFonts w:hint="eastAsia"/>
          <w:color w:val="000000"/>
          <w:sz w:val="24"/>
        </w:rPr>
        <w:t>进样针，</w:t>
      </w:r>
      <w:r>
        <w:rPr>
          <w:color w:val="000000"/>
          <w:sz w:val="24"/>
        </w:rPr>
        <w:t>9</w:t>
      </w:r>
      <w:r>
        <w:rPr>
          <w:rFonts w:hint="eastAsia"/>
          <w:color w:val="000000"/>
          <w:sz w:val="24"/>
        </w:rPr>
        <w:t>根</w:t>
      </w:r>
    </w:p>
    <w:p w14:paraId="5C1D150E">
      <w:pPr>
        <w:spacing w:line="360" w:lineRule="auto"/>
        <w:rPr>
          <w:color w:val="000000"/>
          <w:sz w:val="24"/>
        </w:rPr>
      </w:pPr>
      <w:r>
        <w:rPr>
          <w:rFonts w:hint="eastAsia"/>
          <w:color w:val="000000"/>
          <w:sz w:val="24"/>
        </w:rPr>
        <w:t>4.</w:t>
      </w:r>
      <w:r>
        <w:rPr>
          <w:color w:val="000000"/>
          <w:sz w:val="24"/>
        </w:rPr>
        <w:t>9</w:t>
      </w:r>
      <w:r>
        <w:rPr>
          <w:rFonts w:hint="eastAsia"/>
          <w:color w:val="000000"/>
          <w:sz w:val="24"/>
        </w:rPr>
        <w:t xml:space="preserve"> 其它保证仪器设备的正常运行和常规保养所需的附件、专用工具和消耗品。</w:t>
      </w:r>
    </w:p>
    <w:p w14:paraId="2E8D4D4B">
      <w:pPr>
        <w:tabs>
          <w:tab w:val="left" w:pos="540"/>
        </w:tabs>
        <w:spacing w:line="360" w:lineRule="auto"/>
        <w:rPr>
          <w:rFonts w:cs="宋体"/>
          <w:color w:val="000000"/>
          <w:kern w:val="0"/>
          <w:sz w:val="24"/>
        </w:rPr>
      </w:pPr>
    </w:p>
    <w:p w14:paraId="7DDB1507">
      <w:pPr>
        <w:tabs>
          <w:tab w:val="left" w:pos="540"/>
        </w:tabs>
        <w:spacing w:line="360" w:lineRule="auto"/>
        <w:rPr>
          <w:b/>
          <w:color w:val="000000"/>
          <w:sz w:val="24"/>
        </w:rPr>
      </w:pPr>
      <w:r>
        <w:rPr>
          <w:b/>
          <w:color w:val="000000"/>
          <w:sz w:val="24"/>
        </w:rPr>
        <w:t>5.</w:t>
      </w:r>
      <w:r>
        <w:rPr>
          <w:rFonts w:hint="eastAsia"/>
          <w:b/>
          <w:color w:val="000000"/>
          <w:sz w:val="24"/>
        </w:rPr>
        <w:t>选购附件、备件及消耗品</w:t>
      </w:r>
      <w:r>
        <w:rPr>
          <w:b/>
          <w:color w:val="000000"/>
          <w:sz w:val="24"/>
        </w:rPr>
        <w:t xml:space="preserve"> </w:t>
      </w:r>
    </w:p>
    <w:p w14:paraId="58C2A521">
      <w:pPr>
        <w:spacing w:line="360" w:lineRule="auto"/>
        <w:rPr>
          <w:rFonts w:cs="宋体"/>
          <w:color w:val="000000"/>
          <w:kern w:val="0"/>
          <w:sz w:val="24"/>
        </w:rPr>
      </w:pPr>
      <w:r>
        <w:rPr>
          <w:rFonts w:cs="宋体"/>
          <w:color w:val="000000"/>
          <w:kern w:val="0"/>
          <w:sz w:val="24"/>
        </w:rPr>
        <w:t xml:space="preserve">5.1 </w:t>
      </w:r>
      <w:r>
        <w:rPr>
          <w:rFonts w:hint="eastAsia" w:cs="宋体"/>
          <w:color w:val="000000"/>
          <w:kern w:val="0"/>
          <w:sz w:val="24"/>
        </w:rPr>
        <w:t>投标人推荐的其它选件。</w:t>
      </w:r>
    </w:p>
    <w:p w14:paraId="3E45B8EE">
      <w:pPr>
        <w:tabs>
          <w:tab w:val="left" w:pos="540"/>
        </w:tabs>
        <w:spacing w:line="360" w:lineRule="auto"/>
        <w:rPr>
          <w:color w:val="000000"/>
          <w:sz w:val="24"/>
        </w:rPr>
      </w:pPr>
    </w:p>
    <w:p w14:paraId="13D4696A">
      <w:pPr>
        <w:spacing w:line="360" w:lineRule="auto"/>
        <w:rPr>
          <w:b/>
          <w:color w:val="000000"/>
          <w:sz w:val="24"/>
        </w:rPr>
      </w:pPr>
      <w:r>
        <w:rPr>
          <w:b/>
          <w:color w:val="000000"/>
          <w:sz w:val="24"/>
        </w:rPr>
        <w:t>6.</w:t>
      </w:r>
      <w:r>
        <w:rPr>
          <w:rFonts w:hint="eastAsia"/>
          <w:b/>
          <w:color w:val="000000"/>
          <w:sz w:val="24"/>
        </w:rPr>
        <w:t>技术文件</w:t>
      </w:r>
    </w:p>
    <w:p w14:paraId="56DCD103">
      <w:pPr>
        <w:spacing w:line="360" w:lineRule="auto"/>
        <w:rPr>
          <w:rFonts w:cs="宋体"/>
          <w:color w:val="000000"/>
          <w:kern w:val="0"/>
          <w:sz w:val="24"/>
        </w:rPr>
      </w:pPr>
      <w:r>
        <w:rPr>
          <w:rFonts w:cs="宋体"/>
          <w:color w:val="000000"/>
          <w:kern w:val="0"/>
          <w:sz w:val="24"/>
        </w:rPr>
        <w:t>6.</w:t>
      </w:r>
      <w:r>
        <w:rPr>
          <w:rFonts w:hint="eastAsia" w:cs="宋体"/>
          <w:color w:val="000000"/>
          <w:kern w:val="0"/>
          <w:sz w:val="24"/>
        </w:rPr>
        <w:t>1</w:t>
      </w:r>
      <w:r>
        <w:rPr>
          <w:rFonts w:cs="宋体"/>
          <w:color w:val="000000"/>
          <w:kern w:val="0"/>
          <w:sz w:val="24"/>
        </w:rPr>
        <w:t xml:space="preserve"> </w:t>
      </w:r>
      <w:r>
        <w:rPr>
          <w:rFonts w:hint="eastAsia" w:cs="宋体"/>
          <w:color w:val="000000"/>
          <w:kern w:val="0"/>
          <w:sz w:val="24"/>
        </w:rPr>
        <w:t>投标人应提供仪器电子版说明书。</w:t>
      </w:r>
    </w:p>
    <w:p w14:paraId="704B4132">
      <w:pPr>
        <w:spacing w:line="360" w:lineRule="auto"/>
        <w:rPr>
          <w:rFonts w:cs="宋体"/>
          <w:color w:val="000000"/>
          <w:kern w:val="0"/>
          <w:sz w:val="24"/>
        </w:rPr>
      </w:pPr>
      <w:r>
        <w:rPr>
          <w:rFonts w:cs="宋体"/>
          <w:color w:val="000000"/>
          <w:kern w:val="0"/>
          <w:sz w:val="24"/>
        </w:rPr>
        <w:t>6.</w:t>
      </w:r>
      <w:r>
        <w:rPr>
          <w:rFonts w:hint="eastAsia" w:cs="宋体"/>
          <w:color w:val="000000"/>
          <w:kern w:val="0"/>
          <w:sz w:val="24"/>
        </w:rPr>
        <w:t>2</w:t>
      </w:r>
      <w:r>
        <w:rPr>
          <w:rFonts w:cs="宋体"/>
          <w:color w:val="000000"/>
          <w:kern w:val="0"/>
          <w:sz w:val="24"/>
        </w:rPr>
        <w:t xml:space="preserve"> </w:t>
      </w:r>
      <w:r>
        <w:rPr>
          <w:rFonts w:hint="eastAsia" w:cs="宋体"/>
          <w:color w:val="000000"/>
          <w:kern w:val="0"/>
          <w:sz w:val="24"/>
        </w:rPr>
        <w:t>投标人应提供仪器使用软件的备份。</w:t>
      </w:r>
    </w:p>
    <w:p w14:paraId="12110497">
      <w:pPr>
        <w:spacing w:line="360" w:lineRule="auto"/>
        <w:rPr>
          <w:rFonts w:cs="宋体"/>
          <w:color w:val="000000"/>
          <w:kern w:val="0"/>
          <w:sz w:val="24"/>
        </w:rPr>
      </w:pPr>
      <w:r>
        <w:rPr>
          <w:rFonts w:cs="宋体"/>
          <w:color w:val="000000"/>
          <w:kern w:val="0"/>
          <w:sz w:val="24"/>
        </w:rPr>
        <w:t>6.</w:t>
      </w:r>
      <w:r>
        <w:rPr>
          <w:rFonts w:hint="eastAsia" w:cs="宋体"/>
          <w:color w:val="000000"/>
          <w:kern w:val="0"/>
          <w:sz w:val="24"/>
        </w:rPr>
        <w:t>3</w:t>
      </w:r>
      <w:r>
        <w:rPr>
          <w:rFonts w:cs="宋体"/>
          <w:color w:val="000000"/>
          <w:kern w:val="0"/>
          <w:sz w:val="24"/>
        </w:rPr>
        <w:t xml:space="preserve"> </w:t>
      </w:r>
      <w:r>
        <w:rPr>
          <w:rFonts w:hint="eastAsia" w:cs="宋体"/>
          <w:color w:val="000000"/>
          <w:kern w:val="0"/>
          <w:sz w:val="24"/>
        </w:rPr>
        <w:t>提供电子版操作手册。</w:t>
      </w:r>
    </w:p>
    <w:p w14:paraId="31E9DE36">
      <w:pPr>
        <w:spacing w:line="360" w:lineRule="auto"/>
        <w:rPr>
          <w:color w:val="000000"/>
          <w:sz w:val="24"/>
        </w:rPr>
      </w:pPr>
    </w:p>
    <w:p w14:paraId="73FE90C9">
      <w:pPr>
        <w:spacing w:line="360" w:lineRule="auto"/>
        <w:rPr>
          <w:b/>
          <w:color w:val="000000"/>
          <w:sz w:val="24"/>
        </w:rPr>
      </w:pPr>
      <w:r>
        <w:rPr>
          <w:rFonts w:hint="eastAsia"/>
          <w:b/>
          <w:color w:val="000000"/>
          <w:sz w:val="24"/>
        </w:rPr>
        <w:t>（二）质保及售后服务：</w:t>
      </w:r>
    </w:p>
    <w:p w14:paraId="6B6BC165">
      <w:pPr>
        <w:spacing w:line="360" w:lineRule="auto"/>
        <w:ind w:firstLine="480" w:firstLineChars="200"/>
        <w:rPr>
          <w:sz w:val="24"/>
        </w:rPr>
      </w:pPr>
      <w:r>
        <w:rPr>
          <w:rFonts w:hint="eastAsia"/>
          <w:sz w:val="24"/>
        </w:rPr>
        <w:t>1.</w:t>
      </w:r>
      <w:r>
        <w:rPr>
          <w:sz w:val="24"/>
        </w:rPr>
        <w:t xml:space="preserve"> </w:t>
      </w:r>
      <w:r>
        <w:rPr>
          <w:rFonts w:hint="eastAsia"/>
          <w:sz w:val="24"/>
        </w:rPr>
        <w:t>卖方须到买方提供的现场免费安装、调试设备，进行操作试验，直至运行正常并验收。</w:t>
      </w:r>
    </w:p>
    <w:p w14:paraId="1FE73DA6">
      <w:pPr>
        <w:spacing w:line="360" w:lineRule="auto"/>
        <w:ind w:firstLine="480" w:firstLineChars="200"/>
        <w:rPr>
          <w:sz w:val="24"/>
        </w:rPr>
      </w:pPr>
      <w:r>
        <w:rPr>
          <w:rFonts w:hint="eastAsia"/>
          <w:sz w:val="24"/>
        </w:rPr>
        <w:t>1</w:t>
      </w:r>
      <w:r>
        <w:rPr>
          <w:sz w:val="24"/>
        </w:rPr>
        <w:t>.1</w:t>
      </w:r>
      <w:r>
        <w:rPr>
          <w:rFonts w:hint="eastAsia"/>
          <w:sz w:val="24"/>
        </w:rPr>
        <w:t>设备到买方现场后，由买方组织人员开箱验货，卖方应派检查人员到现场参加检验工作。如发现设备有任何损坏、缺陷、短少或不符合本招标文件规定的问题，买卖双方检验人员应作详细记录，并由买卖双方代表签字。</w:t>
      </w:r>
    </w:p>
    <w:p w14:paraId="0534C9D2">
      <w:pPr>
        <w:spacing w:line="360" w:lineRule="auto"/>
        <w:ind w:firstLine="480" w:firstLineChars="200"/>
        <w:rPr>
          <w:sz w:val="24"/>
        </w:rPr>
      </w:pPr>
      <w:r>
        <w:rPr>
          <w:sz w:val="24"/>
        </w:rPr>
        <w:t>1.2对不符合本招标文件规定的部分，卖方应无偿换货或补发短缺，并负担由此产生的所有费用及买方由此产生的利息和其它损失。</w:t>
      </w:r>
    </w:p>
    <w:p w14:paraId="552F3FD3">
      <w:pPr>
        <w:spacing w:line="360" w:lineRule="auto"/>
        <w:ind w:firstLine="480" w:firstLineChars="200"/>
        <w:rPr>
          <w:sz w:val="24"/>
        </w:rPr>
      </w:pPr>
      <w:r>
        <w:rPr>
          <w:sz w:val="24"/>
        </w:rPr>
        <w:t>1.3如买卖双方对货物质量、规格发生意见分歧，买方有权委托相关国家商检部门对货物进行复检，相关机构出具的检测报告即为买方向卖方提出修理、补齐、更换和索赔的有效证据。卖方除承担上述条款所规定的费用外，还须承担货物检测费用。</w:t>
      </w:r>
    </w:p>
    <w:p w14:paraId="10B066E2">
      <w:pPr>
        <w:spacing w:line="360" w:lineRule="auto"/>
        <w:ind w:firstLine="480" w:firstLineChars="200"/>
        <w:rPr>
          <w:sz w:val="24"/>
        </w:rPr>
      </w:pPr>
      <w:r>
        <w:rPr>
          <w:sz w:val="24"/>
        </w:rPr>
        <w:t>1.4 卖方应在合同生效后的1个月内到用户实验室现场进行预安装检测（包括磁场、震动测试等），并向买方提出详细的安装要求并提供技术咨询。</w:t>
      </w:r>
    </w:p>
    <w:p w14:paraId="7B5AD342">
      <w:pPr>
        <w:spacing w:line="360" w:lineRule="auto"/>
        <w:ind w:firstLine="480" w:firstLineChars="200"/>
        <w:rPr>
          <w:sz w:val="24"/>
        </w:rPr>
      </w:pPr>
      <w:r>
        <w:rPr>
          <w:sz w:val="24"/>
        </w:rPr>
        <w:t>1.5仪器到达用户所在地后，在</w:t>
      </w:r>
      <w:r>
        <w:rPr>
          <w:rFonts w:hint="eastAsia"/>
          <w:color w:val="000000"/>
          <w:sz w:val="24"/>
        </w:rPr>
        <w:t>收到用户安装仪器通知后，在两周之内，</w:t>
      </w:r>
      <w:r>
        <w:rPr>
          <w:sz w:val="24"/>
        </w:rPr>
        <w:t>卖方或设备制造厂必须派遣称职的技术人员自带专用工具到买方现场</w:t>
      </w:r>
      <w:r>
        <w:rPr>
          <w:rFonts w:hint="eastAsia"/>
          <w:color w:val="000000"/>
          <w:sz w:val="24"/>
        </w:rPr>
        <w:t>免费</w:t>
      </w:r>
      <w:r>
        <w:rPr>
          <w:sz w:val="24"/>
        </w:rPr>
        <w:t>负责设备安装和调试等工作</w:t>
      </w:r>
      <w:r>
        <w:rPr>
          <w:rFonts w:hint="eastAsia"/>
          <w:sz w:val="24"/>
        </w:rPr>
        <w:t>，</w:t>
      </w:r>
      <w:r>
        <w:rPr>
          <w:rFonts w:hint="eastAsia"/>
          <w:color w:val="000000"/>
          <w:sz w:val="24"/>
        </w:rPr>
        <w:t>时间约为2</w:t>
      </w:r>
      <w:r>
        <w:rPr>
          <w:color w:val="000000"/>
          <w:sz w:val="24"/>
        </w:rPr>
        <w:t>~</w:t>
      </w:r>
      <w:r>
        <w:rPr>
          <w:rFonts w:hint="eastAsia"/>
          <w:color w:val="000000"/>
          <w:sz w:val="24"/>
        </w:rPr>
        <w:t>3天。仪器安装后，仪器公司安装工程师为用户提供现场培训。仪器使用6-8周后，如用户未能完全掌握仪器使用，仪器公司应再派应用工程师提供现场解决疑难问题</w:t>
      </w:r>
      <w:r>
        <w:rPr>
          <w:sz w:val="24"/>
        </w:rPr>
        <w:t>，直至通过验收</w:t>
      </w:r>
      <w:r>
        <w:rPr>
          <w:rFonts w:hint="eastAsia"/>
          <w:color w:val="000000"/>
          <w:sz w:val="24"/>
        </w:rPr>
        <w:t>，所有费用由仪器公司承担。</w:t>
      </w:r>
    </w:p>
    <w:p w14:paraId="2C6396B6">
      <w:pPr>
        <w:spacing w:line="360" w:lineRule="auto"/>
        <w:rPr>
          <w:color w:val="000000"/>
          <w:sz w:val="24"/>
        </w:rPr>
      </w:pPr>
    </w:p>
    <w:p w14:paraId="065A7A6F">
      <w:pPr>
        <w:spacing w:line="360" w:lineRule="auto"/>
        <w:rPr>
          <w:color w:val="000000"/>
          <w:sz w:val="24"/>
        </w:rPr>
      </w:pPr>
      <w:r>
        <w:rPr>
          <w:color w:val="000000"/>
          <w:sz w:val="24"/>
        </w:rPr>
        <w:t>2</w:t>
      </w:r>
      <w:r>
        <w:rPr>
          <w:rFonts w:hint="eastAsia"/>
          <w:color w:val="000000"/>
          <w:sz w:val="24"/>
        </w:rPr>
        <w:t>．技术培训：</w:t>
      </w:r>
      <w:r>
        <w:rPr>
          <w:color w:val="000000"/>
          <w:sz w:val="24"/>
        </w:rPr>
        <w:t xml:space="preserve"> </w:t>
      </w:r>
    </w:p>
    <w:p w14:paraId="29DCEEA3">
      <w:pPr>
        <w:spacing w:line="360" w:lineRule="auto"/>
        <w:ind w:firstLine="480" w:firstLineChars="200"/>
        <w:rPr>
          <w:sz w:val="24"/>
        </w:rPr>
      </w:pPr>
      <w:r>
        <w:rPr>
          <w:sz w:val="24"/>
        </w:rPr>
        <w:t>2.1卖方设备安装调试完成后，卖方应免费对用户技术人员进行调试、操作、日常维护、故障排除等方面的现场培训，直至用户学会为止。培训时提供完整的中文培训资料，包括使用说明书、工作原理图、数据处理、操作流程、注意事项等。</w:t>
      </w:r>
    </w:p>
    <w:p w14:paraId="004C09DA">
      <w:pPr>
        <w:spacing w:line="360" w:lineRule="auto"/>
        <w:ind w:firstLine="480" w:firstLineChars="200"/>
        <w:rPr>
          <w:color w:val="000000"/>
          <w:sz w:val="24"/>
        </w:rPr>
      </w:pPr>
      <w:r>
        <w:rPr>
          <w:rFonts w:hint="eastAsia"/>
          <w:color w:val="000000"/>
          <w:sz w:val="24"/>
        </w:rPr>
        <w:t>2</w:t>
      </w:r>
      <w:r>
        <w:rPr>
          <w:color w:val="000000"/>
          <w:sz w:val="24"/>
        </w:rPr>
        <w:t xml:space="preserve">.2 </w:t>
      </w:r>
      <w:r>
        <w:rPr>
          <w:rFonts w:hint="eastAsia"/>
          <w:color w:val="000000"/>
          <w:sz w:val="24"/>
        </w:rPr>
        <w:t>仪器使用6-8周后，如用户未能完全掌握仪器使用，仪器公司应再派应用工程师提供现场解决疑难问题</w:t>
      </w:r>
      <w:r>
        <w:rPr>
          <w:sz w:val="24"/>
        </w:rPr>
        <w:t>，直至通过验收</w:t>
      </w:r>
      <w:r>
        <w:rPr>
          <w:rFonts w:hint="eastAsia"/>
          <w:color w:val="000000"/>
          <w:sz w:val="24"/>
        </w:rPr>
        <w:t>，所有费用由公司承担。</w:t>
      </w:r>
    </w:p>
    <w:p w14:paraId="344A5B52">
      <w:pPr>
        <w:spacing w:line="360" w:lineRule="auto"/>
        <w:ind w:firstLine="480" w:firstLineChars="200"/>
        <w:rPr>
          <w:sz w:val="24"/>
        </w:rPr>
      </w:pPr>
      <w:r>
        <w:rPr>
          <w:rFonts w:hint="eastAsia"/>
          <w:color w:val="000000"/>
          <w:sz w:val="24"/>
        </w:rPr>
        <w:t>2</w:t>
      </w:r>
      <w:r>
        <w:rPr>
          <w:color w:val="000000"/>
          <w:sz w:val="24"/>
        </w:rPr>
        <w:t>.3</w:t>
      </w:r>
      <w:r>
        <w:rPr>
          <w:rFonts w:hint="eastAsia"/>
          <w:color w:val="000000"/>
          <w:sz w:val="24"/>
        </w:rPr>
        <w:t xml:space="preserve"> 提供网络培训视频，可以随时观看。</w:t>
      </w:r>
    </w:p>
    <w:p w14:paraId="0B223098">
      <w:pPr>
        <w:spacing w:line="360" w:lineRule="auto"/>
        <w:rPr>
          <w:color w:val="000000"/>
          <w:sz w:val="24"/>
        </w:rPr>
      </w:pPr>
    </w:p>
    <w:p w14:paraId="1456E278">
      <w:pPr>
        <w:spacing w:line="360" w:lineRule="auto"/>
        <w:ind w:firstLine="480" w:firstLineChars="200"/>
        <w:rPr>
          <w:sz w:val="24"/>
        </w:rPr>
      </w:pPr>
      <w:r>
        <w:rPr>
          <w:sz w:val="24"/>
        </w:rPr>
        <w:t>3. 质量及验收标准：技术指标符合招标要求</w:t>
      </w:r>
    </w:p>
    <w:p w14:paraId="643ACFD0">
      <w:pPr>
        <w:spacing w:line="360" w:lineRule="auto"/>
        <w:ind w:firstLine="480" w:firstLineChars="200"/>
        <w:rPr>
          <w:sz w:val="24"/>
        </w:rPr>
      </w:pPr>
      <w:r>
        <w:rPr>
          <w:sz w:val="24"/>
        </w:rPr>
        <w:t>4. 服务要求</w:t>
      </w:r>
    </w:p>
    <w:p w14:paraId="3F433D92">
      <w:pPr>
        <w:spacing w:line="360" w:lineRule="auto"/>
        <w:ind w:firstLine="480" w:firstLineChars="200"/>
        <w:rPr>
          <w:sz w:val="24"/>
        </w:rPr>
      </w:pPr>
      <w:r>
        <w:rPr>
          <w:sz w:val="24"/>
        </w:rPr>
        <w:t>4.1卖方提供自测试验收合格起3年或3年以上的保修服务。保修范围为整机、附属设备及备品备件。仪器保修期内任何由于产品质量问题导致的费用由卖方承担,包括：维修工程师的劳务和各种部件的维修及更换。保修期内出现故障导致仪器停用的时间，从保修期中扣除。保修期满前1个月内卖方应负责一次免费全面检查，并写出正式报告，如发现潜在问题，应负责排除。</w:t>
      </w:r>
    </w:p>
    <w:p w14:paraId="119DF02B">
      <w:pPr>
        <w:spacing w:line="360" w:lineRule="auto"/>
        <w:ind w:firstLine="480" w:firstLineChars="200"/>
        <w:rPr>
          <w:sz w:val="24"/>
        </w:rPr>
      </w:pPr>
      <w:r>
        <w:rPr>
          <w:sz w:val="24"/>
        </w:rPr>
        <w:t>4.2质保期外，针对用户的报修申请，卖方或仪器制造厂应在4时内做出响应，8小时内给出解决方案或48小时内到达用户现场排除故障。买方有权在仪器恢复正常后再支付相关费用，且卖方或仪器制造厂应保证对买方所购仪器提供终生优惠的备件供应和及时的维修服务和技术支持。</w:t>
      </w:r>
    </w:p>
    <w:p w14:paraId="73136B33">
      <w:pPr>
        <w:spacing w:line="360" w:lineRule="auto"/>
        <w:ind w:firstLine="480" w:firstLineChars="200"/>
        <w:rPr>
          <w:sz w:val="24"/>
        </w:rPr>
      </w:pPr>
      <w:r>
        <w:rPr>
          <w:sz w:val="24"/>
        </w:rPr>
        <w:t>4.3如果卖方接到故障信息后在合同规定的时间内没有以合理的速度弥补缺陷，买方可采取必要的补救措施，但其风险和费用将由卖方承担，买方根据合同规定对卖方行使的其他权力不受影响。</w:t>
      </w:r>
    </w:p>
    <w:p w14:paraId="4B046B9A">
      <w:pPr>
        <w:spacing w:line="360" w:lineRule="auto"/>
        <w:ind w:firstLine="480" w:firstLineChars="200"/>
        <w:rPr>
          <w:rFonts w:ascii="宋体" w:hAnsi="宋体" w:cs="宋体"/>
          <w:sz w:val="24"/>
        </w:rPr>
      </w:pPr>
      <w:r>
        <w:rPr>
          <w:sz w:val="24"/>
        </w:rPr>
        <w:t>4.4卖方或仪器制造厂</w:t>
      </w:r>
      <w:r>
        <w:rPr>
          <w:rFonts w:hint="eastAsia" w:ascii="宋体" w:hAnsi="宋体" w:cs="宋体"/>
          <w:sz w:val="24"/>
        </w:rPr>
        <w:t>应提供免费的终身应用咨询、技术帮助。</w:t>
      </w:r>
    </w:p>
    <w:p w14:paraId="06689929">
      <w:pPr>
        <w:spacing w:line="360" w:lineRule="auto"/>
        <w:rPr>
          <w:color w:val="000000"/>
          <w:sz w:val="24"/>
        </w:rPr>
      </w:pPr>
    </w:p>
    <w:p w14:paraId="75C86E6B">
      <w:pPr>
        <w:spacing w:line="360" w:lineRule="auto"/>
        <w:rPr>
          <w:b/>
          <w:color w:val="000000"/>
          <w:sz w:val="24"/>
        </w:rPr>
      </w:pPr>
      <w:r>
        <w:rPr>
          <w:rFonts w:hint="eastAsia"/>
          <w:b/>
          <w:color w:val="000000"/>
          <w:sz w:val="24"/>
        </w:rPr>
        <w:t>（三） 订货数量：</w:t>
      </w:r>
    </w:p>
    <w:p w14:paraId="2540E560">
      <w:pPr>
        <w:spacing w:line="360" w:lineRule="auto"/>
        <w:ind w:firstLine="480" w:firstLineChars="200"/>
        <w:rPr>
          <w:color w:val="000000"/>
          <w:sz w:val="24"/>
        </w:rPr>
      </w:pPr>
      <w:r>
        <w:rPr>
          <w:rFonts w:hint="eastAsia"/>
          <w:color w:val="000000"/>
          <w:sz w:val="24"/>
        </w:rPr>
        <w:t>等温滴定微量热仪，1套。</w:t>
      </w:r>
    </w:p>
    <w:p w14:paraId="45AC59EF">
      <w:pPr>
        <w:spacing w:line="360" w:lineRule="auto"/>
        <w:rPr>
          <w:color w:val="000000"/>
          <w:sz w:val="24"/>
        </w:rPr>
      </w:pPr>
    </w:p>
    <w:p w14:paraId="0002F94C">
      <w:pPr>
        <w:spacing w:line="360" w:lineRule="auto"/>
        <w:rPr>
          <w:b/>
          <w:color w:val="000000"/>
          <w:sz w:val="24"/>
        </w:rPr>
      </w:pPr>
      <w:r>
        <w:rPr>
          <w:rFonts w:hint="eastAsia"/>
          <w:b/>
          <w:color w:val="000000"/>
          <w:sz w:val="24"/>
        </w:rPr>
        <w:t>（四）交货日期：</w:t>
      </w:r>
    </w:p>
    <w:p w14:paraId="0D22996D">
      <w:pPr>
        <w:spacing w:line="360" w:lineRule="auto"/>
        <w:ind w:firstLine="480" w:firstLineChars="200"/>
        <w:rPr>
          <w:color w:val="000000"/>
          <w:sz w:val="24"/>
        </w:rPr>
      </w:pPr>
      <w:r>
        <w:rPr>
          <w:rFonts w:hint="eastAsia"/>
          <w:color w:val="000000"/>
          <w:sz w:val="24"/>
        </w:rPr>
        <w:t>合同生效后</w:t>
      </w:r>
      <w:r>
        <w:rPr>
          <w:color w:val="000000"/>
          <w:sz w:val="24"/>
        </w:rPr>
        <w:t>3</w:t>
      </w:r>
      <w:r>
        <w:rPr>
          <w:rFonts w:hint="eastAsia"/>
          <w:color w:val="000000"/>
          <w:sz w:val="24"/>
        </w:rPr>
        <w:t>个月内。</w:t>
      </w:r>
    </w:p>
    <w:p w14:paraId="0364A2A6">
      <w:pPr>
        <w:spacing w:line="360" w:lineRule="auto"/>
        <w:rPr>
          <w:color w:val="000000"/>
          <w:sz w:val="24"/>
        </w:rPr>
      </w:pPr>
    </w:p>
    <w:p w14:paraId="46C07685">
      <w:pPr>
        <w:spacing w:line="360" w:lineRule="auto"/>
        <w:rPr>
          <w:b/>
          <w:color w:val="000000"/>
          <w:sz w:val="24"/>
        </w:rPr>
      </w:pPr>
      <w:r>
        <w:rPr>
          <w:rFonts w:hint="eastAsia"/>
          <w:b/>
          <w:color w:val="000000"/>
          <w:sz w:val="24"/>
        </w:rPr>
        <w:t>（五）交货地点（项目现场）：</w:t>
      </w:r>
    </w:p>
    <w:p w14:paraId="608FA03E">
      <w:pPr>
        <w:spacing w:line="360" w:lineRule="auto"/>
        <w:ind w:firstLine="480" w:firstLineChars="200"/>
        <w:rPr>
          <w:color w:val="000000"/>
          <w:sz w:val="24"/>
        </w:rPr>
      </w:pPr>
      <w:r>
        <w:rPr>
          <w:rFonts w:hint="eastAsia"/>
          <w:color w:val="000000"/>
          <w:sz w:val="24"/>
        </w:rPr>
        <w:t>中国科学院福建物质结构研究所指定实验室</w:t>
      </w:r>
    </w:p>
    <w:p w14:paraId="01036470">
      <w:pPr>
        <w:spacing w:line="360" w:lineRule="auto"/>
        <w:rPr>
          <w:color w:val="000000"/>
          <w:sz w:val="24"/>
        </w:rPr>
      </w:pPr>
    </w:p>
    <w:p w14:paraId="7A30BE1A">
      <w:pPr>
        <w:spacing w:line="360" w:lineRule="auto"/>
        <w:rPr>
          <w:color w:val="000000"/>
          <w:sz w:val="24"/>
        </w:rPr>
      </w:pPr>
      <w:r>
        <w:rPr>
          <w:rFonts w:hint="eastAsia"/>
          <w:b/>
          <w:color w:val="000000"/>
          <w:sz w:val="24"/>
        </w:rPr>
        <w:t>（六）付款方式：</w:t>
      </w:r>
    </w:p>
    <w:p w14:paraId="72B765A3">
      <w:pPr>
        <w:spacing w:line="360" w:lineRule="auto"/>
        <w:ind w:firstLine="480" w:firstLineChars="200"/>
        <w:rPr>
          <w:sz w:val="24"/>
        </w:rPr>
      </w:pPr>
      <w:r>
        <w:rPr>
          <w:rFonts w:hint="eastAsia"/>
          <w:sz w:val="24"/>
        </w:rPr>
        <w:t>对于国产产品，100%凭用户代表签字并加盖单位公章后的验收报告支付；</w:t>
      </w:r>
    </w:p>
    <w:p w14:paraId="0879CDE8">
      <w:pPr>
        <w:spacing w:line="360" w:lineRule="auto"/>
        <w:ind w:firstLine="480" w:firstLineChars="200"/>
        <w:rPr>
          <w:sz w:val="24"/>
        </w:rPr>
      </w:pPr>
      <w:r>
        <w:rPr>
          <w:rFonts w:hint="eastAsia"/>
          <w:sz w:val="24"/>
        </w:rPr>
        <w:t>对于进口产品，采用即期不可撤消信用证等国际贸易支付条件支付：90%凭合同要求单据支付；10%凭用户代表签字并加盖单位公章后的验收报告支付。</w:t>
      </w:r>
    </w:p>
    <w:sectPr>
      <w:headerReference r:id="rId3" w:type="first"/>
      <w:footerReference r:id="rId5" w:type="first"/>
      <w:footerReference r:id="rId4" w:type="default"/>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A63F32">
    <w:pPr>
      <w:pStyle w:val="25"/>
      <w:jc w:val="center"/>
    </w:pPr>
    <w:r>
      <w:fldChar w:fldCharType="begin"/>
    </w:r>
    <w:r>
      <w:instrText xml:space="preserve">PAGE   \* MERGEFORMAT</w:instrText>
    </w:r>
    <w:r>
      <w:fldChar w:fldCharType="separate"/>
    </w:r>
    <w:r>
      <w:rPr>
        <w:lang w:val="zh-CN"/>
      </w:rPr>
      <w:t>76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BA43E">
    <w:pPr>
      <w:pStyle w:val="25"/>
      <w:jc w:val="center"/>
    </w:pPr>
    <w:r>
      <w:fldChar w:fldCharType="begin"/>
    </w:r>
    <w:r>
      <w:instrText xml:space="preserve">PAGE   \* MERGEFORMAT</w:instrText>
    </w:r>
    <w:r>
      <w:fldChar w:fldCharType="separate"/>
    </w:r>
    <w:r>
      <w:rPr>
        <w:lang w:val="zh-CN"/>
      </w:rPr>
      <w:t>57</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1EDE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0C22"/>
    <w:rsid w:val="000050A2"/>
    <w:rsid w:val="00027C8D"/>
    <w:rsid w:val="00040005"/>
    <w:rsid w:val="000414C3"/>
    <w:rsid w:val="000512E1"/>
    <w:rsid w:val="000543E7"/>
    <w:rsid w:val="0006010D"/>
    <w:rsid w:val="00060F7A"/>
    <w:rsid w:val="00061B59"/>
    <w:rsid w:val="000668DC"/>
    <w:rsid w:val="00081ADD"/>
    <w:rsid w:val="000969BB"/>
    <w:rsid w:val="000973D2"/>
    <w:rsid w:val="000A0E03"/>
    <w:rsid w:val="000B12EC"/>
    <w:rsid w:val="000B636A"/>
    <w:rsid w:val="000C1F98"/>
    <w:rsid w:val="000C325D"/>
    <w:rsid w:val="000C505C"/>
    <w:rsid w:val="000D1A3C"/>
    <w:rsid w:val="000D24C4"/>
    <w:rsid w:val="000E0B0C"/>
    <w:rsid w:val="000E17D4"/>
    <w:rsid w:val="000E2D17"/>
    <w:rsid w:val="000E4DA9"/>
    <w:rsid w:val="000F0512"/>
    <w:rsid w:val="000F4571"/>
    <w:rsid w:val="00101384"/>
    <w:rsid w:val="00103352"/>
    <w:rsid w:val="00105333"/>
    <w:rsid w:val="00107833"/>
    <w:rsid w:val="00107AF4"/>
    <w:rsid w:val="001140D0"/>
    <w:rsid w:val="001235CA"/>
    <w:rsid w:val="00137D93"/>
    <w:rsid w:val="00141F30"/>
    <w:rsid w:val="001437EA"/>
    <w:rsid w:val="001444BD"/>
    <w:rsid w:val="00144505"/>
    <w:rsid w:val="00144DDA"/>
    <w:rsid w:val="0014761F"/>
    <w:rsid w:val="00152B99"/>
    <w:rsid w:val="00153F11"/>
    <w:rsid w:val="00154F47"/>
    <w:rsid w:val="00155A34"/>
    <w:rsid w:val="00164E27"/>
    <w:rsid w:val="001921CA"/>
    <w:rsid w:val="00194900"/>
    <w:rsid w:val="001A0E56"/>
    <w:rsid w:val="001A6E63"/>
    <w:rsid w:val="001B195C"/>
    <w:rsid w:val="001B2894"/>
    <w:rsid w:val="001B30E7"/>
    <w:rsid w:val="001B62CC"/>
    <w:rsid w:val="001B66E1"/>
    <w:rsid w:val="001B6E57"/>
    <w:rsid w:val="001D7301"/>
    <w:rsid w:val="001E1467"/>
    <w:rsid w:val="001E152C"/>
    <w:rsid w:val="001E3480"/>
    <w:rsid w:val="001F18B7"/>
    <w:rsid w:val="001F1D2B"/>
    <w:rsid w:val="001F5FAD"/>
    <w:rsid w:val="001F79B6"/>
    <w:rsid w:val="00201D06"/>
    <w:rsid w:val="002024C7"/>
    <w:rsid w:val="00206639"/>
    <w:rsid w:val="0021259E"/>
    <w:rsid w:val="00213C28"/>
    <w:rsid w:val="00224FE7"/>
    <w:rsid w:val="0023253F"/>
    <w:rsid w:val="00233C8A"/>
    <w:rsid w:val="00240E7B"/>
    <w:rsid w:val="00247ED0"/>
    <w:rsid w:val="00251DB7"/>
    <w:rsid w:val="002650D8"/>
    <w:rsid w:val="002672D1"/>
    <w:rsid w:val="00275598"/>
    <w:rsid w:val="002761A3"/>
    <w:rsid w:val="0027752B"/>
    <w:rsid w:val="0028124D"/>
    <w:rsid w:val="00282A80"/>
    <w:rsid w:val="00282F14"/>
    <w:rsid w:val="00292E0B"/>
    <w:rsid w:val="002B44BD"/>
    <w:rsid w:val="002B4D86"/>
    <w:rsid w:val="002B6E7A"/>
    <w:rsid w:val="002B7380"/>
    <w:rsid w:val="002C47B5"/>
    <w:rsid w:val="002D5C47"/>
    <w:rsid w:val="002E03AA"/>
    <w:rsid w:val="002E6A76"/>
    <w:rsid w:val="002F1704"/>
    <w:rsid w:val="002F6DE0"/>
    <w:rsid w:val="002F6FCA"/>
    <w:rsid w:val="002F74DD"/>
    <w:rsid w:val="002F7EF8"/>
    <w:rsid w:val="00301191"/>
    <w:rsid w:val="00322611"/>
    <w:rsid w:val="003248D5"/>
    <w:rsid w:val="00326D72"/>
    <w:rsid w:val="0033189B"/>
    <w:rsid w:val="003442AE"/>
    <w:rsid w:val="0034443A"/>
    <w:rsid w:val="003474B8"/>
    <w:rsid w:val="00353E66"/>
    <w:rsid w:val="00357C16"/>
    <w:rsid w:val="003637C6"/>
    <w:rsid w:val="003732CC"/>
    <w:rsid w:val="00373B63"/>
    <w:rsid w:val="00374F9A"/>
    <w:rsid w:val="00382C0C"/>
    <w:rsid w:val="00384443"/>
    <w:rsid w:val="00391A69"/>
    <w:rsid w:val="00397F24"/>
    <w:rsid w:val="003A298A"/>
    <w:rsid w:val="003B4F45"/>
    <w:rsid w:val="003B6193"/>
    <w:rsid w:val="003C172D"/>
    <w:rsid w:val="003C5755"/>
    <w:rsid w:val="003C7092"/>
    <w:rsid w:val="003C785A"/>
    <w:rsid w:val="003D2B81"/>
    <w:rsid w:val="003F5F7A"/>
    <w:rsid w:val="004043A2"/>
    <w:rsid w:val="00404EA5"/>
    <w:rsid w:val="00415144"/>
    <w:rsid w:val="00420D92"/>
    <w:rsid w:val="0042297A"/>
    <w:rsid w:val="00425563"/>
    <w:rsid w:val="004362C7"/>
    <w:rsid w:val="0044106E"/>
    <w:rsid w:val="00446E68"/>
    <w:rsid w:val="00447503"/>
    <w:rsid w:val="00450A06"/>
    <w:rsid w:val="00457522"/>
    <w:rsid w:val="0046038A"/>
    <w:rsid w:val="0046686A"/>
    <w:rsid w:val="00471176"/>
    <w:rsid w:val="00482759"/>
    <w:rsid w:val="00484FF8"/>
    <w:rsid w:val="00497B92"/>
    <w:rsid w:val="004A0EB1"/>
    <w:rsid w:val="004A1B6D"/>
    <w:rsid w:val="004A3B49"/>
    <w:rsid w:val="004A5C14"/>
    <w:rsid w:val="004B3476"/>
    <w:rsid w:val="004B36B8"/>
    <w:rsid w:val="004C387C"/>
    <w:rsid w:val="004D00FB"/>
    <w:rsid w:val="004D0AB9"/>
    <w:rsid w:val="004D323C"/>
    <w:rsid w:val="004E042A"/>
    <w:rsid w:val="004E4504"/>
    <w:rsid w:val="004F0FDE"/>
    <w:rsid w:val="004F3E07"/>
    <w:rsid w:val="00502EBA"/>
    <w:rsid w:val="00504FD3"/>
    <w:rsid w:val="00510823"/>
    <w:rsid w:val="00512882"/>
    <w:rsid w:val="005143FF"/>
    <w:rsid w:val="00514B39"/>
    <w:rsid w:val="00516FEB"/>
    <w:rsid w:val="005244F5"/>
    <w:rsid w:val="00524665"/>
    <w:rsid w:val="00543C0A"/>
    <w:rsid w:val="0054699B"/>
    <w:rsid w:val="00550FAD"/>
    <w:rsid w:val="005515EB"/>
    <w:rsid w:val="0055226E"/>
    <w:rsid w:val="00552E7C"/>
    <w:rsid w:val="005601D0"/>
    <w:rsid w:val="005613B2"/>
    <w:rsid w:val="005626C2"/>
    <w:rsid w:val="0056304A"/>
    <w:rsid w:val="00566BB9"/>
    <w:rsid w:val="00567C6F"/>
    <w:rsid w:val="0057066D"/>
    <w:rsid w:val="00572671"/>
    <w:rsid w:val="0057419D"/>
    <w:rsid w:val="005865A8"/>
    <w:rsid w:val="00591688"/>
    <w:rsid w:val="005916DF"/>
    <w:rsid w:val="00595627"/>
    <w:rsid w:val="00595D3F"/>
    <w:rsid w:val="00595EAC"/>
    <w:rsid w:val="005A2F5B"/>
    <w:rsid w:val="005A52D6"/>
    <w:rsid w:val="005A75F6"/>
    <w:rsid w:val="005C3D11"/>
    <w:rsid w:val="005C574A"/>
    <w:rsid w:val="005D09A0"/>
    <w:rsid w:val="005D479D"/>
    <w:rsid w:val="005E416B"/>
    <w:rsid w:val="005E7A21"/>
    <w:rsid w:val="005F24B2"/>
    <w:rsid w:val="0060103A"/>
    <w:rsid w:val="00602911"/>
    <w:rsid w:val="00602A7A"/>
    <w:rsid w:val="0060509A"/>
    <w:rsid w:val="006125F5"/>
    <w:rsid w:val="00612A9B"/>
    <w:rsid w:val="006137A8"/>
    <w:rsid w:val="00614D00"/>
    <w:rsid w:val="006225E2"/>
    <w:rsid w:val="00624EE8"/>
    <w:rsid w:val="0062676A"/>
    <w:rsid w:val="0062704A"/>
    <w:rsid w:val="00640DB1"/>
    <w:rsid w:val="006416E9"/>
    <w:rsid w:val="0064545D"/>
    <w:rsid w:val="00646C82"/>
    <w:rsid w:val="00647CD5"/>
    <w:rsid w:val="006548A6"/>
    <w:rsid w:val="00655478"/>
    <w:rsid w:val="00664D7F"/>
    <w:rsid w:val="00673641"/>
    <w:rsid w:val="006858B6"/>
    <w:rsid w:val="0069730F"/>
    <w:rsid w:val="006A20FD"/>
    <w:rsid w:val="006A377B"/>
    <w:rsid w:val="006B0930"/>
    <w:rsid w:val="006C4384"/>
    <w:rsid w:val="006C5135"/>
    <w:rsid w:val="006C546E"/>
    <w:rsid w:val="006D29F2"/>
    <w:rsid w:val="006E2DE0"/>
    <w:rsid w:val="006E31CF"/>
    <w:rsid w:val="006E5A8E"/>
    <w:rsid w:val="0070081C"/>
    <w:rsid w:val="00701751"/>
    <w:rsid w:val="00702F62"/>
    <w:rsid w:val="007114DF"/>
    <w:rsid w:val="00715CC3"/>
    <w:rsid w:val="0071653B"/>
    <w:rsid w:val="00721985"/>
    <w:rsid w:val="00724C84"/>
    <w:rsid w:val="007252A8"/>
    <w:rsid w:val="00725C0A"/>
    <w:rsid w:val="0073119D"/>
    <w:rsid w:val="0073199C"/>
    <w:rsid w:val="0073213D"/>
    <w:rsid w:val="00735220"/>
    <w:rsid w:val="00735551"/>
    <w:rsid w:val="007376B0"/>
    <w:rsid w:val="00740508"/>
    <w:rsid w:val="00743776"/>
    <w:rsid w:val="00747C17"/>
    <w:rsid w:val="00751428"/>
    <w:rsid w:val="0075674B"/>
    <w:rsid w:val="007614AE"/>
    <w:rsid w:val="007618F7"/>
    <w:rsid w:val="00761F2B"/>
    <w:rsid w:val="00762E43"/>
    <w:rsid w:val="00763B74"/>
    <w:rsid w:val="00763E3B"/>
    <w:rsid w:val="007731D0"/>
    <w:rsid w:val="00775B16"/>
    <w:rsid w:val="00785A0A"/>
    <w:rsid w:val="00787CED"/>
    <w:rsid w:val="00790A6B"/>
    <w:rsid w:val="00791533"/>
    <w:rsid w:val="007967F8"/>
    <w:rsid w:val="007A3165"/>
    <w:rsid w:val="007A3772"/>
    <w:rsid w:val="007A3B80"/>
    <w:rsid w:val="007C2696"/>
    <w:rsid w:val="007C4C31"/>
    <w:rsid w:val="007C5EA5"/>
    <w:rsid w:val="007D381E"/>
    <w:rsid w:val="007D3EE2"/>
    <w:rsid w:val="007E03CA"/>
    <w:rsid w:val="007E6193"/>
    <w:rsid w:val="007F2F97"/>
    <w:rsid w:val="007F387D"/>
    <w:rsid w:val="007F7152"/>
    <w:rsid w:val="007F772E"/>
    <w:rsid w:val="00810197"/>
    <w:rsid w:val="008203E6"/>
    <w:rsid w:val="00822633"/>
    <w:rsid w:val="00830107"/>
    <w:rsid w:val="00831B02"/>
    <w:rsid w:val="00833174"/>
    <w:rsid w:val="00837C65"/>
    <w:rsid w:val="00844CF7"/>
    <w:rsid w:val="00846609"/>
    <w:rsid w:val="00852958"/>
    <w:rsid w:val="0085467F"/>
    <w:rsid w:val="00861EC8"/>
    <w:rsid w:val="00864F77"/>
    <w:rsid w:val="008661F8"/>
    <w:rsid w:val="008712FA"/>
    <w:rsid w:val="00876AA9"/>
    <w:rsid w:val="00876EFF"/>
    <w:rsid w:val="00882892"/>
    <w:rsid w:val="00883AB2"/>
    <w:rsid w:val="008856DD"/>
    <w:rsid w:val="008861B2"/>
    <w:rsid w:val="00887A5A"/>
    <w:rsid w:val="00896377"/>
    <w:rsid w:val="008A09F5"/>
    <w:rsid w:val="008A4B18"/>
    <w:rsid w:val="008A738C"/>
    <w:rsid w:val="008B2645"/>
    <w:rsid w:val="008C36D3"/>
    <w:rsid w:val="008C41EC"/>
    <w:rsid w:val="008D0675"/>
    <w:rsid w:val="008D1425"/>
    <w:rsid w:val="008D1EC0"/>
    <w:rsid w:val="008D3BC8"/>
    <w:rsid w:val="008D4C91"/>
    <w:rsid w:val="008D6F23"/>
    <w:rsid w:val="008E5EB5"/>
    <w:rsid w:val="008F04C7"/>
    <w:rsid w:val="008F21A5"/>
    <w:rsid w:val="008F2440"/>
    <w:rsid w:val="008F2F12"/>
    <w:rsid w:val="00900EA9"/>
    <w:rsid w:val="0090696E"/>
    <w:rsid w:val="00911168"/>
    <w:rsid w:val="00912ABB"/>
    <w:rsid w:val="00912DE0"/>
    <w:rsid w:val="00914619"/>
    <w:rsid w:val="009202C8"/>
    <w:rsid w:val="009246BA"/>
    <w:rsid w:val="00930CDE"/>
    <w:rsid w:val="00935AA1"/>
    <w:rsid w:val="0094041D"/>
    <w:rsid w:val="009425DA"/>
    <w:rsid w:val="009451DC"/>
    <w:rsid w:val="0094655E"/>
    <w:rsid w:val="009467F2"/>
    <w:rsid w:val="0095655E"/>
    <w:rsid w:val="00963B43"/>
    <w:rsid w:val="009718ED"/>
    <w:rsid w:val="0097297B"/>
    <w:rsid w:val="0098154C"/>
    <w:rsid w:val="0098549E"/>
    <w:rsid w:val="009857EF"/>
    <w:rsid w:val="009941D8"/>
    <w:rsid w:val="009A2C18"/>
    <w:rsid w:val="009B6A60"/>
    <w:rsid w:val="009C0A0B"/>
    <w:rsid w:val="009C14BD"/>
    <w:rsid w:val="009C475A"/>
    <w:rsid w:val="009D1AF8"/>
    <w:rsid w:val="009D32B1"/>
    <w:rsid w:val="009E1C84"/>
    <w:rsid w:val="009E32D4"/>
    <w:rsid w:val="009E4080"/>
    <w:rsid w:val="009E4DCB"/>
    <w:rsid w:val="009E580F"/>
    <w:rsid w:val="009F5A6A"/>
    <w:rsid w:val="009F636A"/>
    <w:rsid w:val="00A01B3A"/>
    <w:rsid w:val="00A0205F"/>
    <w:rsid w:val="00A04E9D"/>
    <w:rsid w:val="00A05A6C"/>
    <w:rsid w:val="00A06893"/>
    <w:rsid w:val="00A10F34"/>
    <w:rsid w:val="00A21886"/>
    <w:rsid w:val="00A236E8"/>
    <w:rsid w:val="00A25682"/>
    <w:rsid w:val="00A2638C"/>
    <w:rsid w:val="00A27417"/>
    <w:rsid w:val="00A27AFD"/>
    <w:rsid w:val="00A3397B"/>
    <w:rsid w:val="00A354A8"/>
    <w:rsid w:val="00A4031E"/>
    <w:rsid w:val="00A44A2B"/>
    <w:rsid w:val="00A46F60"/>
    <w:rsid w:val="00A53234"/>
    <w:rsid w:val="00A57F47"/>
    <w:rsid w:val="00AA7A0D"/>
    <w:rsid w:val="00AB113B"/>
    <w:rsid w:val="00AB7CBF"/>
    <w:rsid w:val="00AD2FD2"/>
    <w:rsid w:val="00AD41E6"/>
    <w:rsid w:val="00AD4ADF"/>
    <w:rsid w:val="00AD4ECF"/>
    <w:rsid w:val="00AD70C8"/>
    <w:rsid w:val="00AF6067"/>
    <w:rsid w:val="00B01B9C"/>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2137"/>
    <w:rsid w:val="00B758E7"/>
    <w:rsid w:val="00B75B80"/>
    <w:rsid w:val="00B81149"/>
    <w:rsid w:val="00B8672D"/>
    <w:rsid w:val="00B92E87"/>
    <w:rsid w:val="00B93873"/>
    <w:rsid w:val="00B94FB1"/>
    <w:rsid w:val="00BC5273"/>
    <w:rsid w:val="00BC7FBC"/>
    <w:rsid w:val="00BD11D6"/>
    <w:rsid w:val="00BD2544"/>
    <w:rsid w:val="00BD2A3B"/>
    <w:rsid w:val="00BD32CA"/>
    <w:rsid w:val="00BD646D"/>
    <w:rsid w:val="00BD6A33"/>
    <w:rsid w:val="00BD71C0"/>
    <w:rsid w:val="00BD7ED0"/>
    <w:rsid w:val="00BE5E06"/>
    <w:rsid w:val="00BE643E"/>
    <w:rsid w:val="00BE7CED"/>
    <w:rsid w:val="00BF59BF"/>
    <w:rsid w:val="00C056B5"/>
    <w:rsid w:val="00C10630"/>
    <w:rsid w:val="00C12939"/>
    <w:rsid w:val="00C14E3B"/>
    <w:rsid w:val="00C23BA4"/>
    <w:rsid w:val="00C241B2"/>
    <w:rsid w:val="00C301D5"/>
    <w:rsid w:val="00C34485"/>
    <w:rsid w:val="00C40AB3"/>
    <w:rsid w:val="00C43805"/>
    <w:rsid w:val="00C43E24"/>
    <w:rsid w:val="00C45235"/>
    <w:rsid w:val="00C54B0C"/>
    <w:rsid w:val="00C60EF2"/>
    <w:rsid w:val="00C615B2"/>
    <w:rsid w:val="00C702F0"/>
    <w:rsid w:val="00C72B8D"/>
    <w:rsid w:val="00C74553"/>
    <w:rsid w:val="00C77167"/>
    <w:rsid w:val="00C8112C"/>
    <w:rsid w:val="00C87EF4"/>
    <w:rsid w:val="00CA623E"/>
    <w:rsid w:val="00CA630F"/>
    <w:rsid w:val="00CB30C2"/>
    <w:rsid w:val="00CB43EA"/>
    <w:rsid w:val="00CB4EB2"/>
    <w:rsid w:val="00CB7A41"/>
    <w:rsid w:val="00CC7A0B"/>
    <w:rsid w:val="00CD0A52"/>
    <w:rsid w:val="00CD0EEF"/>
    <w:rsid w:val="00CD64CD"/>
    <w:rsid w:val="00CE2041"/>
    <w:rsid w:val="00CE3059"/>
    <w:rsid w:val="00CE4960"/>
    <w:rsid w:val="00CE56FA"/>
    <w:rsid w:val="00CF0912"/>
    <w:rsid w:val="00D0060C"/>
    <w:rsid w:val="00D027B8"/>
    <w:rsid w:val="00D03F58"/>
    <w:rsid w:val="00D04134"/>
    <w:rsid w:val="00D0571C"/>
    <w:rsid w:val="00D0679B"/>
    <w:rsid w:val="00D072A7"/>
    <w:rsid w:val="00D11879"/>
    <w:rsid w:val="00D12547"/>
    <w:rsid w:val="00D214C5"/>
    <w:rsid w:val="00D22D44"/>
    <w:rsid w:val="00D378BA"/>
    <w:rsid w:val="00D40668"/>
    <w:rsid w:val="00D6263A"/>
    <w:rsid w:val="00D741DF"/>
    <w:rsid w:val="00D778D7"/>
    <w:rsid w:val="00D83934"/>
    <w:rsid w:val="00D861C3"/>
    <w:rsid w:val="00D86633"/>
    <w:rsid w:val="00D91A0C"/>
    <w:rsid w:val="00D9239C"/>
    <w:rsid w:val="00D95955"/>
    <w:rsid w:val="00D979AB"/>
    <w:rsid w:val="00DA41C6"/>
    <w:rsid w:val="00DA5572"/>
    <w:rsid w:val="00DA590C"/>
    <w:rsid w:val="00DA703D"/>
    <w:rsid w:val="00DB54CF"/>
    <w:rsid w:val="00DC1546"/>
    <w:rsid w:val="00DD2172"/>
    <w:rsid w:val="00DD4A09"/>
    <w:rsid w:val="00DD4C25"/>
    <w:rsid w:val="00DD6A1F"/>
    <w:rsid w:val="00DE4C00"/>
    <w:rsid w:val="00DE5C67"/>
    <w:rsid w:val="00DF2449"/>
    <w:rsid w:val="00DF3431"/>
    <w:rsid w:val="00DF7ACF"/>
    <w:rsid w:val="00E004CA"/>
    <w:rsid w:val="00E03391"/>
    <w:rsid w:val="00E0373B"/>
    <w:rsid w:val="00E05E3F"/>
    <w:rsid w:val="00E07308"/>
    <w:rsid w:val="00E077A7"/>
    <w:rsid w:val="00E14474"/>
    <w:rsid w:val="00E179B5"/>
    <w:rsid w:val="00E21D84"/>
    <w:rsid w:val="00E25DC7"/>
    <w:rsid w:val="00E26286"/>
    <w:rsid w:val="00E30AC2"/>
    <w:rsid w:val="00E33D84"/>
    <w:rsid w:val="00E34813"/>
    <w:rsid w:val="00E356D2"/>
    <w:rsid w:val="00E401B3"/>
    <w:rsid w:val="00E458DA"/>
    <w:rsid w:val="00E5687E"/>
    <w:rsid w:val="00E639CC"/>
    <w:rsid w:val="00E63D5B"/>
    <w:rsid w:val="00E671AD"/>
    <w:rsid w:val="00E80522"/>
    <w:rsid w:val="00E83E40"/>
    <w:rsid w:val="00E857B8"/>
    <w:rsid w:val="00E907E5"/>
    <w:rsid w:val="00E943B8"/>
    <w:rsid w:val="00E96B51"/>
    <w:rsid w:val="00EA08EA"/>
    <w:rsid w:val="00EA11F7"/>
    <w:rsid w:val="00EA20B9"/>
    <w:rsid w:val="00EA4098"/>
    <w:rsid w:val="00EA4549"/>
    <w:rsid w:val="00ED0B37"/>
    <w:rsid w:val="00ED22DF"/>
    <w:rsid w:val="00ED4C66"/>
    <w:rsid w:val="00ED6781"/>
    <w:rsid w:val="00EE2D57"/>
    <w:rsid w:val="00EE4BD8"/>
    <w:rsid w:val="00EF5BA0"/>
    <w:rsid w:val="00F00EAE"/>
    <w:rsid w:val="00F13600"/>
    <w:rsid w:val="00F15FC0"/>
    <w:rsid w:val="00F17042"/>
    <w:rsid w:val="00F175D1"/>
    <w:rsid w:val="00F21DA9"/>
    <w:rsid w:val="00F22A75"/>
    <w:rsid w:val="00F24225"/>
    <w:rsid w:val="00F30C1E"/>
    <w:rsid w:val="00F3185D"/>
    <w:rsid w:val="00F33352"/>
    <w:rsid w:val="00F35217"/>
    <w:rsid w:val="00F35C50"/>
    <w:rsid w:val="00F42D68"/>
    <w:rsid w:val="00F436FE"/>
    <w:rsid w:val="00F500D2"/>
    <w:rsid w:val="00F51A9D"/>
    <w:rsid w:val="00F51C8B"/>
    <w:rsid w:val="00F56674"/>
    <w:rsid w:val="00F57792"/>
    <w:rsid w:val="00F60048"/>
    <w:rsid w:val="00F6185A"/>
    <w:rsid w:val="00F70DF7"/>
    <w:rsid w:val="00F73FE2"/>
    <w:rsid w:val="00F74944"/>
    <w:rsid w:val="00F76269"/>
    <w:rsid w:val="00F83D32"/>
    <w:rsid w:val="00F8497C"/>
    <w:rsid w:val="00F91E41"/>
    <w:rsid w:val="00FA238D"/>
    <w:rsid w:val="00FA3835"/>
    <w:rsid w:val="00FA6816"/>
    <w:rsid w:val="00FB5D79"/>
    <w:rsid w:val="00FB7F97"/>
    <w:rsid w:val="00FC0CEA"/>
    <w:rsid w:val="00FD0CCC"/>
    <w:rsid w:val="00FE3D91"/>
    <w:rsid w:val="00FE55D2"/>
    <w:rsid w:val="00FF5179"/>
    <w:rsid w:val="00FF728E"/>
    <w:rsid w:val="020B291A"/>
    <w:rsid w:val="036B26CC"/>
    <w:rsid w:val="03FC0AFB"/>
    <w:rsid w:val="04A459ED"/>
    <w:rsid w:val="053E2C54"/>
    <w:rsid w:val="05C25634"/>
    <w:rsid w:val="05FE75C6"/>
    <w:rsid w:val="06F02823"/>
    <w:rsid w:val="0762073E"/>
    <w:rsid w:val="07C27C17"/>
    <w:rsid w:val="09120680"/>
    <w:rsid w:val="09A45050"/>
    <w:rsid w:val="09FA1199"/>
    <w:rsid w:val="0A5B05D9"/>
    <w:rsid w:val="0ADE7A3A"/>
    <w:rsid w:val="0AE0030A"/>
    <w:rsid w:val="0B3C1449"/>
    <w:rsid w:val="0BBC0465"/>
    <w:rsid w:val="0D6B0DE4"/>
    <w:rsid w:val="0D8A6F81"/>
    <w:rsid w:val="0E39045D"/>
    <w:rsid w:val="0E936CC2"/>
    <w:rsid w:val="0EE967FA"/>
    <w:rsid w:val="0F4075C9"/>
    <w:rsid w:val="0F4672D5"/>
    <w:rsid w:val="0F4E40DD"/>
    <w:rsid w:val="0F6F4465"/>
    <w:rsid w:val="10E279BE"/>
    <w:rsid w:val="11AA378D"/>
    <w:rsid w:val="122E6778"/>
    <w:rsid w:val="124949E7"/>
    <w:rsid w:val="140844A6"/>
    <w:rsid w:val="14250B6B"/>
    <w:rsid w:val="145C7DCB"/>
    <w:rsid w:val="14B85F1C"/>
    <w:rsid w:val="15C95BF0"/>
    <w:rsid w:val="15D708BB"/>
    <w:rsid w:val="15F52619"/>
    <w:rsid w:val="17CB6513"/>
    <w:rsid w:val="17E30CEE"/>
    <w:rsid w:val="185D6BC0"/>
    <w:rsid w:val="18BA0A7E"/>
    <w:rsid w:val="19200D4A"/>
    <w:rsid w:val="19AE7309"/>
    <w:rsid w:val="1A18361C"/>
    <w:rsid w:val="1A902BB0"/>
    <w:rsid w:val="1A980E1A"/>
    <w:rsid w:val="1AC76B94"/>
    <w:rsid w:val="1ACF0052"/>
    <w:rsid w:val="1B9E3D36"/>
    <w:rsid w:val="1BBA3A2F"/>
    <w:rsid w:val="1C686EB5"/>
    <w:rsid w:val="1C8F2A04"/>
    <w:rsid w:val="1CAF0198"/>
    <w:rsid w:val="1D8B6157"/>
    <w:rsid w:val="20365C75"/>
    <w:rsid w:val="20863AF3"/>
    <w:rsid w:val="20FD3BD3"/>
    <w:rsid w:val="218B2C39"/>
    <w:rsid w:val="21D70176"/>
    <w:rsid w:val="22597BF6"/>
    <w:rsid w:val="227819CB"/>
    <w:rsid w:val="22892262"/>
    <w:rsid w:val="23256975"/>
    <w:rsid w:val="23423424"/>
    <w:rsid w:val="238276EB"/>
    <w:rsid w:val="23F21382"/>
    <w:rsid w:val="240C4724"/>
    <w:rsid w:val="243F7370"/>
    <w:rsid w:val="248B1FC0"/>
    <w:rsid w:val="26053E04"/>
    <w:rsid w:val="262539EF"/>
    <w:rsid w:val="26976211"/>
    <w:rsid w:val="26DD3CEE"/>
    <w:rsid w:val="27F05BD9"/>
    <w:rsid w:val="28A9642D"/>
    <w:rsid w:val="29086E54"/>
    <w:rsid w:val="298A5BB9"/>
    <w:rsid w:val="29DF7CB3"/>
    <w:rsid w:val="2A050E49"/>
    <w:rsid w:val="2A156674"/>
    <w:rsid w:val="2A8E004C"/>
    <w:rsid w:val="2B6A1BE2"/>
    <w:rsid w:val="2C0F1908"/>
    <w:rsid w:val="2C74376C"/>
    <w:rsid w:val="2CB90995"/>
    <w:rsid w:val="2D2B3E5F"/>
    <w:rsid w:val="2D5179CF"/>
    <w:rsid w:val="2ED5581D"/>
    <w:rsid w:val="2F25260C"/>
    <w:rsid w:val="2F71688B"/>
    <w:rsid w:val="2F9525E9"/>
    <w:rsid w:val="308A097E"/>
    <w:rsid w:val="319039E6"/>
    <w:rsid w:val="32085AE3"/>
    <w:rsid w:val="327C2483"/>
    <w:rsid w:val="327F0D3B"/>
    <w:rsid w:val="32A22E31"/>
    <w:rsid w:val="32BA3FF8"/>
    <w:rsid w:val="330E5F16"/>
    <w:rsid w:val="331A4758"/>
    <w:rsid w:val="3369385E"/>
    <w:rsid w:val="339C7959"/>
    <w:rsid w:val="33CA23C6"/>
    <w:rsid w:val="35073D21"/>
    <w:rsid w:val="35C0542C"/>
    <w:rsid w:val="372B2789"/>
    <w:rsid w:val="37C11CFA"/>
    <w:rsid w:val="37D44BCF"/>
    <w:rsid w:val="38196A86"/>
    <w:rsid w:val="384F06F9"/>
    <w:rsid w:val="38626A53"/>
    <w:rsid w:val="395026E3"/>
    <w:rsid w:val="39A43A9C"/>
    <w:rsid w:val="3AE72E6B"/>
    <w:rsid w:val="3AFF33E8"/>
    <w:rsid w:val="3B4B212D"/>
    <w:rsid w:val="3B6A75F8"/>
    <w:rsid w:val="3C2D3B80"/>
    <w:rsid w:val="3D476359"/>
    <w:rsid w:val="3D7B5AED"/>
    <w:rsid w:val="3D9A658C"/>
    <w:rsid w:val="3DE10046"/>
    <w:rsid w:val="3DEE1D80"/>
    <w:rsid w:val="3DF338D5"/>
    <w:rsid w:val="3EA378DA"/>
    <w:rsid w:val="3EF73899"/>
    <w:rsid w:val="3F651E10"/>
    <w:rsid w:val="405C4659"/>
    <w:rsid w:val="4176085B"/>
    <w:rsid w:val="4197550B"/>
    <w:rsid w:val="425B6E07"/>
    <w:rsid w:val="426C16E4"/>
    <w:rsid w:val="43130DAF"/>
    <w:rsid w:val="436D5EFA"/>
    <w:rsid w:val="43D85920"/>
    <w:rsid w:val="442F62DC"/>
    <w:rsid w:val="443B5FD6"/>
    <w:rsid w:val="44B876D8"/>
    <w:rsid w:val="45811CB2"/>
    <w:rsid w:val="459220B9"/>
    <w:rsid w:val="46DB7A17"/>
    <w:rsid w:val="48333FF5"/>
    <w:rsid w:val="485E6BC5"/>
    <w:rsid w:val="49FA5FEB"/>
    <w:rsid w:val="4A3E0C6F"/>
    <w:rsid w:val="4B914BF5"/>
    <w:rsid w:val="4BFA22D2"/>
    <w:rsid w:val="4C7D3400"/>
    <w:rsid w:val="4CB230FF"/>
    <w:rsid w:val="4D413CB4"/>
    <w:rsid w:val="4D821D41"/>
    <w:rsid w:val="4DA86482"/>
    <w:rsid w:val="4E582E83"/>
    <w:rsid w:val="4EE564B0"/>
    <w:rsid w:val="4F2D4EFA"/>
    <w:rsid w:val="4FFC159D"/>
    <w:rsid w:val="51CD3614"/>
    <w:rsid w:val="522400A9"/>
    <w:rsid w:val="531539E5"/>
    <w:rsid w:val="53D55AFF"/>
    <w:rsid w:val="53DA511B"/>
    <w:rsid w:val="53FC6986"/>
    <w:rsid w:val="544E63D0"/>
    <w:rsid w:val="54A60BE9"/>
    <w:rsid w:val="55866C5D"/>
    <w:rsid w:val="559A7000"/>
    <w:rsid w:val="55C81664"/>
    <w:rsid w:val="5628185A"/>
    <w:rsid w:val="56770AFB"/>
    <w:rsid w:val="568F6454"/>
    <w:rsid w:val="573C6F55"/>
    <w:rsid w:val="57D63A28"/>
    <w:rsid w:val="57F95C42"/>
    <w:rsid w:val="581B6CF3"/>
    <w:rsid w:val="58527420"/>
    <w:rsid w:val="585F0652"/>
    <w:rsid w:val="58AB08AC"/>
    <w:rsid w:val="591A5625"/>
    <w:rsid w:val="5980136F"/>
    <w:rsid w:val="59DD58A1"/>
    <w:rsid w:val="5AA16827"/>
    <w:rsid w:val="5AE900E2"/>
    <w:rsid w:val="5C590701"/>
    <w:rsid w:val="5C625271"/>
    <w:rsid w:val="5C7F1F93"/>
    <w:rsid w:val="5CCE2A51"/>
    <w:rsid w:val="5D89084C"/>
    <w:rsid w:val="5DDE51E3"/>
    <w:rsid w:val="5E237D26"/>
    <w:rsid w:val="5E72647F"/>
    <w:rsid w:val="5E834DD9"/>
    <w:rsid w:val="5F236DE7"/>
    <w:rsid w:val="5FD517CA"/>
    <w:rsid w:val="608E3660"/>
    <w:rsid w:val="617B7B59"/>
    <w:rsid w:val="620B4DE2"/>
    <w:rsid w:val="621505DC"/>
    <w:rsid w:val="623A50C2"/>
    <w:rsid w:val="625D22A8"/>
    <w:rsid w:val="62746AE6"/>
    <w:rsid w:val="63025693"/>
    <w:rsid w:val="648D7D30"/>
    <w:rsid w:val="657340D8"/>
    <w:rsid w:val="65874EDE"/>
    <w:rsid w:val="65C0401D"/>
    <w:rsid w:val="662648F8"/>
    <w:rsid w:val="665F1537"/>
    <w:rsid w:val="66A13869"/>
    <w:rsid w:val="67D85B6C"/>
    <w:rsid w:val="68ED6A71"/>
    <w:rsid w:val="69317B0A"/>
    <w:rsid w:val="69F67FAD"/>
    <w:rsid w:val="6AB37828"/>
    <w:rsid w:val="6B6E3D88"/>
    <w:rsid w:val="6BE7369A"/>
    <w:rsid w:val="6C2E79CF"/>
    <w:rsid w:val="6C67192F"/>
    <w:rsid w:val="6CD428C2"/>
    <w:rsid w:val="6CE60189"/>
    <w:rsid w:val="6E04301E"/>
    <w:rsid w:val="6F135C55"/>
    <w:rsid w:val="6F215C44"/>
    <w:rsid w:val="6F5A2F04"/>
    <w:rsid w:val="732820F7"/>
    <w:rsid w:val="734D446A"/>
    <w:rsid w:val="73656534"/>
    <w:rsid w:val="73E03D71"/>
    <w:rsid w:val="740972B4"/>
    <w:rsid w:val="74C80B12"/>
    <w:rsid w:val="768637B5"/>
    <w:rsid w:val="76D417EE"/>
    <w:rsid w:val="77FE4FE3"/>
    <w:rsid w:val="78C830A0"/>
    <w:rsid w:val="78D36201"/>
    <w:rsid w:val="792F1A3C"/>
    <w:rsid w:val="79B5177D"/>
    <w:rsid w:val="79CD520C"/>
    <w:rsid w:val="7A022C02"/>
    <w:rsid w:val="7A463EB9"/>
    <w:rsid w:val="7A8377B3"/>
    <w:rsid w:val="7A905FEB"/>
    <w:rsid w:val="7AF13C02"/>
    <w:rsid w:val="7BBD0AA3"/>
    <w:rsid w:val="7C944826"/>
    <w:rsid w:val="7D9D4043"/>
    <w:rsid w:val="7E9D0BC6"/>
    <w:rsid w:val="7F872F20"/>
    <w:rsid w:val="7F8942DD"/>
    <w:rsid w:val="7FD20CF9"/>
    <w:rsid w:val="7FD237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70"/>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basedOn w:val="40"/>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Char"/>
    <w:qFormat/>
    <w:uiPriority w:val="0"/>
    <w:rPr>
      <w:rFonts w:ascii="宋体" w:hAnsi="Courier New" w:eastAsia="宋体"/>
      <w:kern w:val="2"/>
      <w:sz w:val="21"/>
      <w:lang w:val="en-US" w:eastAsia="zh-CN" w:bidi="ar-SA"/>
    </w:rPr>
  </w:style>
  <w:style w:type="paragraph" w:customStyle="1" w:styleId="54">
    <w:name w:val="Char1"/>
    <w:basedOn w:val="1"/>
    <w:qFormat/>
    <w:uiPriority w:val="0"/>
    <w:rPr>
      <w:rFonts w:ascii="Tahoma" w:hAnsi="Tahoma"/>
      <w:sz w:val="24"/>
      <w:szCs w:val="20"/>
    </w:rPr>
  </w:style>
  <w:style w:type="paragraph" w:customStyle="1" w:styleId="55">
    <w:name w:val="彩色列表 - 强调文字颜色 11"/>
    <w:basedOn w:val="1"/>
    <w:qFormat/>
    <w:uiPriority w:val="34"/>
    <w:pPr>
      <w:ind w:firstLine="420" w:firstLineChars="200"/>
    </w:pPr>
    <w:rPr>
      <w:rFonts w:ascii="Calibri" w:hAnsi="Calibri"/>
      <w:szCs w:val="22"/>
    </w:rPr>
  </w:style>
  <w:style w:type="paragraph" w:customStyle="1" w:styleId="56">
    <w:name w:val="正文文本 21"/>
    <w:basedOn w:val="1"/>
    <w:qFormat/>
    <w:uiPriority w:val="0"/>
    <w:pPr>
      <w:adjustRightInd w:val="0"/>
      <w:spacing w:before="120" w:line="360" w:lineRule="auto"/>
      <w:ind w:firstLine="480"/>
      <w:textAlignment w:val="baseline"/>
    </w:pPr>
    <w:rPr>
      <w:sz w:val="24"/>
      <w:szCs w:val="20"/>
    </w:rPr>
  </w:style>
  <w:style w:type="paragraph" w:customStyle="1" w:styleId="57">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8">
    <w:name w:val="正文文本缩进 21"/>
    <w:basedOn w:val="1"/>
    <w:qFormat/>
    <w:uiPriority w:val="0"/>
    <w:pPr>
      <w:adjustRightInd w:val="0"/>
      <w:spacing w:before="120"/>
      <w:ind w:firstLine="420"/>
      <w:textAlignment w:val="baseline"/>
    </w:pPr>
    <w:rPr>
      <w:sz w:val="24"/>
      <w:szCs w:val="20"/>
    </w:rPr>
  </w:style>
  <w:style w:type="character" w:customStyle="1" w:styleId="59">
    <w:name w:val="Char2"/>
    <w:qFormat/>
    <w:uiPriority w:val="0"/>
    <w:rPr>
      <w:rFonts w:ascii="宋体" w:hAnsi="Courier New" w:eastAsia="宋体" w:cs="宋体"/>
      <w:kern w:val="2"/>
      <w:sz w:val="21"/>
      <w:szCs w:val="21"/>
      <w:lang w:val="en-US" w:eastAsia="zh-CN"/>
    </w:rPr>
  </w:style>
  <w:style w:type="paragraph" w:customStyle="1" w:styleId="60">
    <w:name w:val="标题1"/>
    <w:basedOn w:val="36"/>
    <w:qFormat/>
    <w:uiPriority w:val="0"/>
    <w:pPr>
      <w:spacing w:before="240" w:after="240"/>
      <w:outlineLvl w:val="0"/>
    </w:pPr>
    <w:rPr>
      <w:rFonts w:ascii="Arial" w:hAnsi="Arial" w:cs="Arial"/>
      <w:b/>
      <w:bCs/>
      <w:spacing w:val="2"/>
      <w:sz w:val="44"/>
      <w:szCs w:val="44"/>
    </w:rPr>
  </w:style>
  <w:style w:type="paragraph" w:customStyle="1" w:styleId="61">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2">
    <w:name w:val="样式"/>
    <w:basedOn w:val="1"/>
    <w:next w:val="20"/>
    <w:qFormat/>
    <w:uiPriority w:val="0"/>
    <w:rPr>
      <w:rFonts w:ascii="宋体" w:hAnsi="Courier New" w:cs="宋体"/>
      <w:szCs w:val="21"/>
    </w:rPr>
  </w:style>
  <w:style w:type="paragraph" w:customStyle="1" w:styleId="63">
    <w:name w:val="Char11"/>
    <w:basedOn w:val="1"/>
    <w:qFormat/>
    <w:uiPriority w:val="0"/>
    <w:rPr>
      <w:rFonts w:ascii="Tahoma" w:hAnsi="Tahoma"/>
      <w:sz w:val="24"/>
      <w:szCs w:val="20"/>
    </w:rPr>
  </w:style>
  <w:style w:type="paragraph" w:customStyle="1" w:styleId="64">
    <w:name w:val="Char Char Char Char"/>
    <w:basedOn w:val="1"/>
    <w:qFormat/>
    <w:uiPriority w:val="0"/>
    <w:pPr>
      <w:spacing w:after="160" w:line="240" w:lineRule="exact"/>
    </w:pPr>
    <w:rPr>
      <w:rFonts w:ascii="Cambria" w:hAnsi="Cambria"/>
      <w:szCs w:val="21"/>
    </w:rPr>
  </w:style>
  <w:style w:type="paragraph" w:customStyle="1" w:styleId="65">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6">
    <w:name w:val="List Paragraph"/>
    <w:basedOn w:val="1"/>
    <w:qFormat/>
    <w:uiPriority w:val="34"/>
    <w:pPr>
      <w:ind w:left="205" w:right="169" w:firstLine="655"/>
    </w:pPr>
    <w:rPr>
      <w:rFonts w:ascii="Cambria" w:hAnsi="Cambria"/>
      <w:szCs w:val="21"/>
    </w:rPr>
  </w:style>
  <w:style w:type="table" w:customStyle="1" w:styleId="67">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69">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character" w:customStyle="1" w:styleId="70">
    <w:name w:val="批注主题 字符"/>
    <w:basedOn w:val="47"/>
    <w:link w:val="37"/>
    <w:qFormat/>
    <w:uiPriority w:val="0"/>
    <w:rPr>
      <w:rFonts w:ascii="Cambria" w:hAnsi="Cambria"/>
      <w:b/>
      <w:bCs/>
      <w:kern w:val="2"/>
      <w:sz w:val="21"/>
      <w:szCs w:val="24"/>
    </w:rPr>
  </w:style>
  <w:style w:type="paragraph" w:customStyle="1" w:styleId="71">
    <w:name w:val="正文 A"/>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paragraph" w:customStyle="1" w:styleId="72">
    <w:name w:val="修订1"/>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8</Pages>
  <Words>4434</Words>
  <Characters>4947</Characters>
  <Lines>327</Lines>
  <Paragraphs>92</Paragraphs>
  <TotalTime>8</TotalTime>
  <ScaleCrop>false</ScaleCrop>
  <LinksUpToDate>false</LinksUpToDate>
  <CharactersWithSpaces>5081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2025-12-04T04:55:00Z</dcterms:created>
  <dc:creator>caowuning</dc:creator>
  <cp:lastModifiedBy>清</cp:lastModifiedBy>
  <cp:lastPrinted>2009-04-21T09:03:00Z</cp:lastPrinted>
  <dcterms:modified xsi:type="dcterms:W3CDTF">2025-12-05T07:48:05Z</dcterms:modified>
  <dc:title>北 京 市 政 府 采 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24B38036AE1F470D9A988888EE8F646A_13</vt:lpwstr>
  </property>
  <property fmtid="{D5CDD505-2E9C-101B-9397-08002B2CF9AE}" pid="4" name="KSOTemplateDocerSaveRecord">
    <vt:lpwstr>eyJoZGlkIjoiNTI5ZmZjMjA2MjdiMDFiYzZmZWIzNjQ5YThhMzQxMzIiLCJ1c2VySWQiOiI3MTgzNDAyNjIifQ==</vt:lpwstr>
  </property>
</Properties>
</file>