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BD6453">
      <w:pPr>
        <w:adjustRightInd w:val="0"/>
        <w:snapToGrid w:val="0"/>
        <w:spacing w:line="288" w:lineRule="auto"/>
        <w:ind w:left="238"/>
        <w:jc w:val="center"/>
        <w:outlineLvl w:val="0"/>
        <w:rPr>
          <w:rFonts w:ascii="宋体" w:hAnsi="宋体"/>
          <w:b/>
          <w:bCs/>
          <w:sz w:val="32"/>
          <w:szCs w:val="32"/>
          <w:highlight w:val="none"/>
        </w:rPr>
      </w:pPr>
      <w:bookmarkStart w:id="3" w:name="_GoBack"/>
      <w:bookmarkEnd w:id="3"/>
      <w:r>
        <w:rPr>
          <w:rFonts w:hint="eastAsia" w:ascii="宋体" w:hAnsi="宋体"/>
          <w:b/>
          <w:bCs/>
          <w:sz w:val="32"/>
          <w:szCs w:val="32"/>
          <w:highlight w:val="none"/>
        </w:rPr>
        <w:t>采购需求</w:t>
      </w:r>
    </w:p>
    <w:p w14:paraId="21637093">
      <w:pPr>
        <w:adjustRightInd w:val="0"/>
        <w:snapToGrid w:val="0"/>
        <w:spacing w:line="288" w:lineRule="auto"/>
        <w:ind w:left="238" w:hanging="238" w:hangingChars="113"/>
        <w:outlineLvl w:val="1"/>
        <w:rPr>
          <w:rFonts w:ascii="宋体" w:hAnsi="宋体"/>
          <w:b/>
          <w:sz w:val="21"/>
          <w:szCs w:val="21"/>
          <w:highlight w:val="none"/>
        </w:rPr>
      </w:pPr>
      <w:r>
        <w:rPr>
          <w:rFonts w:hint="eastAsia" w:ascii="宋体" w:hAnsi="宋体"/>
          <w:b/>
          <w:sz w:val="21"/>
          <w:szCs w:val="21"/>
          <w:highlight w:val="none"/>
        </w:rPr>
        <w:t>一</w:t>
      </w:r>
      <w:r>
        <w:rPr>
          <w:rFonts w:ascii="宋体" w:hAnsi="宋体"/>
          <w:b/>
          <w:sz w:val="21"/>
          <w:szCs w:val="21"/>
          <w:highlight w:val="none"/>
        </w:rPr>
        <w:t>、</w:t>
      </w:r>
      <w:r>
        <w:rPr>
          <w:rFonts w:hint="eastAsia" w:ascii="宋体" w:hAnsi="宋体"/>
          <w:b/>
          <w:sz w:val="21"/>
          <w:szCs w:val="21"/>
          <w:highlight w:val="none"/>
        </w:rPr>
        <w:t>为落实政府采购政策需满足的要求：</w:t>
      </w:r>
    </w:p>
    <w:tbl>
      <w:tblPr>
        <w:tblStyle w:val="3"/>
        <w:tblW w:w="949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08607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5AD12611">
            <w:pPr>
              <w:adjustRightInd w:val="0"/>
              <w:snapToGrid w:val="0"/>
              <w:spacing w:line="288" w:lineRule="auto"/>
              <w:jc w:val="center"/>
              <w:rPr>
                <w:rFonts w:ascii="宋体" w:hAnsi="宋体" w:cs="宋体"/>
                <w:b/>
                <w:bCs/>
                <w:sz w:val="21"/>
                <w:szCs w:val="21"/>
                <w:highlight w:val="none"/>
              </w:rPr>
            </w:pPr>
            <w:bookmarkStart w:id="0" w:name="_Hlk45005599"/>
            <w:r>
              <w:rPr>
                <w:rFonts w:hint="eastAsia" w:ascii="宋体" w:hAnsi="宋体" w:cs="宋体"/>
                <w:b/>
                <w:bCs/>
                <w:sz w:val="21"/>
                <w:szCs w:val="21"/>
                <w:highlight w:val="none"/>
              </w:rPr>
              <w:t>序号</w:t>
            </w:r>
          </w:p>
        </w:tc>
        <w:tc>
          <w:tcPr>
            <w:tcW w:w="3256" w:type="dxa"/>
            <w:noWrap w:val="0"/>
            <w:vAlign w:val="center"/>
          </w:tcPr>
          <w:p w14:paraId="6DEF76EC">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政策名称</w:t>
            </w:r>
          </w:p>
        </w:tc>
        <w:tc>
          <w:tcPr>
            <w:tcW w:w="5529" w:type="dxa"/>
            <w:noWrap w:val="0"/>
            <w:vAlign w:val="center"/>
          </w:tcPr>
          <w:p w14:paraId="6F503F43">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内容</w:t>
            </w:r>
          </w:p>
        </w:tc>
      </w:tr>
      <w:tr w14:paraId="685ED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4662924D">
            <w:pPr>
              <w:adjustRightInd w:val="0"/>
              <w:snapToGrid w:val="0"/>
              <w:spacing w:line="288" w:lineRule="auto"/>
              <w:jc w:val="center"/>
              <w:rPr>
                <w:rFonts w:ascii="宋体" w:hAnsi="宋体" w:cs="宋体"/>
                <w:b/>
                <w:bCs/>
                <w:sz w:val="21"/>
                <w:szCs w:val="21"/>
                <w:highlight w:val="none"/>
              </w:rPr>
            </w:pPr>
            <w:r>
              <w:rPr>
                <w:rFonts w:hint="eastAsia" w:ascii="宋体" w:hAnsi="宋体" w:cs="宋体"/>
                <w:sz w:val="21"/>
                <w:szCs w:val="21"/>
                <w:highlight w:val="none"/>
              </w:rPr>
              <w:t>1</w:t>
            </w:r>
          </w:p>
        </w:tc>
        <w:tc>
          <w:tcPr>
            <w:tcW w:w="3256" w:type="dxa"/>
            <w:noWrap w:val="0"/>
            <w:vAlign w:val="center"/>
          </w:tcPr>
          <w:p w14:paraId="04F13922">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政府采购进口产品</w:t>
            </w:r>
          </w:p>
        </w:tc>
        <w:tc>
          <w:tcPr>
            <w:tcW w:w="5529" w:type="dxa"/>
            <w:noWrap w:val="0"/>
            <w:vAlign w:val="center"/>
          </w:tcPr>
          <w:p w14:paraId="526B71A0">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允许采购进口产品</w:t>
            </w:r>
          </w:p>
        </w:tc>
      </w:tr>
      <w:tr w14:paraId="70678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17A1C5AD">
            <w:pPr>
              <w:adjustRightInd w:val="0"/>
              <w:snapToGrid w:val="0"/>
              <w:spacing w:line="288" w:lineRule="auto"/>
              <w:jc w:val="center"/>
              <w:rPr>
                <w:rFonts w:ascii="宋体" w:hAnsi="宋体" w:cs="宋体"/>
                <w:b/>
                <w:bCs/>
                <w:sz w:val="21"/>
                <w:szCs w:val="21"/>
                <w:highlight w:val="none"/>
              </w:rPr>
            </w:pPr>
            <w:r>
              <w:rPr>
                <w:rFonts w:hint="eastAsia" w:ascii="宋体" w:hAnsi="宋体" w:cs="宋体"/>
                <w:sz w:val="21"/>
                <w:szCs w:val="21"/>
                <w:highlight w:val="none"/>
              </w:rPr>
              <w:t>2</w:t>
            </w:r>
          </w:p>
        </w:tc>
        <w:tc>
          <w:tcPr>
            <w:tcW w:w="3256" w:type="dxa"/>
            <w:noWrap w:val="0"/>
            <w:vAlign w:val="center"/>
          </w:tcPr>
          <w:p w14:paraId="4485A041">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政府强制采购节能产品</w:t>
            </w:r>
          </w:p>
        </w:tc>
        <w:tc>
          <w:tcPr>
            <w:tcW w:w="5529" w:type="dxa"/>
            <w:noWrap w:val="0"/>
            <w:vAlign w:val="center"/>
          </w:tcPr>
          <w:p w14:paraId="5FED1FD7">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不适用</w:t>
            </w:r>
          </w:p>
        </w:tc>
      </w:tr>
      <w:tr w14:paraId="05CA5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3F6D02C0">
            <w:pPr>
              <w:adjustRightInd w:val="0"/>
              <w:snapToGrid w:val="0"/>
              <w:spacing w:line="288" w:lineRule="auto"/>
              <w:jc w:val="center"/>
              <w:rPr>
                <w:rFonts w:ascii="宋体" w:hAnsi="宋体" w:cs="宋体"/>
                <w:b/>
                <w:bCs/>
                <w:sz w:val="21"/>
                <w:szCs w:val="21"/>
                <w:highlight w:val="none"/>
              </w:rPr>
            </w:pPr>
            <w:r>
              <w:rPr>
                <w:rFonts w:hint="eastAsia" w:ascii="宋体" w:hAnsi="宋体" w:cs="宋体"/>
                <w:sz w:val="21"/>
                <w:szCs w:val="21"/>
                <w:highlight w:val="none"/>
              </w:rPr>
              <w:t>3</w:t>
            </w:r>
          </w:p>
        </w:tc>
        <w:tc>
          <w:tcPr>
            <w:tcW w:w="3256" w:type="dxa"/>
            <w:noWrap w:val="0"/>
            <w:vAlign w:val="center"/>
          </w:tcPr>
          <w:p w14:paraId="33B3E7AB">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政府优先采购节能、环保产品</w:t>
            </w:r>
          </w:p>
        </w:tc>
        <w:tc>
          <w:tcPr>
            <w:tcW w:w="5529" w:type="dxa"/>
            <w:noWrap w:val="0"/>
            <w:vAlign w:val="center"/>
          </w:tcPr>
          <w:p w14:paraId="354ADAC2">
            <w:pPr>
              <w:adjustRightInd w:val="0"/>
              <w:snapToGrid w:val="0"/>
              <w:spacing w:line="288" w:lineRule="auto"/>
              <w:jc w:val="left"/>
              <w:rPr>
                <w:rFonts w:ascii="宋体" w:hAnsi="宋体" w:cs="宋体"/>
                <w:b/>
                <w:bCs/>
                <w:color w:val="auto"/>
                <w:sz w:val="21"/>
                <w:szCs w:val="21"/>
                <w:highlight w:val="none"/>
              </w:rPr>
            </w:pPr>
            <w:r>
              <w:rPr>
                <w:rFonts w:hint="eastAsia" w:ascii="宋体" w:hAnsi="宋体" w:cs="宋体"/>
                <w:color w:val="auto"/>
                <w:sz w:val="21"/>
                <w:szCs w:val="21"/>
                <w:highlight w:val="none"/>
              </w:rPr>
              <w:t>不适用</w:t>
            </w:r>
          </w:p>
        </w:tc>
      </w:tr>
      <w:tr w14:paraId="2A03F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7F045DA6">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4</w:t>
            </w:r>
          </w:p>
        </w:tc>
        <w:tc>
          <w:tcPr>
            <w:tcW w:w="3256" w:type="dxa"/>
            <w:noWrap w:val="0"/>
            <w:vAlign w:val="center"/>
          </w:tcPr>
          <w:p w14:paraId="3FEC59BE">
            <w:pPr>
              <w:adjustRightInd w:val="0"/>
              <w:snapToGrid w:val="0"/>
              <w:spacing w:line="288" w:lineRule="auto"/>
              <w:jc w:val="left"/>
              <w:rPr>
                <w:rFonts w:ascii="宋体" w:hAnsi="宋体" w:cs="宋体"/>
                <w:color w:val="auto"/>
                <w:sz w:val="21"/>
                <w:szCs w:val="16"/>
                <w:highlight w:val="none"/>
              </w:rPr>
            </w:pPr>
            <w:r>
              <w:rPr>
                <w:rFonts w:hint="eastAsia" w:ascii="宋体" w:hAnsi="宋体" w:cs="宋体"/>
                <w:color w:val="auto"/>
                <w:sz w:val="21"/>
                <w:szCs w:val="16"/>
                <w:highlight w:val="none"/>
              </w:rPr>
              <w:t>政府采购支持科技创新</w:t>
            </w:r>
          </w:p>
        </w:tc>
        <w:tc>
          <w:tcPr>
            <w:tcW w:w="5529" w:type="dxa"/>
            <w:noWrap w:val="0"/>
            <w:vAlign w:val="center"/>
          </w:tcPr>
          <w:p w14:paraId="119A56D2">
            <w:pPr>
              <w:adjustRightInd w:val="0"/>
              <w:snapToGrid w:val="0"/>
              <w:spacing w:line="288" w:lineRule="auto"/>
              <w:jc w:val="left"/>
              <w:rPr>
                <w:rFonts w:ascii="宋体" w:hAnsi="宋体" w:cs="宋体"/>
                <w:color w:val="auto"/>
                <w:sz w:val="21"/>
                <w:szCs w:val="16"/>
                <w:highlight w:val="none"/>
              </w:rPr>
            </w:pPr>
            <w:r>
              <w:rPr>
                <w:rFonts w:hint="eastAsia" w:ascii="宋体" w:hAnsi="宋体" w:cs="宋体"/>
                <w:color w:val="auto"/>
                <w:sz w:val="21"/>
                <w:szCs w:val="21"/>
                <w:highlight w:val="none"/>
              </w:rPr>
              <w:t>不适用</w:t>
            </w:r>
          </w:p>
        </w:tc>
      </w:tr>
      <w:tr w14:paraId="57E69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27A510FD">
            <w:pPr>
              <w:adjustRightInd w:val="0"/>
              <w:snapToGrid w:val="0"/>
              <w:spacing w:line="288" w:lineRule="auto"/>
              <w:jc w:val="center"/>
              <w:rPr>
                <w:rFonts w:ascii="宋体" w:hAnsi="宋体" w:cs="宋体"/>
                <w:b/>
                <w:bCs/>
                <w:sz w:val="21"/>
                <w:szCs w:val="21"/>
                <w:highlight w:val="none"/>
              </w:rPr>
            </w:pPr>
            <w:r>
              <w:rPr>
                <w:rFonts w:hint="eastAsia" w:ascii="宋体" w:hAnsi="宋体" w:cs="宋体"/>
                <w:sz w:val="21"/>
                <w:szCs w:val="21"/>
                <w:highlight w:val="none"/>
              </w:rPr>
              <w:t>5</w:t>
            </w:r>
          </w:p>
        </w:tc>
        <w:tc>
          <w:tcPr>
            <w:tcW w:w="3256" w:type="dxa"/>
            <w:noWrap w:val="0"/>
            <w:vAlign w:val="center"/>
          </w:tcPr>
          <w:p w14:paraId="004481D4">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政府采购促进中小企业发展</w:t>
            </w:r>
          </w:p>
        </w:tc>
        <w:tc>
          <w:tcPr>
            <w:tcW w:w="5529" w:type="dxa"/>
            <w:noWrap w:val="0"/>
            <w:vAlign w:val="center"/>
          </w:tcPr>
          <w:p w14:paraId="6BBA1E86">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提供材料详见招标文件第六章“报价文件”</w:t>
            </w:r>
          </w:p>
          <w:p w14:paraId="1B264234">
            <w:pPr>
              <w:adjustRightInd w:val="0"/>
              <w:snapToGrid w:val="0"/>
              <w:spacing w:line="288" w:lineRule="auto"/>
              <w:jc w:val="left"/>
              <w:rPr>
                <w:rFonts w:hint="eastAsia" w:ascii="宋体" w:hAnsi="宋体"/>
                <w:b/>
                <w:bCs/>
                <w:color w:val="auto"/>
                <w:sz w:val="21"/>
                <w:szCs w:val="21"/>
                <w:highlight w:val="none"/>
              </w:rPr>
            </w:pPr>
            <w:r>
              <w:rPr>
                <w:rFonts w:hint="eastAsia" w:ascii="宋体" w:hAnsi="宋体"/>
                <w:b/>
                <w:bCs/>
                <w:color w:val="auto"/>
                <w:sz w:val="21"/>
                <w:szCs w:val="21"/>
                <w:highlight w:val="none"/>
              </w:rPr>
              <w:t>本项目属性为：货物</w:t>
            </w:r>
          </w:p>
          <w:p w14:paraId="1DACF073">
            <w:pPr>
              <w:adjustRightInd w:val="0"/>
              <w:snapToGrid w:val="0"/>
              <w:spacing w:line="288" w:lineRule="auto"/>
              <w:jc w:val="left"/>
              <w:rPr>
                <w:rFonts w:hint="eastAsia" w:ascii="宋体" w:hAnsi="宋体" w:eastAsia="宋体"/>
                <w:b/>
                <w:bCs/>
                <w:color w:val="auto"/>
                <w:sz w:val="21"/>
                <w:szCs w:val="21"/>
                <w:highlight w:val="none"/>
                <w:lang w:val="en-US" w:eastAsia="zh-CN"/>
              </w:rPr>
            </w:pPr>
            <w:r>
              <w:rPr>
                <w:rFonts w:hint="eastAsia" w:ascii="宋体" w:hAnsi="宋体"/>
                <w:b/>
                <w:bCs/>
                <w:color w:val="auto"/>
                <w:sz w:val="21"/>
                <w:szCs w:val="21"/>
                <w:highlight w:val="none"/>
              </w:rPr>
              <w:t>采购标的对应的中小企业划分标准所属行业：</w:t>
            </w:r>
            <w:r>
              <w:rPr>
                <w:rFonts w:hint="eastAsia" w:ascii="宋体" w:hAnsi="宋体"/>
                <w:b/>
                <w:bCs/>
                <w:color w:val="auto"/>
                <w:sz w:val="21"/>
                <w:szCs w:val="21"/>
                <w:highlight w:val="none"/>
                <w:lang w:val="en-US" w:eastAsia="zh-CN"/>
              </w:rPr>
              <w:t>工业</w:t>
            </w:r>
          </w:p>
          <w:p w14:paraId="545B4F6E">
            <w:pPr>
              <w:adjustRightInd w:val="0"/>
              <w:snapToGrid w:val="0"/>
              <w:spacing w:line="288" w:lineRule="auto"/>
              <w:jc w:val="left"/>
              <w:rPr>
                <w:rFonts w:ascii="宋体" w:hAnsi="宋体" w:cs="宋体"/>
                <w:b/>
                <w:bCs/>
                <w:color w:val="auto"/>
                <w:sz w:val="21"/>
                <w:szCs w:val="21"/>
                <w:highlight w:val="none"/>
              </w:rPr>
            </w:pPr>
            <w:r>
              <w:rPr>
                <w:rFonts w:hint="eastAsia" w:ascii="宋体" w:hAnsi="宋体"/>
                <w:b/>
                <w:bCs/>
                <w:color w:val="auto"/>
                <w:sz w:val="21"/>
                <w:szCs w:val="21"/>
                <w:highlight w:val="none"/>
              </w:rPr>
              <w:t>中小企业划型标准：</w:t>
            </w:r>
            <w:r>
              <w:rPr>
                <w:rFonts w:hint="eastAsia" w:ascii="宋体" w:hAnsi="宋体"/>
                <w:b w:val="0"/>
                <w:bCs w:val="0"/>
                <w:color w:val="auto"/>
                <w:sz w:val="21"/>
                <w:szCs w:val="21"/>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0EB4B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5F0F6DE6">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6</w:t>
            </w:r>
          </w:p>
        </w:tc>
        <w:tc>
          <w:tcPr>
            <w:tcW w:w="3256" w:type="dxa"/>
            <w:noWrap w:val="0"/>
            <w:vAlign w:val="center"/>
          </w:tcPr>
          <w:p w14:paraId="1ECBE725">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政府采购支持监狱企业发展</w:t>
            </w:r>
          </w:p>
        </w:tc>
        <w:tc>
          <w:tcPr>
            <w:tcW w:w="5529" w:type="dxa"/>
            <w:noWrap w:val="0"/>
            <w:vAlign w:val="center"/>
          </w:tcPr>
          <w:p w14:paraId="0ABAF78B">
            <w:pPr>
              <w:adjustRightInd w:val="0"/>
              <w:snapToGrid w:val="0"/>
              <w:spacing w:line="288" w:lineRule="auto"/>
              <w:jc w:val="left"/>
              <w:rPr>
                <w:rFonts w:ascii="宋体" w:hAnsi="宋体"/>
                <w:b/>
                <w:bCs/>
                <w:color w:val="auto"/>
                <w:sz w:val="21"/>
                <w:szCs w:val="21"/>
                <w:highlight w:val="none"/>
              </w:rPr>
            </w:pPr>
            <w:r>
              <w:rPr>
                <w:rFonts w:hint="eastAsia" w:ascii="宋体" w:hAnsi="宋体" w:cs="宋体"/>
                <w:color w:val="auto"/>
                <w:sz w:val="21"/>
                <w:szCs w:val="21"/>
                <w:highlight w:val="none"/>
              </w:rPr>
              <w:t>提供材料详见招标文件第六章“报价文件”</w:t>
            </w:r>
          </w:p>
        </w:tc>
      </w:tr>
      <w:tr w14:paraId="16D2F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noWrap w:val="0"/>
            <w:vAlign w:val="center"/>
          </w:tcPr>
          <w:p w14:paraId="617432D6">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7</w:t>
            </w:r>
          </w:p>
        </w:tc>
        <w:tc>
          <w:tcPr>
            <w:tcW w:w="3256" w:type="dxa"/>
            <w:noWrap w:val="0"/>
            <w:vAlign w:val="center"/>
          </w:tcPr>
          <w:p w14:paraId="52E2FB82">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政府采购促进残疾人就业</w:t>
            </w:r>
          </w:p>
        </w:tc>
        <w:tc>
          <w:tcPr>
            <w:tcW w:w="5529" w:type="dxa"/>
            <w:noWrap w:val="0"/>
            <w:vAlign w:val="center"/>
          </w:tcPr>
          <w:p w14:paraId="5100C933">
            <w:pPr>
              <w:adjustRightInd w:val="0"/>
              <w:snapToGrid w:val="0"/>
              <w:spacing w:line="288"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提供材料详见招标文件第六章“报价文件”</w:t>
            </w:r>
          </w:p>
        </w:tc>
      </w:tr>
      <w:bookmarkEnd w:id="0"/>
    </w:tbl>
    <w:p w14:paraId="3BD6F9BB">
      <w:pPr>
        <w:adjustRightInd w:val="0"/>
        <w:snapToGrid w:val="0"/>
        <w:spacing w:line="288" w:lineRule="auto"/>
        <w:rPr>
          <w:rFonts w:ascii="宋体" w:hAnsi="宋体"/>
          <w:sz w:val="21"/>
          <w:szCs w:val="21"/>
          <w:highlight w:val="none"/>
        </w:rPr>
      </w:pPr>
    </w:p>
    <w:p w14:paraId="0EB836AF">
      <w:pPr>
        <w:adjustRightInd w:val="0"/>
        <w:snapToGrid w:val="0"/>
        <w:spacing w:line="288" w:lineRule="auto"/>
        <w:outlineLvl w:val="1"/>
        <w:rPr>
          <w:rFonts w:ascii="宋体" w:hAnsi="宋体"/>
          <w:b/>
          <w:sz w:val="21"/>
          <w:szCs w:val="21"/>
          <w:highlight w:val="none"/>
        </w:rPr>
      </w:pPr>
      <w:r>
        <w:rPr>
          <w:rFonts w:hint="eastAsia" w:ascii="宋体" w:hAnsi="宋体"/>
          <w:b/>
          <w:sz w:val="21"/>
          <w:szCs w:val="21"/>
          <w:highlight w:val="none"/>
        </w:rPr>
        <w:t>二</w:t>
      </w:r>
      <w:r>
        <w:rPr>
          <w:rFonts w:ascii="宋体" w:hAnsi="宋体"/>
          <w:b/>
          <w:sz w:val="21"/>
          <w:szCs w:val="21"/>
          <w:highlight w:val="none"/>
        </w:rPr>
        <w:t>、</w:t>
      </w:r>
      <w:r>
        <w:rPr>
          <w:rFonts w:hint="eastAsia" w:ascii="宋体" w:hAnsi="宋体"/>
          <w:b/>
          <w:sz w:val="21"/>
          <w:szCs w:val="21"/>
          <w:highlight w:val="none"/>
        </w:rPr>
        <w:t>采购资金的支付方式、时间、条件：</w:t>
      </w:r>
    </w:p>
    <w:tbl>
      <w:tblPr>
        <w:tblStyle w:val="3"/>
        <w:tblW w:w="9493"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14:paraId="3231BF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42C87088">
            <w:pPr>
              <w:adjustRightInd w:val="0"/>
              <w:snapToGrid w:val="0"/>
              <w:spacing w:line="288" w:lineRule="auto"/>
              <w:jc w:val="center"/>
              <w:rPr>
                <w:rFonts w:ascii="宋体" w:hAnsi="宋体"/>
                <w:b/>
                <w:spacing w:val="-6"/>
                <w:sz w:val="21"/>
                <w:szCs w:val="21"/>
                <w:highlight w:val="none"/>
              </w:rPr>
            </w:pPr>
            <w:bookmarkStart w:id="1" w:name="_Hlk45005608"/>
            <w:r>
              <w:rPr>
                <w:rFonts w:hint="eastAsia" w:ascii="宋体" w:hAnsi="宋体"/>
                <w:b/>
                <w:spacing w:val="-6"/>
                <w:sz w:val="21"/>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noWrap w:val="0"/>
            <w:vAlign w:val="center"/>
          </w:tcPr>
          <w:p w14:paraId="0CF2DAA6">
            <w:pPr>
              <w:autoSpaceDE w:val="0"/>
              <w:autoSpaceDN w:val="0"/>
              <w:adjustRightInd w:val="0"/>
              <w:snapToGrid w:val="0"/>
              <w:spacing w:line="288" w:lineRule="auto"/>
              <w:jc w:val="left"/>
              <w:rPr>
                <w:rFonts w:ascii="宋体" w:hAnsi="宋体" w:cs="宋体"/>
                <w:spacing w:val="-6"/>
                <w:kern w:val="0"/>
                <w:sz w:val="21"/>
                <w:szCs w:val="21"/>
                <w:highlight w:val="none"/>
              </w:rPr>
            </w:pPr>
            <w:r>
              <w:rPr>
                <w:rFonts w:ascii="宋体" w:hAnsi="宋体" w:cs="宋体"/>
                <w:spacing w:val="-6"/>
                <w:kern w:val="0"/>
                <w:sz w:val="21"/>
                <w:szCs w:val="21"/>
                <w:highlight w:val="none"/>
              </w:rPr>
              <w:t>1、</w:t>
            </w:r>
            <w:r>
              <w:rPr>
                <w:rFonts w:hint="eastAsia" w:ascii="宋体" w:hAnsi="宋体" w:cs="宋体"/>
                <w:spacing w:val="-6"/>
                <w:kern w:val="0"/>
                <w:sz w:val="21"/>
                <w:szCs w:val="21"/>
                <w:highlight w:val="none"/>
              </w:rPr>
              <w:t>货款支付方式：</w:t>
            </w:r>
          </w:p>
          <w:p w14:paraId="1289D5F0">
            <w:pPr>
              <w:autoSpaceDE w:val="0"/>
              <w:autoSpaceDN w:val="0"/>
              <w:adjustRightInd w:val="0"/>
              <w:snapToGrid w:val="0"/>
              <w:spacing w:line="288" w:lineRule="auto"/>
              <w:jc w:val="left"/>
              <w:rPr>
                <w:rFonts w:hint="eastAsia" w:ascii="宋体" w:hAnsi="宋体" w:cs="宋体"/>
                <w:spacing w:val="-6"/>
                <w:kern w:val="0"/>
                <w:sz w:val="21"/>
                <w:szCs w:val="21"/>
                <w:highlight w:val="none"/>
              </w:rPr>
            </w:pPr>
            <w:r>
              <w:rPr>
                <w:rFonts w:hint="eastAsia" w:ascii="宋体" w:hAnsi="宋体" w:cs="宋体"/>
                <w:spacing w:val="-6"/>
                <w:kern w:val="0"/>
                <w:sz w:val="21"/>
                <w:szCs w:val="21"/>
                <w:highlight w:val="none"/>
              </w:rPr>
              <w:t>(1)国产设备及境内直接供货的进口设备:货到经安装调试,用户认定合格后，凭用户出具的安装调试报告支付90%货款(如供应商支付10%履约保证金，付全款。保证金在验收后无息退还);验收合格后凭用户出具的验收报告支付10%货款。</w:t>
            </w:r>
          </w:p>
          <w:p w14:paraId="242E7B51">
            <w:pPr>
              <w:autoSpaceDE w:val="0"/>
              <w:autoSpaceDN w:val="0"/>
              <w:adjustRightInd w:val="0"/>
              <w:snapToGrid w:val="0"/>
              <w:spacing w:line="288" w:lineRule="auto"/>
              <w:jc w:val="left"/>
              <w:rPr>
                <w:rFonts w:hint="eastAsia" w:ascii="宋体" w:hAnsi="宋体" w:cs="宋体"/>
                <w:spacing w:val="-6"/>
                <w:kern w:val="0"/>
                <w:sz w:val="21"/>
                <w:szCs w:val="21"/>
                <w:highlight w:val="none"/>
              </w:rPr>
            </w:pPr>
            <w:r>
              <w:rPr>
                <w:rFonts w:hint="eastAsia" w:ascii="宋体" w:hAnsi="宋体" w:cs="宋体"/>
                <w:spacing w:val="-6"/>
                <w:kern w:val="0"/>
                <w:sz w:val="21"/>
                <w:szCs w:val="21"/>
                <w:highlight w:val="none"/>
              </w:rPr>
              <w:t>(2)境外供货的设备，在外贸公司签订外贸合同、办出免表后，如外贸公司已开出信用证或境外公司出具一个月内发货说明后，由需方向外贸公司付全款:外贸公司凭装运单支付境外公司90%货款(如供应商支付10%履约保证金，付全款。保证金在验收后无息退还);验收合格后凭用户出具的验收报告支付尾款。</w:t>
            </w:r>
          </w:p>
          <w:p w14:paraId="26536970">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2、货款的结算：</w:t>
            </w:r>
          </w:p>
          <w:p w14:paraId="5F1C6041">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国产设备及境内直接供货的进口设备货款由需方负责支付。</w:t>
            </w:r>
          </w:p>
          <w:p w14:paraId="0259249B">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开票信息：开具增值税专用发票；</w:t>
            </w:r>
          </w:p>
          <w:p w14:paraId="20294C70">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抬头：浙江大学</w:t>
            </w:r>
          </w:p>
          <w:p w14:paraId="154F8E98">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纳税人识别号：12100000470095016Q</w:t>
            </w:r>
          </w:p>
          <w:p w14:paraId="05B008F7">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地址：杭州市余杭塘路866号，电话88981919</w:t>
            </w:r>
          </w:p>
          <w:p w14:paraId="1EEA1ECC">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开户行：农行杭州市浙大支行紫金港支行</w:t>
            </w:r>
          </w:p>
          <w:p w14:paraId="1E9DD7CF">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账号：19042201040000014</w:t>
            </w:r>
          </w:p>
          <w:p w14:paraId="3566DCBE">
            <w:pPr>
              <w:autoSpaceDE w:val="0"/>
              <w:autoSpaceDN w:val="0"/>
              <w:adjustRightInd w:val="0"/>
              <w:snapToGrid w:val="0"/>
              <w:spacing w:line="288" w:lineRule="auto"/>
              <w:jc w:val="left"/>
              <w:rPr>
                <w:rFonts w:hint="eastAsia" w:ascii="宋体" w:hAnsi="宋体" w:eastAsia="宋体" w:cs="宋体"/>
                <w:spacing w:val="-6"/>
                <w:kern w:val="0"/>
                <w:sz w:val="21"/>
                <w:szCs w:val="21"/>
                <w:highlight w:val="none"/>
                <w:lang w:val="en-US" w:eastAsia="zh-CN" w:bidi="ar-SA"/>
              </w:rPr>
            </w:pPr>
            <w:r>
              <w:rPr>
                <w:rFonts w:hint="eastAsia" w:ascii="宋体" w:hAnsi="宋体" w:cs="宋体"/>
                <w:spacing w:val="-6"/>
                <w:kern w:val="0"/>
                <w:sz w:val="21"/>
                <w:szCs w:val="21"/>
                <w:highlight w:val="none"/>
              </w:rPr>
              <w:t>行号：103331004223</w:t>
            </w:r>
          </w:p>
        </w:tc>
      </w:tr>
      <w:bookmarkEnd w:id="1"/>
    </w:tbl>
    <w:p w14:paraId="220164FD">
      <w:pPr>
        <w:adjustRightInd w:val="0"/>
        <w:snapToGrid w:val="0"/>
        <w:spacing w:line="288" w:lineRule="auto"/>
        <w:ind w:left="238" w:hanging="238" w:hangingChars="113"/>
        <w:rPr>
          <w:rFonts w:ascii="宋体" w:hAnsi="宋体"/>
          <w:b/>
          <w:sz w:val="21"/>
          <w:szCs w:val="21"/>
          <w:highlight w:val="none"/>
        </w:rPr>
      </w:pPr>
    </w:p>
    <w:p w14:paraId="403A740C">
      <w:pPr>
        <w:adjustRightInd w:val="0"/>
        <w:snapToGrid w:val="0"/>
        <w:spacing w:line="288" w:lineRule="auto"/>
        <w:ind w:left="238" w:hanging="238" w:hangingChars="113"/>
        <w:outlineLvl w:val="1"/>
        <w:rPr>
          <w:rFonts w:ascii="宋体" w:hAnsi="宋体"/>
          <w:b/>
          <w:sz w:val="21"/>
          <w:szCs w:val="21"/>
          <w:highlight w:val="none"/>
        </w:rPr>
      </w:pPr>
      <w:r>
        <w:rPr>
          <w:rFonts w:hint="eastAsia" w:ascii="宋体" w:hAnsi="宋体"/>
          <w:b/>
          <w:sz w:val="21"/>
          <w:szCs w:val="21"/>
          <w:highlight w:val="none"/>
        </w:rPr>
        <w:t>三</w:t>
      </w:r>
      <w:r>
        <w:rPr>
          <w:rFonts w:ascii="宋体" w:hAnsi="宋体"/>
          <w:b/>
          <w:sz w:val="21"/>
          <w:szCs w:val="21"/>
          <w:highlight w:val="none"/>
        </w:rPr>
        <w:t>、</w:t>
      </w:r>
      <w:r>
        <w:rPr>
          <w:rFonts w:hint="eastAsia" w:ascii="宋体" w:hAnsi="宋体"/>
          <w:b/>
          <w:sz w:val="21"/>
          <w:szCs w:val="21"/>
          <w:highlight w:val="none"/>
        </w:rPr>
        <w:t>服务</w:t>
      </w:r>
      <w:r>
        <w:rPr>
          <w:rFonts w:ascii="宋体" w:hAnsi="宋体"/>
          <w:b/>
          <w:sz w:val="21"/>
          <w:szCs w:val="21"/>
          <w:highlight w:val="none"/>
        </w:rPr>
        <w:t>要求</w:t>
      </w:r>
      <w:r>
        <w:rPr>
          <w:rFonts w:hint="eastAsia" w:ascii="宋体" w:hAnsi="宋体"/>
          <w:b/>
          <w:spacing w:val="-6"/>
          <w:sz w:val="21"/>
          <w:szCs w:val="21"/>
          <w:highlight w:val="none"/>
        </w:rPr>
        <w:t>（技术要求里另有注明的以技术要求为准）</w:t>
      </w:r>
      <w:r>
        <w:rPr>
          <w:rFonts w:ascii="宋体" w:hAnsi="宋体"/>
          <w:b/>
          <w:sz w:val="21"/>
          <w:szCs w:val="21"/>
          <w:highlight w:val="none"/>
        </w:rPr>
        <w:t>：</w:t>
      </w:r>
    </w:p>
    <w:tbl>
      <w:tblPr>
        <w:tblStyle w:val="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58207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1E72B5A4">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733AD56F">
            <w:pPr>
              <w:adjustRightInd w:val="0"/>
              <w:snapToGrid w:val="0"/>
              <w:spacing w:line="288" w:lineRule="auto"/>
              <w:rPr>
                <w:rFonts w:hint="default" w:ascii="宋体" w:hAnsi="宋体" w:eastAsia="宋体" w:cs="宋体"/>
                <w:sz w:val="21"/>
                <w:szCs w:val="21"/>
                <w:highlight w:val="none"/>
                <w:lang w:val="en-US"/>
              </w:rPr>
            </w:pPr>
            <w:r>
              <w:rPr>
                <w:rFonts w:hint="eastAsia" w:ascii="宋体" w:hAnsi="宋体" w:eastAsia="宋体" w:cs="宋体"/>
                <w:sz w:val="21"/>
                <w:szCs w:val="21"/>
                <w:highlight w:val="none"/>
              </w:rPr>
              <w:t>合同签订后</w:t>
            </w:r>
            <w:r>
              <w:rPr>
                <w:rFonts w:hint="eastAsia" w:ascii="宋体" w:hAnsi="宋体" w:cs="宋体"/>
                <w:sz w:val="21"/>
                <w:szCs w:val="21"/>
                <w:highlight w:val="none"/>
                <w:lang w:val="en-US" w:eastAsia="zh-CN"/>
              </w:rPr>
              <w:t>5个月内</w:t>
            </w:r>
          </w:p>
        </w:tc>
      </w:tr>
      <w:tr w14:paraId="1245F1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76818073">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20FAB363">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采购人指定地点</w:t>
            </w:r>
          </w:p>
        </w:tc>
      </w:tr>
      <w:tr w14:paraId="6C6933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5D41E599">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sz w:val="21"/>
                <w:szCs w:val="21"/>
                <w:highlight w:val="none"/>
              </w:rPr>
              <w:t>▲</w:t>
            </w:r>
            <w:r>
              <w:rPr>
                <w:rFonts w:hint="eastAsia" w:ascii="宋体" w:hAnsi="宋体" w:eastAsia="宋体" w:cs="宋体"/>
                <w:b/>
                <w:bCs/>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26AB32BE">
            <w:pPr>
              <w:adjustRightInd w:val="0"/>
              <w:snapToGrid w:val="0"/>
              <w:spacing w:line="288" w:lineRule="auto"/>
              <w:rPr>
                <w:rFonts w:ascii="宋体" w:hAnsi="宋体" w:eastAsia="宋体" w:cs="宋体"/>
                <w:sz w:val="21"/>
                <w:szCs w:val="21"/>
                <w:highlight w:val="none"/>
              </w:rPr>
            </w:pPr>
            <w:r>
              <w:rPr>
                <w:rFonts w:hint="eastAsia" w:ascii="宋体" w:hAnsi="宋体" w:cs="宋体"/>
                <w:sz w:val="21"/>
                <w:szCs w:val="21"/>
                <w:highlight w:val="none"/>
                <w:lang w:val="en-US" w:eastAsia="zh-CN"/>
              </w:rPr>
              <w:t>原厂质保1</w:t>
            </w:r>
            <w:r>
              <w:rPr>
                <w:rFonts w:hint="eastAsia" w:ascii="宋体" w:hAnsi="宋体" w:eastAsia="宋体" w:cs="宋体"/>
                <w:sz w:val="21"/>
                <w:szCs w:val="21"/>
                <w:highlight w:val="none"/>
              </w:rPr>
              <w:t>年，项目验收合格后开始计算。</w:t>
            </w:r>
          </w:p>
        </w:tc>
      </w:tr>
      <w:tr w14:paraId="0F6F3F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05"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752AFFAD">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5B9E00C4">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1</w:t>
            </w:r>
            <w:r>
              <w:rPr>
                <w:rFonts w:hint="eastAsia" w:ascii="宋体" w:hAnsi="宋体" w:eastAsia="宋体" w:cs="宋体"/>
                <w:sz w:val="21"/>
                <w:szCs w:val="21"/>
                <w:highlight w:val="none"/>
              </w:rPr>
              <w:t>.在质保期内，供应商应对货物出现的质量及安全问题负责处理解决并承担一切费用。</w:t>
            </w:r>
          </w:p>
          <w:p w14:paraId="0EED8774">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质保期内出现无法排除的故障，供应商需无条件更换同型号产品。</w:t>
            </w:r>
          </w:p>
          <w:p w14:paraId="5E0BF65A">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质保期满后，供应商继续为采购人服务，仅收取零配件成本费。</w:t>
            </w:r>
          </w:p>
          <w:p w14:paraId="5981954B">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4.</w:t>
            </w:r>
            <w:r>
              <w:rPr>
                <w:rFonts w:hint="eastAsia" w:ascii="宋体" w:hAnsi="宋体" w:eastAsia="宋体" w:cs="宋体"/>
                <w:sz w:val="21"/>
                <w:szCs w:val="21"/>
                <w:highlight w:val="none"/>
              </w:rPr>
              <w:t>因人为因素出现的故障不在免费保修范围内。</w:t>
            </w:r>
          </w:p>
          <w:p w14:paraId="22E88C9C">
            <w:pPr>
              <w:adjustRightInd w:val="0"/>
              <w:snapToGrid w:val="0"/>
              <w:spacing w:line="288" w:lineRule="auto"/>
              <w:rPr>
                <w:rFonts w:ascii="宋体" w:hAnsi="宋体" w:eastAsia="宋体" w:cs="宋体"/>
                <w:sz w:val="21"/>
                <w:szCs w:val="21"/>
                <w:highlight w:val="none"/>
                <w:u w:val="single"/>
              </w:rPr>
            </w:pPr>
            <w:r>
              <w:rPr>
                <w:rFonts w:ascii="宋体" w:hAnsi="宋体" w:eastAsia="宋体" w:cs="宋体"/>
                <w:sz w:val="21"/>
                <w:szCs w:val="21"/>
                <w:highlight w:val="none"/>
              </w:rPr>
              <w:t>5</w:t>
            </w:r>
            <w:r>
              <w:rPr>
                <w:rFonts w:hint="eastAsia" w:ascii="宋体" w:hAnsi="宋体" w:eastAsia="宋体" w:cs="宋体"/>
                <w:sz w:val="21"/>
                <w:szCs w:val="21"/>
                <w:highlight w:val="none"/>
              </w:rPr>
              <w:t>.</w:t>
            </w:r>
            <w:r>
              <w:rPr>
                <w:rFonts w:hint="eastAsia" w:ascii="宋体" w:hAnsi="宋体" w:eastAsia="宋体" w:cs="宋体"/>
                <w:sz w:val="21"/>
                <w:szCs w:val="21"/>
                <w:highlight w:val="none"/>
                <w:u w:val="none"/>
              </w:rPr>
              <w:t>如在使用过程中发生质量问题，供应商维修响应时间：</w:t>
            </w:r>
            <w:r>
              <w:rPr>
                <w:rFonts w:hint="eastAsia" w:ascii="宋体" w:hAnsi="宋体" w:cs="宋体"/>
                <w:sz w:val="21"/>
                <w:szCs w:val="21"/>
                <w:highlight w:val="none"/>
                <w:u w:val="single"/>
                <w:lang w:val="en-US" w:eastAsia="zh-CN"/>
              </w:rPr>
              <w:t>4</w:t>
            </w:r>
            <w:r>
              <w:rPr>
                <w:rFonts w:hint="eastAsia" w:ascii="宋体" w:hAnsi="宋体" w:eastAsia="宋体" w:cs="宋体"/>
                <w:sz w:val="21"/>
                <w:szCs w:val="21"/>
                <w:highlight w:val="none"/>
                <w:u w:val="single"/>
              </w:rPr>
              <w:t>小时以内；</w:t>
            </w:r>
          </w:p>
          <w:p w14:paraId="364FF0B5">
            <w:pPr>
              <w:adjustRightInd w:val="0"/>
              <w:snapToGrid w:val="0"/>
              <w:spacing w:line="288" w:lineRule="auto"/>
              <w:rPr>
                <w:rFonts w:ascii="宋体" w:hAnsi="宋体" w:eastAsia="宋体" w:cs="宋体"/>
                <w:sz w:val="21"/>
                <w:szCs w:val="21"/>
                <w:highlight w:val="none"/>
                <w:u w:val="single"/>
              </w:rPr>
            </w:pPr>
            <w:r>
              <w:rPr>
                <w:rFonts w:hint="eastAsia" w:ascii="宋体" w:hAnsi="宋体" w:eastAsia="宋体" w:cs="宋体"/>
                <w:sz w:val="21"/>
                <w:szCs w:val="21"/>
                <w:highlight w:val="none"/>
                <w:u w:val="none"/>
              </w:rPr>
              <w:t>电话技术支持时间：</w:t>
            </w:r>
            <w:r>
              <w:rPr>
                <w:rFonts w:hint="eastAsia" w:ascii="宋体" w:hAnsi="宋体" w:cs="宋体"/>
                <w:sz w:val="21"/>
                <w:szCs w:val="21"/>
                <w:highlight w:val="none"/>
                <w:u w:val="single"/>
                <w:lang w:val="en-US" w:eastAsia="zh-CN"/>
              </w:rPr>
              <w:t>4</w:t>
            </w:r>
            <w:r>
              <w:rPr>
                <w:rFonts w:hint="eastAsia" w:ascii="宋体" w:hAnsi="宋体" w:eastAsia="宋体" w:cs="宋体"/>
                <w:sz w:val="21"/>
                <w:szCs w:val="21"/>
                <w:highlight w:val="none"/>
                <w:u w:val="single"/>
              </w:rPr>
              <w:t>小时以内；</w:t>
            </w:r>
          </w:p>
          <w:p w14:paraId="7F1E64D4">
            <w:pPr>
              <w:adjustRightInd w:val="0"/>
              <w:snapToGrid w:val="0"/>
              <w:spacing w:line="288"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rPr>
              <w:t>若需上门维修，则在：</w:t>
            </w:r>
            <w:r>
              <w:rPr>
                <w:rFonts w:hint="eastAsia" w:ascii="宋体" w:hAnsi="宋体" w:cs="宋体"/>
                <w:sz w:val="21"/>
                <w:szCs w:val="21"/>
                <w:highlight w:val="none"/>
                <w:u w:val="single"/>
                <w:lang w:val="en-US" w:eastAsia="zh-CN"/>
              </w:rPr>
              <w:t>2个工作日</w:t>
            </w:r>
            <w:r>
              <w:rPr>
                <w:rFonts w:hint="eastAsia" w:ascii="宋体" w:hAnsi="宋体" w:eastAsia="宋体" w:cs="宋体"/>
                <w:sz w:val="21"/>
                <w:szCs w:val="21"/>
                <w:highlight w:val="none"/>
                <w:u w:val="single"/>
              </w:rPr>
              <w:t>内到达现场并进行维修；</w:t>
            </w:r>
          </w:p>
          <w:p w14:paraId="2806E79A">
            <w:pPr>
              <w:adjustRightInd w:val="0"/>
              <w:snapToGrid w:val="0"/>
              <w:spacing w:line="288" w:lineRule="auto"/>
              <w:rPr>
                <w:rFonts w:hint="default"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none"/>
                <w:lang w:val="en-US" w:eastAsia="zh-CN"/>
              </w:rPr>
              <w:t>6.供应商应提供详细的</w:t>
            </w:r>
            <w:r>
              <w:rPr>
                <w:rFonts w:hint="eastAsia" w:ascii="宋体" w:hAnsi="宋体" w:eastAsia="宋体" w:cs="宋体"/>
                <w:sz w:val="21"/>
                <w:szCs w:val="21"/>
                <w:highlight w:val="none"/>
              </w:rPr>
              <w:t>售后服务方案、售后服务承诺、售后服务保障措施。</w:t>
            </w:r>
          </w:p>
        </w:tc>
      </w:tr>
      <w:tr w14:paraId="7DD5A8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57ECE462">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1DDEE890">
            <w:pPr>
              <w:adjustRightInd w:val="0"/>
              <w:snapToGrid w:val="0"/>
              <w:spacing w:line="288" w:lineRule="auto"/>
              <w:rPr>
                <w:rFonts w:hint="eastAsia" w:ascii="宋体" w:hAnsi="宋体" w:eastAsia="宋体" w:cs="Times New Roman"/>
                <w:spacing w:val="-6"/>
                <w:sz w:val="21"/>
                <w:szCs w:val="21"/>
                <w:highlight w:val="none"/>
              </w:rPr>
            </w:pPr>
            <w:r>
              <w:rPr>
                <w:rFonts w:hint="eastAsia" w:ascii="宋体" w:hAnsi="宋体" w:eastAsia="宋体" w:cs="宋体"/>
                <w:sz w:val="21"/>
                <w:szCs w:val="21"/>
                <w:highlight w:val="none"/>
              </w:rPr>
              <w:t>▲1</w:t>
            </w:r>
            <w:r>
              <w:rPr>
                <w:rFonts w:ascii="宋体" w:hAnsi="宋体" w:eastAsia="宋体" w:cs="宋体"/>
                <w:sz w:val="21"/>
                <w:szCs w:val="21"/>
                <w:highlight w:val="none"/>
              </w:rPr>
              <w:t>.</w:t>
            </w:r>
            <w:r>
              <w:rPr>
                <w:rFonts w:hint="eastAsia" w:ascii="宋体" w:hAnsi="宋体" w:eastAsia="宋体" w:cs="宋体"/>
                <w:sz w:val="21"/>
                <w:szCs w:val="21"/>
                <w:highlight w:val="none"/>
              </w:rPr>
              <w:t>供应商应按招标文件规定向采购人提供全新</w:t>
            </w:r>
            <w:r>
              <w:rPr>
                <w:rFonts w:hint="eastAsia" w:ascii="宋体" w:hAnsi="宋体" w:eastAsia="宋体" w:cs="宋体"/>
                <w:sz w:val="21"/>
                <w:szCs w:val="21"/>
                <w:highlight w:val="none"/>
                <w:lang w:val="en-US" w:eastAsia="zh-CN"/>
              </w:rPr>
              <w:t>的</w:t>
            </w:r>
            <w:r>
              <w:rPr>
                <w:rFonts w:hint="eastAsia" w:ascii="宋体" w:hAnsi="宋体" w:eastAsia="宋体" w:cs="宋体"/>
                <w:sz w:val="21"/>
                <w:szCs w:val="21"/>
                <w:highlight w:val="none"/>
              </w:rPr>
              <w:t>原装合格产品，</w:t>
            </w:r>
            <w:r>
              <w:rPr>
                <w:rFonts w:hint="eastAsia" w:ascii="宋体" w:hAnsi="宋体" w:eastAsia="宋体" w:cs="宋体"/>
                <w:sz w:val="21"/>
                <w:szCs w:val="21"/>
                <w:highlight w:val="none"/>
                <w:lang w:val="en-US" w:eastAsia="zh-CN"/>
              </w:rPr>
              <w:t>产品应</w:t>
            </w:r>
            <w:r>
              <w:rPr>
                <w:rFonts w:hint="eastAsia" w:ascii="宋体" w:hAnsi="宋体" w:eastAsia="宋体" w:cs="宋体"/>
                <w:sz w:val="21"/>
                <w:szCs w:val="21"/>
                <w:highlight w:val="none"/>
              </w:rPr>
              <w:t>符合国家法律法规规定。</w:t>
            </w:r>
            <w:r>
              <w:rPr>
                <w:rFonts w:hint="eastAsia" w:ascii="宋体" w:hAnsi="宋体" w:eastAsia="宋体" w:cs="Times New Roman"/>
                <w:spacing w:val="-6"/>
                <w:sz w:val="21"/>
                <w:szCs w:val="21"/>
                <w:highlight w:val="none"/>
              </w:rPr>
              <w:t>供应商应保证所提供的货物或其中任何一部分均不会侵犯第三方的知识产权。</w:t>
            </w:r>
          </w:p>
          <w:p w14:paraId="0A6B195A">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供应商应</w:t>
            </w:r>
            <w:r>
              <w:rPr>
                <w:rFonts w:hint="eastAsia" w:ascii="宋体" w:hAnsi="宋体" w:eastAsia="宋体" w:cs="宋体"/>
                <w:sz w:val="21"/>
                <w:szCs w:val="21"/>
                <w:highlight w:val="none"/>
              </w:rPr>
              <w:t>提供有关的全套技术文件。</w:t>
            </w:r>
          </w:p>
          <w:p w14:paraId="27EFE74F">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.安装调试：</w:t>
            </w:r>
          </w:p>
          <w:p w14:paraId="4A5A9993">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.1安装地点：采购人指定地点；</w:t>
            </w:r>
          </w:p>
          <w:p w14:paraId="46ECCEF6">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.2安装完成时间：接到采购人通知后在规定时间内完成安装和调试，如在规定的时间内由于供应商的原因不能完成安装和调试，供应商应承担由此给采购人造成的损失；</w:t>
            </w:r>
          </w:p>
          <w:p w14:paraId="2B9FC1AF">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.3如供应商委托国内代理（或其他机构）负责安装或配合安装应在签约时指明，但供应商仍要对合同货物及其安装质量负全部责任；</w:t>
            </w:r>
          </w:p>
          <w:p w14:paraId="2DC7D3F7">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.4安装标准：符合我国国家有关技术规范要求和技术标准，所有的软件和硬件必须保证同时安装到位；</w:t>
            </w:r>
          </w:p>
          <w:p w14:paraId="2ADA9B6F">
            <w:pPr>
              <w:adjustRightInd w:val="0"/>
              <w:snapToGrid w:val="0"/>
              <w:spacing w:line="288" w:lineRule="auto"/>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.5供应商免费提供合同货物的安装服务；</w:t>
            </w:r>
          </w:p>
          <w:p w14:paraId="2B3FF25D">
            <w:pPr>
              <w:adjustRightInd w:val="0"/>
              <w:snapToGrid w:val="0"/>
              <w:spacing w:line="288" w:lineRule="auto"/>
              <w:rPr>
                <w:rFonts w:hint="eastAsia"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.6供应商在投标文件中应提供安装调试计划</w:t>
            </w:r>
            <w:r>
              <w:rPr>
                <w:rFonts w:hint="eastAsia" w:ascii="宋体" w:hAnsi="宋体" w:eastAsia="宋体" w:cs="宋体"/>
                <w:sz w:val="21"/>
                <w:szCs w:val="21"/>
                <w:highlight w:val="none"/>
                <w:lang w:val="en-US" w:eastAsia="zh-CN"/>
              </w:rPr>
              <w:t>和安装调试方案</w:t>
            </w:r>
            <w:r>
              <w:rPr>
                <w:rFonts w:hint="eastAsia" w:ascii="宋体" w:hAnsi="宋体" w:eastAsia="宋体" w:cs="宋体"/>
                <w:sz w:val="21"/>
                <w:szCs w:val="21"/>
                <w:highlight w:val="none"/>
              </w:rPr>
              <w:t>。</w:t>
            </w:r>
          </w:p>
          <w:p w14:paraId="6E443C44">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.技术支持：</w:t>
            </w:r>
          </w:p>
          <w:p w14:paraId="72A063E2">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供应商应及时免费提供合同货物软件的升级，免费提供合同货物新功能和应用的资料。</w:t>
            </w:r>
          </w:p>
          <w:p w14:paraId="6C3BBCD9">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.供应商应提供质保期满后主要零部件报价单、质保期满后维护费、软件升级及其相关服务内容；</w:t>
            </w:r>
            <w:r>
              <w:rPr>
                <w:rFonts w:hint="eastAsia" w:ascii="宋体" w:hAnsi="宋体" w:eastAsia="宋体" w:cs="宋体"/>
                <w:sz w:val="21"/>
                <w:szCs w:val="21"/>
                <w:highlight w:val="none"/>
                <w:lang w:val="en-US" w:eastAsia="zh-CN"/>
              </w:rPr>
              <w:t>提供</w:t>
            </w:r>
            <w:r>
              <w:rPr>
                <w:rFonts w:hint="eastAsia" w:ascii="宋体" w:hAnsi="宋体" w:eastAsia="宋体" w:cs="宋体"/>
                <w:sz w:val="21"/>
                <w:szCs w:val="21"/>
                <w:highlight w:val="none"/>
              </w:rPr>
              <w:t>产品相关配件、附件、备品备件及耗材的准备和保障措施、消耗水平和成本</w:t>
            </w:r>
            <w:r>
              <w:rPr>
                <w:rFonts w:hint="eastAsia" w:ascii="宋体" w:hAnsi="宋体" w:eastAsia="宋体" w:cs="宋体"/>
                <w:sz w:val="21"/>
                <w:szCs w:val="21"/>
                <w:highlight w:val="none"/>
                <w:lang w:val="en-US" w:eastAsia="zh-CN"/>
              </w:rPr>
              <w:t>方案</w:t>
            </w:r>
            <w:r>
              <w:rPr>
                <w:rFonts w:hint="eastAsia" w:ascii="宋体" w:hAnsi="宋体" w:eastAsia="宋体" w:cs="宋体"/>
                <w:sz w:val="21"/>
                <w:szCs w:val="21"/>
                <w:highlight w:val="none"/>
              </w:rPr>
              <w:t>。</w:t>
            </w:r>
          </w:p>
        </w:tc>
      </w:tr>
      <w:tr w14:paraId="2EC49B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7384B641">
            <w:pPr>
              <w:adjustRightInd w:val="0"/>
              <w:snapToGrid w:val="0"/>
              <w:spacing w:line="288" w:lineRule="auto"/>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0581A1F4">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供应商应对采购人的操作人员、维修人员免费进行培训</w:t>
            </w:r>
            <w:r>
              <w:rPr>
                <w:rFonts w:hint="eastAsia" w:ascii="宋体" w:hAnsi="宋体" w:cs="宋体"/>
                <w:sz w:val="21"/>
                <w:szCs w:val="21"/>
                <w:highlight w:val="none"/>
                <w:lang w:eastAsia="zh-CN"/>
              </w:rPr>
              <w:t>（提供用户现场培训，培训时间≥3天，培训内容包括仪器的技术原理、操作、工艺、数据处理、基本维护等。）</w:t>
            </w:r>
            <w:r>
              <w:rPr>
                <w:rFonts w:hint="eastAsia" w:ascii="宋体" w:hAnsi="宋体" w:eastAsia="宋体" w:cs="宋体"/>
                <w:sz w:val="21"/>
                <w:szCs w:val="21"/>
                <w:highlight w:val="none"/>
              </w:rPr>
              <w:t>；</w:t>
            </w:r>
          </w:p>
          <w:p w14:paraId="262E16BE">
            <w:pPr>
              <w:adjustRightInd w:val="0"/>
              <w:snapToGrid w:val="0"/>
              <w:spacing w:line="288"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2.培训</w:t>
            </w:r>
            <w:r>
              <w:rPr>
                <w:rFonts w:hint="eastAsia" w:ascii="宋体" w:hAnsi="宋体" w:eastAsia="宋体" w:cs="宋体"/>
                <w:sz w:val="21"/>
                <w:szCs w:val="21"/>
                <w:highlight w:val="none"/>
              </w:rPr>
              <w:t>实现方式、时间、地点、人数应在投标文件中详细说明</w:t>
            </w:r>
            <w:r>
              <w:rPr>
                <w:rFonts w:hint="eastAsia" w:ascii="宋体" w:hAnsi="宋体" w:eastAsia="宋体" w:cs="宋体"/>
                <w:sz w:val="21"/>
                <w:szCs w:val="21"/>
                <w:highlight w:val="none"/>
                <w:lang w:eastAsia="zh-CN"/>
              </w:rPr>
              <w:t>；</w:t>
            </w:r>
          </w:p>
          <w:p w14:paraId="6C70A97F">
            <w:pPr>
              <w:adjustRightInd w:val="0"/>
              <w:snapToGrid w:val="0"/>
              <w:spacing w:line="288" w:lineRule="auto"/>
              <w:rPr>
                <w:rFonts w:ascii="宋体" w:hAnsi="宋体" w:eastAsia="宋体" w:cs="宋体"/>
                <w:b/>
                <w:bCs/>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供应商应提供相应的培训计划、培训范围，实施方案</w:t>
            </w:r>
            <w:r>
              <w:rPr>
                <w:rFonts w:hint="eastAsia" w:ascii="宋体" w:hAnsi="宋体" w:cs="宋体"/>
                <w:sz w:val="21"/>
                <w:szCs w:val="21"/>
                <w:highlight w:val="none"/>
                <w:lang w:eastAsia="zh-CN"/>
              </w:rPr>
              <w:t>。</w:t>
            </w:r>
          </w:p>
        </w:tc>
      </w:tr>
      <w:tr w14:paraId="2F10A3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24512744">
            <w:pPr>
              <w:adjustRightInd w:val="0"/>
              <w:snapToGrid w:val="0"/>
              <w:spacing w:line="288"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知识产权的归属和处理方式</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20944E97">
            <w:pPr>
              <w:adjustRightInd w:val="0"/>
              <w:snapToGrid w:val="0"/>
              <w:spacing w:line="288"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供应商</w:t>
            </w:r>
            <w:r>
              <w:rPr>
                <w:rFonts w:hint="eastAsia" w:ascii="宋体" w:hAnsi="宋体" w:eastAsia="宋体" w:cs="宋体"/>
                <w:sz w:val="21"/>
                <w:szCs w:val="21"/>
                <w:highlight w:val="none"/>
              </w:rPr>
              <w:t>保证其提供的货物及服务不存在任何侵犯第三方知识产权及其他权利的情形，采购</w:t>
            </w:r>
            <w:r>
              <w:rPr>
                <w:rFonts w:hint="eastAsia" w:ascii="宋体" w:hAnsi="宋体" w:cs="宋体"/>
                <w:sz w:val="21"/>
                <w:szCs w:val="21"/>
                <w:highlight w:val="none"/>
                <w:lang w:val="en-US" w:eastAsia="zh-CN"/>
              </w:rPr>
              <w:t>人</w:t>
            </w:r>
            <w:r>
              <w:rPr>
                <w:rFonts w:hint="eastAsia" w:ascii="宋体" w:hAnsi="宋体" w:eastAsia="宋体" w:cs="宋体"/>
                <w:sz w:val="21"/>
                <w:szCs w:val="21"/>
                <w:highlight w:val="none"/>
              </w:rPr>
              <w:t>在使用该货物及服务时不因该货物及服务的知识产权而受到任何限制。采购</w:t>
            </w:r>
            <w:r>
              <w:rPr>
                <w:rFonts w:hint="eastAsia" w:ascii="宋体" w:hAnsi="宋体" w:cs="宋体"/>
                <w:sz w:val="21"/>
                <w:szCs w:val="21"/>
                <w:highlight w:val="none"/>
                <w:lang w:val="en-US" w:eastAsia="zh-CN"/>
              </w:rPr>
              <w:t>人</w:t>
            </w:r>
            <w:r>
              <w:rPr>
                <w:rFonts w:hint="eastAsia" w:ascii="宋体" w:hAnsi="宋体" w:eastAsia="宋体" w:cs="宋体"/>
                <w:sz w:val="21"/>
                <w:szCs w:val="21"/>
                <w:highlight w:val="none"/>
              </w:rPr>
              <w:t>使用该设备取得的专利及知识产权归采购</w:t>
            </w:r>
            <w:r>
              <w:rPr>
                <w:rFonts w:hint="eastAsia" w:ascii="宋体" w:hAnsi="宋体" w:cs="宋体"/>
                <w:sz w:val="21"/>
                <w:szCs w:val="21"/>
                <w:highlight w:val="none"/>
                <w:lang w:val="en-US" w:eastAsia="zh-CN"/>
              </w:rPr>
              <w:t>人</w:t>
            </w:r>
            <w:r>
              <w:rPr>
                <w:rFonts w:hint="eastAsia" w:ascii="宋体" w:hAnsi="宋体" w:eastAsia="宋体" w:cs="宋体"/>
                <w:sz w:val="21"/>
                <w:szCs w:val="21"/>
                <w:highlight w:val="none"/>
              </w:rPr>
              <w:t>所有。</w:t>
            </w:r>
          </w:p>
        </w:tc>
      </w:tr>
      <w:tr w14:paraId="3567AB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noWrap w:val="0"/>
            <w:vAlign w:val="center"/>
          </w:tcPr>
          <w:p w14:paraId="0C5A8C71">
            <w:pPr>
              <w:adjustRightInd w:val="0"/>
              <w:snapToGrid w:val="0"/>
              <w:spacing w:line="288"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noWrap w:val="0"/>
            <w:vAlign w:val="center"/>
          </w:tcPr>
          <w:p w14:paraId="476C7246">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1.验收由采购人负责实施；</w:t>
            </w:r>
          </w:p>
          <w:p w14:paraId="44C27DF5">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2.验收依据：</w:t>
            </w:r>
          </w:p>
          <w:p w14:paraId="43C36A39">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2.1合同、招标文件、投标文件；</w:t>
            </w:r>
          </w:p>
          <w:p w14:paraId="0D0A7DA5">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2.2供应商提供的技术规格、经采购人认可的合同货物的有效检验文件；</w:t>
            </w:r>
          </w:p>
          <w:p w14:paraId="0424E12C">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2.3供应商投标文件中提供的经采购人认可的合同货物的验收标准（符合中国有关的国家、地方、行业标准）和检测办法及相应检测手段。</w:t>
            </w:r>
          </w:p>
          <w:p w14:paraId="5B9F8AB8">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14:paraId="7EBA426A">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4.验收合格的条件：</w:t>
            </w:r>
          </w:p>
          <w:p w14:paraId="4CD3D8EC">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4.1所供货物符合产品标准和合同的要求；</w:t>
            </w:r>
          </w:p>
          <w:p w14:paraId="4C03818F">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4.2在进行测试和验收过程中发现的问题已被解决并得到采购人的认可；</w:t>
            </w:r>
          </w:p>
          <w:p w14:paraId="10702129">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4.3合同中规定的所有货物和材料均已交付；</w:t>
            </w:r>
          </w:p>
          <w:p w14:paraId="0A5F3F19">
            <w:pPr>
              <w:adjustRightInd w:val="0"/>
              <w:snapToGrid w:val="0"/>
              <w:spacing w:line="288" w:lineRule="auto"/>
              <w:rPr>
                <w:rFonts w:ascii="宋体" w:hAnsi="宋体" w:eastAsia="宋体" w:cs="宋体"/>
                <w:sz w:val="21"/>
                <w:szCs w:val="21"/>
                <w:highlight w:val="none"/>
              </w:rPr>
            </w:pPr>
            <w:r>
              <w:rPr>
                <w:rFonts w:hint="eastAsia" w:ascii="宋体" w:hAnsi="宋体" w:eastAsia="宋体" w:cs="宋体"/>
                <w:sz w:val="21"/>
                <w:szCs w:val="21"/>
                <w:highlight w:val="none"/>
              </w:rPr>
              <w:t>4.4所供货物已通过使用单位组织的验收；</w:t>
            </w:r>
          </w:p>
          <w:p w14:paraId="7C04E3EF">
            <w:pPr>
              <w:adjustRightInd w:val="0"/>
              <w:snapToGrid w:val="0"/>
              <w:spacing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4.5所有相关的技术文件及资料均已提交并得到接受。</w:t>
            </w:r>
          </w:p>
        </w:tc>
      </w:tr>
    </w:tbl>
    <w:p w14:paraId="3978BC0C">
      <w:pPr>
        <w:adjustRightInd w:val="0"/>
        <w:snapToGrid w:val="0"/>
        <w:spacing w:line="288" w:lineRule="auto"/>
        <w:ind w:left="238" w:hanging="238" w:hangingChars="113"/>
        <w:rPr>
          <w:rFonts w:ascii="宋体" w:hAnsi="宋体"/>
          <w:b/>
          <w:sz w:val="21"/>
          <w:szCs w:val="21"/>
          <w:highlight w:val="none"/>
        </w:rPr>
      </w:pPr>
    </w:p>
    <w:p w14:paraId="35815BE5">
      <w:pPr>
        <w:adjustRightInd w:val="0"/>
        <w:snapToGrid w:val="0"/>
        <w:spacing w:line="288" w:lineRule="auto"/>
        <w:ind w:left="238" w:hanging="238" w:hangingChars="113"/>
        <w:outlineLvl w:val="1"/>
        <w:rPr>
          <w:rFonts w:ascii="宋体" w:hAnsi="宋体"/>
          <w:b/>
          <w:sz w:val="21"/>
          <w:szCs w:val="21"/>
          <w:highlight w:val="none"/>
        </w:rPr>
      </w:pPr>
      <w:r>
        <w:rPr>
          <w:rFonts w:hint="eastAsia" w:ascii="宋体" w:hAnsi="宋体"/>
          <w:b/>
          <w:sz w:val="21"/>
          <w:szCs w:val="21"/>
          <w:highlight w:val="none"/>
        </w:rPr>
        <w:t>四</w:t>
      </w:r>
      <w:r>
        <w:rPr>
          <w:rFonts w:ascii="宋体" w:hAnsi="宋体"/>
          <w:b/>
          <w:sz w:val="21"/>
          <w:szCs w:val="21"/>
          <w:highlight w:val="none"/>
        </w:rPr>
        <w:t>、技术要求</w:t>
      </w:r>
    </w:p>
    <w:p w14:paraId="32004C89">
      <w:pPr>
        <w:adjustRightInd w:val="0"/>
        <w:snapToGrid w:val="0"/>
        <w:spacing w:line="288" w:lineRule="auto"/>
        <w:rPr>
          <w:rFonts w:ascii="宋体" w:hAnsi="宋体"/>
          <w:sz w:val="21"/>
          <w:szCs w:val="21"/>
          <w:highlight w:val="none"/>
        </w:rPr>
      </w:pPr>
    </w:p>
    <w:p w14:paraId="0CBAABFA">
      <w:pPr>
        <w:adjustRightInd w:val="0"/>
        <w:snapToGrid w:val="0"/>
        <w:spacing w:line="288" w:lineRule="auto"/>
        <w:rPr>
          <w:rFonts w:ascii="宋体" w:hAnsi="宋体" w:cs="宋体"/>
          <w:b/>
          <w:bCs/>
          <w:sz w:val="21"/>
          <w:szCs w:val="21"/>
          <w:highlight w:val="none"/>
        </w:rPr>
      </w:pPr>
      <w:r>
        <w:rPr>
          <w:rFonts w:hint="eastAsia" w:ascii="宋体" w:hAnsi="宋体" w:cs="宋体"/>
          <w:b/>
          <w:bCs/>
          <w:sz w:val="21"/>
          <w:szCs w:val="21"/>
          <w:highlight w:val="none"/>
        </w:rPr>
        <w:t>1</w:t>
      </w:r>
      <w:r>
        <w:rPr>
          <w:rFonts w:ascii="宋体" w:hAnsi="宋体" w:cs="宋体"/>
          <w:b/>
          <w:bCs/>
          <w:sz w:val="21"/>
          <w:szCs w:val="21"/>
          <w:highlight w:val="none"/>
        </w:rPr>
        <w:t>.</w:t>
      </w:r>
      <w:r>
        <w:rPr>
          <w:rFonts w:hint="eastAsia" w:ascii="宋体" w:hAnsi="宋体" w:cs="宋体"/>
          <w:b/>
          <w:bCs/>
          <w:sz w:val="21"/>
          <w:szCs w:val="21"/>
          <w:highlight w:val="none"/>
        </w:rPr>
        <w:t>需执行的国家相关标准、行业标准、地方标准或者其他标准、规范：</w:t>
      </w:r>
      <w:bookmarkStart w:id="2" w:name="_Hlk94018176"/>
      <w:r>
        <w:rPr>
          <w:rFonts w:hint="eastAsia" w:ascii="宋体" w:hAnsi="宋体" w:cs="宋体"/>
          <w:sz w:val="21"/>
          <w:szCs w:val="21"/>
          <w:highlight w:val="none"/>
        </w:rPr>
        <w:t>如技术要求中未注明需执行的国家相关标准、行业标准、地方标准或者其他标准、规范的，执行最新标准、规范。</w:t>
      </w:r>
      <w:bookmarkEnd w:id="2"/>
    </w:p>
    <w:p w14:paraId="42FED1AB">
      <w:pPr>
        <w:adjustRightInd w:val="0"/>
        <w:snapToGrid w:val="0"/>
        <w:spacing w:line="288" w:lineRule="auto"/>
        <w:rPr>
          <w:rFonts w:ascii="宋体" w:hAnsi="宋体" w:cs="宋体"/>
          <w:b w:val="0"/>
          <w:bCs w:val="0"/>
          <w:sz w:val="21"/>
          <w:szCs w:val="21"/>
          <w:highlight w:val="none"/>
        </w:rPr>
      </w:pPr>
      <w:r>
        <w:rPr>
          <w:rFonts w:ascii="宋体" w:hAnsi="宋体" w:cs="宋体"/>
          <w:b/>
          <w:bCs/>
          <w:sz w:val="21"/>
          <w:szCs w:val="21"/>
          <w:highlight w:val="none"/>
        </w:rPr>
        <w:t>2</w:t>
      </w:r>
      <w:r>
        <w:rPr>
          <w:rFonts w:hint="eastAsia" w:ascii="宋体" w:hAnsi="宋体" w:cs="宋体"/>
          <w:b/>
          <w:bCs/>
          <w:sz w:val="21"/>
          <w:szCs w:val="21"/>
          <w:highlight w:val="none"/>
        </w:rPr>
        <w:t>.需实现的功能或者目标：</w:t>
      </w:r>
      <w:r>
        <w:rPr>
          <w:rFonts w:hint="eastAsia" w:ascii="宋体" w:hAnsi="宋体" w:cs="宋体"/>
          <w:b w:val="0"/>
          <w:bCs w:val="0"/>
          <w:sz w:val="21"/>
          <w:szCs w:val="21"/>
          <w:highlight w:val="none"/>
        </w:rPr>
        <w:t>原子力显微镜能够在大气环境环境中从微观上直接观察样品的表面形貌，以及微观的力电耦合性能。此外还能够精确的从纳米尺度上对材料的力学、电学、压电性能以及磁学等方面的性能进行表征。</w:t>
      </w:r>
    </w:p>
    <w:p w14:paraId="26F32BA3">
      <w:pPr>
        <w:adjustRightInd w:val="0"/>
        <w:snapToGrid w:val="0"/>
        <w:spacing w:line="288" w:lineRule="auto"/>
        <w:rPr>
          <w:rFonts w:ascii="宋体" w:hAnsi="宋体"/>
          <w:b/>
          <w:bCs/>
          <w:spacing w:val="-4"/>
          <w:sz w:val="21"/>
          <w:szCs w:val="21"/>
          <w:highlight w:val="none"/>
        </w:rPr>
      </w:pPr>
      <w:r>
        <w:rPr>
          <w:rFonts w:ascii="宋体" w:hAnsi="宋体"/>
          <w:b/>
          <w:bCs/>
          <w:spacing w:val="-4"/>
          <w:sz w:val="21"/>
          <w:szCs w:val="21"/>
          <w:highlight w:val="none"/>
        </w:rPr>
        <w:t>3.</w:t>
      </w:r>
      <w:r>
        <w:rPr>
          <w:rFonts w:hint="eastAsia" w:ascii="宋体" w:hAnsi="宋体"/>
          <w:b/>
          <w:bCs/>
          <w:spacing w:val="-4"/>
          <w:sz w:val="21"/>
          <w:szCs w:val="21"/>
          <w:highlight w:val="none"/>
        </w:rPr>
        <w:t>需满足的质量、安全、技术规格、物理特性等要求：</w:t>
      </w:r>
    </w:p>
    <w:tbl>
      <w:tblPr>
        <w:tblStyle w:val="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4F829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3ED1F695">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序号</w:t>
            </w:r>
          </w:p>
        </w:tc>
        <w:tc>
          <w:tcPr>
            <w:tcW w:w="1810" w:type="dxa"/>
            <w:vAlign w:val="center"/>
          </w:tcPr>
          <w:p w14:paraId="45385F54">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名称</w:t>
            </w:r>
          </w:p>
        </w:tc>
        <w:tc>
          <w:tcPr>
            <w:tcW w:w="661" w:type="dxa"/>
            <w:vAlign w:val="center"/>
          </w:tcPr>
          <w:p w14:paraId="5F2DD708">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数量</w:t>
            </w:r>
          </w:p>
        </w:tc>
        <w:tc>
          <w:tcPr>
            <w:tcW w:w="661" w:type="dxa"/>
            <w:vAlign w:val="center"/>
          </w:tcPr>
          <w:p w14:paraId="7B8380E3">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单位</w:t>
            </w:r>
          </w:p>
        </w:tc>
        <w:tc>
          <w:tcPr>
            <w:tcW w:w="6269" w:type="dxa"/>
            <w:vAlign w:val="center"/>
          </w:tcPr>
          <w:p w14:paraId="0DB21D03">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质量、安全、技术规格、物理特性等要求</w:t>
            </w:r>
          </w:p>
        </w:tc>
      </w:tr>
      <w:tr w14:paraId="074A7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6BEAE5EB">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1</w:t>
            </w:r>
          </w:p>
        </w:tc>
        <w:tc>
          <w:tcPr>
            <w:tcW w:w="1810" w:type="dxa"/>
            <w:vAlign w:val="center"/>
          </w:tcPr>
          <w:p w14:paraId="3F85E4E6">
            <w:pPr>
              <w:adjustRightInd w:val="0"/>
              <w:snapToGrid w:val="0"/>
              <w:spacing w:line="288" w:lineRule="auto"/>
              <w:jc w:val="center"/>
              <w:rPr>
                <w:rFonts w:ascii="宋体" w:hAnsi="宋体"/>
                <w:sz w:val="21"/>
                <w:szCs w:val="21"/>
                <w:highlight w:val="none"/>
              </w:rPr>
            </w:pPr>
            <w:r>
              <w:rPr>
                <w:rFonts w:hint="eastAsia" w:ascii="宋体" w:hAnsi="宋体"/>
                <w:sz w:val="21"/>
                <w:szCs w:val="21"/>
                <w:highlight w:val="none"/>
              </w:rPr>
              <w:t>原子力显微镜</w:t>
            </w:r>
          </w:p>
          <w:p w14:paraId="04061792">
            <w:pPr>
              <w:adjustRightInd w:val="0"/>
              <w:snapToGrid w:val="0"/>
              <w:spacing w:line="288" w:lineRule="auto"/>
              <w:jc w:val="center"/>
              <w:rPr>
                <w:rFonts w:ascii="宋体" w:hAnsi="宋体"/>
                <w:sz w:val="21"/>
                <w:szCs w:val="21"/>
                <w:highlight w:val="none"/>
              </w:rPr>
            </w:pPr>
            <w:r>
              <w:rPr>
                <w:rFonts w:hint="eastAsia" w:ascii="宋体" w:hAnsi="宋体"/>
                <w:b/>
                <w:bCs/>
                <w:sz w:val="21"/>
                <w:szCs w:val="21"/>
                <w:highlight w:val="none"/>
              </w:rPr>
              <w:t>（允许进口）</w:t>
            </w:r>
          </w:p>
        </w:tc>
        <w:tc>
          <w:tcPr>
            <w:tcW w:w="661" w:type="dxa"/>
            <w:vAlign w:val="center"/>
          </w:tcPr>
          <w:p w14:paraId="71BB1582">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1</w:t>
            </w:r>
          </w:p>
        </w:tc>
        <w:tc>
          <w:tcPr>
            <w:tcW w:w="661" w:type="dxa"/>
            <w:vAlign w:val="center"/>
          </w:tcPr>
          <w:p w14:paraId="2C57BB23">
            <w:pPr>
              <w:adjustRightInd w:val="0"/>
              <w:snapToGrid w:val="0"/>
              <w:spacing w:line="288" w:lineRule="auto"/>
              <w:jc w:val="center"/>
              <w:rPr>
                <w:rFonts w:ascii="宋体" w:hAnsi="宋体" w:cs="宋体"/>
                <w:sz w:val="21"/>
                <w:szCs w:val="21"/>
                <w:highlight w:val="none"/>
              </w:rPr>
            </w:pPr>
            <w:r>
              <w:rPr>
                <w:rFonts w:hint="eastAsia" w:ascii="宋体" w:hAnsi="宋体" w:cs="宋体"/>
                <w:sz w:val="21"/>
                <w:szCs w:val="21"/>
                <w:highlight w:val="none"/>
              </w:rPr>
              <w:t>套</w:t>
            </w:r>
          </w:p>
        </w:tc>
        <w:tc>
          <w:tcPr>
            <w:tcW w:w="6269" w:type="dxa"/>
            <w:vAlign w:val="center"/>
          </w:tcPr>
          <w:p w14:paraId="5E1C0CFA">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1.1工作模式：轻敲模式，接触模式，相位成像模式，横向力模式，磁场力显微镜模式，压电力显微镜模式，双频共振追踪压电力显微镜模式，矢量压电力 显微镜模式，静电力显微镜模式，扫描开尔文显微镜模式，力曲线模式，力阵列测量模式，纳米刻蚀模式，纳米操纵模式，高次谐波成像模式；</w:t>
            </w:r>
          </w:p>
          <w:p w14:paraId="0C687A7C">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1.2扫描器：</w:t>
            </w:r>
          </w:p>
          <w:p w14:paraId="1A0C268A">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▲1.2.1闭环控制XY方向的扫描范围≥120μm，Z方向的扫描范围≥15µm，并可升级到40µm；</w:t>
            </w:r>
          </w:p>
          <w:p w14:paraId="78A2C0D2">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▲1.2.2扫描器闭环噪音：X,Y轴闭环噪音≤0.6nm（Adev,1Hz到1KHz带宽），Z轴闭环噪音≤0.3nm(Adev,1Hz到1KHz测试带宽)。</w:t>
            </w:r>
          </w:p>
          <w:p w14:paraId="58C9235D">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1.2.3系统高度噪音(探针接触样品表面)≤60pm（Adev,1Hz到1KHz带宽）；</w:t>
            </w:r>
          </w:p>
          <w:p w14:paraId="6A2016F8">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1.2.4系统光学噪音(探针未接触样品表面)≤20pm；</w:t>
            </w:r>
          </w:p>
          <w:p w14:paraId="5B1464E2">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1.2.5 采用三轴分离平板扫描器, 三轴闭环控制，XY方向为样品扫描，Z方向为闭环扫描，消除了传统扫描过程中由扫描器带动探针进行XYZ三个方向移动带来的耦合弯曲效应；</w:t>
            </w:r>
          </w:p>
          <w:p w14:paraId="72682FE9">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1.2.6具有机械调零装置的加强型横向力头部，进行横向力以及压电力显微镜相关的研究。</w:t>
            </w:r>
          </w:p>
          <w:p w14:paraId="309A212F">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1.3全数字化控制器</w:t>
            </w:r>
          </w:p>
          <w:p w14:paraId="563BCD2A">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1.3.1至少两个全数字双频锁相放大器，工作带宽5MHz。</w:t>
            </w:r>
          </w:p>
          <w:p w14:paraId="0808AE32">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1.3.2一个输出频率在10MHz的双频率频率合成器，频率范围从直流到2MHz（2mHz步长）。</w:t>
            </w:r>
          </w:p>
          <w:p w14:paraId="329802DC">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1.3.3信号交换芯片：一个16×16路数字化信号交换芯片</w:t>
            </w:r>
          </w:p>
          <w:p w14:paraId="6CF2B67C">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1.4操作软件：操作软件源代码开放，用户可直接在系统操作软件上进行二次开发；AFM系统内部的信号图全部开放，支持用户对AFM中的任意信号进行调用；</w:t>
            </w:r>
          </w:p>
          <w:p w14:paraId="183741E3">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★1.5压电力显微镜模块：具有单频压电力显微镜和双频共振追踪压电力显微镜模式。双频共振追踪模式中，同时在共振峰的两侧施加两个振动频率以实时的追踪共振频率的变化；测试电压≤10V。</w:t>
            </w:r>
          </w:p>
          <w:p w14:paraId="4AC71495">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1.6高性能防震隔音系统：提供高性能的防震隔音系统，保证AFM正常工作</w:t>
            </w:r>
          </w:p>
          <w:p w14:paraId="502C6A3C">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▲1.7样品台：最大可容纳样品直径≥80mm；最大可容纳样品厚度≥27mm。</w:t>
            </w:r>
          </w:p>
          <w:p w14:paraId="7027E68A">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1.8智能编程模式：具有图标式编程代码，仅需拖动相应的图标即可实现智能编程模式。如自动实现切换扫描中心点的多次扫描。</w:t>
            </w:r>
          </w:p>
          <w:p w14:paraId="32F4947E">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1.9湿度测试模块：该模块能组成封闭的样品环境腔，样品腔中内置一个小体积的PEEK材质的样品腔和湿度传感器，测量的湿度变化范围：0-100%相对湿度（非凝结），精度为≤3.5%，此外该模块中还留有7路气体通路以进行不同气氛的环境控制。</w:t>
            </w:r>
          </w:p>
          <w:p w14:paraId="6B76BFDF">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▲1.10智能校准弹性系数： 自动校准探针的光杆杆灵敏度和弹性系数，整个过程中探针无需接触基底；</w:t>
            </w:r>
          </w:p>
          <w:p w14:paraId="1BC37C38">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 xml:space="preserve">1.11 智能编程模式：具有图标式编程代码，仅需拖动相应的图标即可实现智能编程模式。如自动实现切换扫描中心点的多次扫描； </w:t>
            </w:r>
          </w:p>
          <w:p w14:paraId="1A16F8B0">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▲1.12导电测试模式：利用导电针尖实现导电AFM成像和I/V曲线测试。电流测试范围：1pA-20nA；电流测试精度≤1pA。</w:t>
            </w:r>
          </w:p>
          <w:p w14:paraId="6333BE92">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1.13加热模块：全密闭环境下的变温，最大限度的保证样品加热的均一性，并且该环境腔上还留有气体通路能够实时控制样品腔内的气氛环境，实现特定气氛中的AFM测试，有效避免空气中的水汽在加热过程的影响。变温范围：至少包含室温-250℃，精度≤0.2℃</w:t>
            </w:r>
          </w:p>
          <w:p w14:paraId="0533385D">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2.配置要求：</w:t>
            </w:r>
          </w:p>
          <w:p w14:paraId="230BB776">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2.1原子力显微镜主机一套；</w:t>
            </w:r>
          </w:p>
          <w:p w14:paraId="1849E2E9">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2.2防震平台一个；</w:t>
            </w:r>
          </w:p>
          <w:p w14:paraId="0008D436">
            <w:pPr>
              <w:adjustRightInd w:val="0"/>
              <w:snapToGrid w:val="0"/>
              <w:spacing w:line="288" w:lineRule="auto"/>
              <w:jc w:val="left"/>
              <w:rPr>
                <w:rFonts w:ascii="宋体" w:hAnsi="宋体" w:cs="宋体"/>
                <w:sz w:val="21"/>
                <w:szCs w:val="21"/>
                <w:highlight w:val="none"/>
              </w:rPr>
            </w:pPr>
            <w:r>
              <w:rPr>
                <w:rFonts w:hint="eastAsia" w:ascii="宋体" w:hAnsi="宋体" w:cs="宋体"/>
                <w:sz w:val="21"/>
                <w:szCs w:val="21"/>
                <w:highlight w:val="none"/>
              </w:rPr>
              <w:t>2.3隔音罩一个。</w:t>
            </w:r>
          </w:p>
        </w:tc>
      </w:tr>
    </w:tbl>
    <w:p w14:paraId="1D0D6A1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666952"/>
    <w:rsid w:val="0D666952"/>
    <w:rsid w:val="42F068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3437</Words>
  <Characters>3768</Characters>
  <Lines>0</Lines>
  <Paragraphs>0</Paragraphs>
  <TotalTime>0</TotalTime>
  <ScaleCrop>false</ScaleCrop>
  <LinksUpToDate>false</LinksUpToDate>
  <CharactersWithSpaces>3774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2025-09-04T03:08:00Z</dcterms:created>
  <dc:creator>刘冰冰</dc:creator>
  <cp:lastModifiedBy>清</cp:lastModifiedBy>
  <dcterms:modified xsi:type="dcterms:W3CDTF">2025-10-10T01:41:02Z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6B8EC7F3CB6243D0903A8302A0EC373B_13</vt:lpwstr>
  </property>
  <property fmtid="{D5CDD505-2E9C-101B-9397-08002B2CF9AE}" pid="4" name="KSOTemplateDocerSaveRecord">
    <vt:lpwstr>eyJoZGlkIjoiZmZkMWFjNDM1NzNmYzdiM2JkYWM5YjhmZTllYTliMjAiLCJ1c2VySWQiOiIxNjExODE3NTMwIn0=</vt:lpwstr>
  </property>
</Properties>
</file>