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jc w:val="center"/>
        <w:rPr>
          <w:rFonts w:ascii="宋体" w:hAnsi="宋体"/>
          <w:bCs/>
          <w:szCs w:val="32"/>
        </w:rPr>
      </w:pPr>
      <w:bookmarkStart w:id="44" w:name="_GoBack"/>
      <w:bookmarkEnd w:id="44"/>
      <w:r>
        <w:rPr>
          <w:rFonts w:hint="eastAsia"/>
          <w:b/>
          <w:sz w:val="44"/>
        </w:rPr>
        <w:drawing>
          <wp:anchor distT="0" distB="0" distL="114300" distR="114300" simplePos="0" relativeHeight="251659264" behindDoc="1" locked="0" layoutInCell="1" allowOverlap="1">
            <wp:simplePos x="0" y="0"/>
            <wp:positionH relativeFrom="column">
              <wp:posOffset>4242435</wp:posOffset>
            </wp:positionH>
            <wp:positionV relativeFrom="paragraph">
              <wp:posOffset>31115</wp:posOffset>
            </wp:positionV>
            <wp:extent cx="1628775" cy="600075"/>
            <wp:effectExtent l="0" t="0" r="9525" b="9525"/>
            <wp:wrapTight wrapText="bothSides">
              <wp:wrapPolygon>
                <wp:start x="-126" y="0"/>
                <wp:lineTo x="-126" y="21257"/>
                <wp:lineTo x="21600" y="21257"/>
                <wp:lineTo x="21600" y="0"/>
                <wp:lineTo x="-126" y="0"/>
              </wp:wrapPolygon>
            </wp:wrapTight>
            <wp:docPr id="1" name="图片 8" descr="无标题"/>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8" descr="无标题"/>
                    <pic:cNvPicPr>
                      <a:picLocks noChangeAspect="1"/>
                    </pic:cNvPicPr>
                  </pic:nvPicPr>
                  <pic:blipFill>
                    <a:blip r:embed="rId7" cstate="print"/>
                    <a:stretch>
                      <a:fillRect/>
                    </a:stretch>
                  </pic:blipFill>
                  <pic:spPr>
                    <a:xfrm>
                      <a:off x="0" y="0"/>
                      <a:ext cx="1628775" cy="600075"/>
                    </a:xfrm>
                    <a:prstGeom prst="rect">
                      <a:avLst/>
                    </a:prstGeom>
                    <a:noFill/>
                    <a:ln>
                      <a:noFill/>
                    </a:ln>
                  </pic:spPr>
                </pic:pic>
              </a:graphicData>
            </a:graphic>
          </wp:anchor>
        </w:drawing>
      </w:r>
      <w:r>
        <w:rPr>
          <w:rFonts w:hint="eastAsia" w:ascii="宋体" w:hAnsi="宋体"/>
          <w:b/>
          <w:sz w:val="32"/>
          <w:szCs w:val="32"/>
        </w:rPr>
        <w:t xml:space="preserve">                                           </w:t>
      </w:r>
    </w:p>
    <w:p>
      <w:pPr>
        <w:ind w:right="-281"/>
        <w:jc w:val="right"/>
        <w:rPr>
          <w:rFonts w:ascii="Bookman Old Style" w:hAnsi="Bookman Old Style"/>
          <w:b/>
          <w:sz w:val="28"/>
        </w:rPr>
      </w:pPr>
    </w:p>
    <w:p>
      <w:pPr>
        <w:spacing w:after="312" w:afterLines="100" w:line="500" w:lineRule="exact"/>
        <w:jc w:val="center"/>
        <w:rPr>
          <w:b/>
          <w:sz w:val="44"/>
          <w:szCs w:val="44"/>
        </w:rPr>
      </w:pPr>
    </w:p>
    <w:p>
      <w:pPr>
        <w:spacing w:after="312" w:afterLines="100" w:line="500" w:lineRule="exact"/>
        <w:jc w:val="center"/>
        <w:rPr>
          <w:b/>
          <w:sz w:val="52"/>
          <w:szCs w:val="52"/>
        </w:rPr>
      </w:pPr>
    </w:p>
    <w:p>
      <w:pPr>
        <w:spacing w:after="312" w:afterLines="100" w:line="500" w:lineRule="exact"/>
        <w:jc w:val="center"/>
        <w:rPr>
          <w:b/>
          <w:sz w:val="52"/>
          <w:szCs w:val="52"/>
        </w:rPr>
      </w:pPr>
      <w:r>
        <w:rPr>
          <w:rFonts w:hint="eastAsia"/>
          <w:b/>
          <w:sz w:val="52"/>
          <w:szCs w:val="52"/>
        </w:rPr>
        <w:t>中国科学院上海免疫与感染研究所</w:t>
      </w:r>
    </w:p>
    <w:p>
      <w:pPr>
        <w:spacing w:after="312" w:afterLines="100"/>
        <w:jc w:val="center"/>
        <w:rPr>
          <w:b/>
          <w:sz w:val="52"/>
          <w:szCs w:val="52"/>
        </w:rPr>
      </w:pPr>
      <w:r>
        <w:rPr>
          <w:rFonts w:hint="eastAsia"/>
          <w:b/>
          <w:sz w:val="52"/>
          <w:szCs w:val="52"/>
          <w:u w:val="single"/>
        </w:rPr>
        <w:t>激光共聚焦显微镜</w:t>
      </w:r>
      <w:r>
        <w:rPr>
          <w:rFonts w:hint="eastAsia"/>
          <w:b/>
          <w:sz w:val="52"/>
          <w:szCs w:val="52"/>
        </w:rPr>
        <w:t>采购项目</w:t>
      </w:r>
    </w:p>
    <w:p>
      <w:pPr>
        <w:spacing w:line="360" w:lineRule="auto"/>
        <w:jc w:val="center"/>
        <w:rPr>
          <w:b/>
          <w:sz w:val="44"/>
        </w:rPr>
      </w:pPr>
    </w:p>
    <w:p>
      <w:pPr>
        <w:spacing w:line="360" w:lineRule="auto"/>
        <w:rPr>
          <w:b/>
          <w:sz w:val="44"/>
        </w:rPr>
      </w:pPr>
    </w:p>
    <w:p>
      <w:pPr>
        <w:spacing w:line="360" w:lineRule="auto"/>
        <w:jc w:val="center"/>
        <w:rPr>
          <w:rFonts w:ascii="宋体" w:hAnsi="宋体"/>
          <w:b/>
          <w:szCs w:val="21"/>
        </w:rPr>
      </w:pPr>
      <w:r>
        <w:rPr>
          <w:rFonts w:hint="eastAsia" w:ascii="宋体" w:hAnsi="宋体"/>
          <w:b/>
          <w:sz w:val="72"/>
          <w:szCs w:val="52"/>
        </w:rPr>
        <w:t>招</w:t>
      </w:r>
      <w:r>
        <w:rPr>
          <w:rFonts w:ascii="宋体" w:hAnsi="宋体"/>
          <w:b/>
          <w:sz w:val="72"/>
          <w:szCs w:val="52"/>
        </w:rPr>
        <w:t xml:space="preserve">  </w:t>
      </w:r>
      <w:r>
        <w:rPr>
          <w:rFonts w:hint="eastAsia" w:ascii="宋体" w:hAnsi="宋体"/>
          <w:b/>
          <w:sz w:val="72"/>
          <w:szCs w:val="52"/>
        </w:rPr>
        <w:t>标</w:t>
      </w:r>
      <w:r>
        <w:rPr>
          <w:rFonts w:ascii="宋体" w:hAnsi="宋体"/>
          <w:b/>
          <w:sz w:val="72"/>
          <w:szCs w:val="52"/>
        </w:rPr>
        <w:t xml:space="preserve">  </w:t>
      </w:r>
      <w:r>
        <w:rPr>
          <w:rFonts w:hint="eastAsia" w:ascii="宋体" w:hAnsi="宋体"/>
          <w:b/>
          <w:sz w:val="72"/>
          <w:szCs w:val="52"/>
        </w:rPr>
        <w:t>文</w:t>
      </w:r>
      <w:r>
        <w:rPr>
          <w:rFonts w:ascii="宋体" w:hAnsi="宋体"/>
          <w:b/>
          <w:sz w:val="72"/>
          <w:szCs w:val="52"/>
        </w:rPr>
        <w:t xml:space="preserve">  </w:t>
      </w:r>
      <w:r>
        <w:rPr>
          <w:rFonts w:hint="eastAsia" w:ascii="宋体" w:hAnsi="宋体"/>
          <w:b/>
          <w:sz w:val="72"/>
          <w:szCs w:val="52"/>
        </w:rPr>
        <w:t>件</w:t>
      </w:r>
    </w:p>
    <w:p>
      <w:pPr>
        <w:spacing w:line="360" w:lineRule="auto"/>
        <w:jc w:val="center"/>
        <w:rPr>
          <w:rFonts w:ascii="宋体" w:hAnsi="宋体"/>
          <w:b/>
          <w:sz w:val="32"/>
          <w:szCs w:val="32"/>
        </w:rPr>
      </w:pPr>
    </w:p>
    <w:p>
      <w:pPr>
        <w:spacing w:line="360" w:lineRule="auto"/>
        <w:jc w:val="center"/>
        <w:rPr>
          <w:rFonts w:ascii="宋体" w:hAnsi="宋体"/>
          <w:b/>
          <w:sz w:val="44"/>
          <w:szCs w:val="44"/>
        </w:rPr>
      </w:pPr>
      <w:r>
        <w:rPr>
          <w:rFonts w:hint="eastAsia" w:ascii="宋体" w:hAnsi="宋体"/>
          <w:b/>
          <w:sz w:val="44"/>
          <w:szCs w:val="44"/>
        </w:rPr>
        <w:t>第二册</w:t>
      </w:r>
    </w:p>
    <w:p>
      <w:pPr>
        <w:spacing w:line="360" w:lineRule="auto"/>
        <w:jc w:val="center"/>
        <w:rPr>
          <w:rFonts w:ascii="宋体" w:hAnsi="宋体"/>
          <w:b/>
          <w:sz w:val="44"/>
          <w:szCs w:val="44"/>
        </w:rPr>
      </w:pPr>
      <w:r>
        <w:rPr>
          <w:rFonts w:hint="eastAsia" w:ascii="宋体" w:hAnsi="宋体"/>
          <w:b/>
          <w:sz w:val="44"/>
          <w:szCs w:val="44"/>
        </w:rPr>
        <w:t>（专用册）</w:t>
      </w:r>
    </w:p>
    <w:p>
      <w:pPr>
        <w:spacing w:line="360" w:lineRule="auto"/>
        <w:jc w:val="center"/>
        <w:rPr>
          <w:rFonts w:ascii="宋体" w:hAnsi="宋体"/>
          <w:b/>
          <w:sz w:val="30"/>
          <w:szCs w:val="30"/>
        </w:rPr>
      </w:pPr>
    </w:p>
    <w:p>
      <w:pPr>
        <w:spacing w:line="360" w:lineRule="auto"/>
        <w:jc w:val="center"/>
        <w:rPr>
          <w:b/>
          <w:sz w:val="32"/>
        </w:rPr>
      </w:pPr>
      <w:r>
        <w:rPr>
          <w:rFonts w:hint="eastAsia" w:ascii="宋体" w:hAnsi="宋体"/>
          <w:b/>
          <w:sz w:val="36"/>
          <w:szCs w:val="36"/>
        </w:rPr>
        <w:t>招标编号：</w:t>
      </w:r>
      <w:r>
        <w:rPr>
          <w:rFonts w:hint="eastAsia" w:ascii="宋体" w:hAnsi="宋体"/>
          <w:b/>
          <w:sz w:val="36"/>
          <w:szCs w:val="36"/>
          <w:u w:val="single"/>
        </w:rPr>
        <w:t>OITC-G230302476</w:t>
      </w:r>
    </w:p>
    <w:p>
      <w:pPr>
        <w:spacing w:line="360" w:lineRule="auto"/>
        <w:jc w:val="center"/>
        <w:rPr>
          <w:b/>
          <w:sz w:val="32"/>
        </w:rPr>
      </w:pPr>
    </w:p>
    <w:p>
      <w:pPr>
        <w:adjustRightInd w:val="0"/>
        <w:snapToGrid w:val="0"/>
        <w:spacing w:before="120"/>
        <w:jc w:val="center"/>
        <w:rPr>
          <w:rFonts w:ascii="宋体" w:hAnsi="宋体"/>
          <w:b/>
          <w:bCs/>
          <w:snapToGrid w:val="0"/>
          <w:spacing w:val="20"/>
          <w:sz w:val="36"/>
          <w:szCs w:val="36"/>
        </w:rPr>
      </w:pPr>
      <w:r>
        <w:rPr>
          <w:rFonts w:hint="eastAsia" w:ascii="宋体" w:hAnsi="宋体"/>
          <w:b/>
          <w:bCs/>
          <w:snapToGrid w:val="0"/>
          <w:spacing w:val="20"/>
          <w:sz w:val="36"/>
          <w:szCs w:val="36"/>
        </w:rPr>
        <w:t>东方国际招标有限责任公司</w:t>
      </w:r>
    </w:p>
    <w:p>
      <w:pPr>
        <w:adjustRightInd w:val="0"/>
        <w:snapToGrid w:val="0"/>
        <w:jc w:val="center"/>
        <w:rPr>
          <w:rFonts w:ascii="宋体" w:hAnsi="宋体"/>
          <w:b/>
          <w:snapToGrid w:val="0"/>
          <w:sz w:val="36"/>
          <w:szCs w:val="36"/>
        </w:rPr>
      </w:pPr>
    </w:p>
    <w:p>
      <w:pPr>
        <w:adjustRightInd w:val="0"/>
        <w:snapToGrid w:val="0"/>
        <w:jc w:val="center"/>
        <w:rPr>
          <w:rFonts w:ascii="宋体" w:hAnsi="宋体"/>
          <w:b/>
          <w:snapToGrid w:val="0"/>
          <w:sz w:val="36"/>
          <w:szCs w:val="36"/>
        </w:rPr>
      </w:pPr>
      <w:r>
        <w:rPr>
          <w:rFonts w:hint="eastAsia" w:ascii="宋体" w:hAnsi="宋体"/>
          <w:b/>
          <w:snapToGrid w:val="0"/>
          <w:sz w:val="36"/>
          <w:szCs w:val="36"/>
        </w:rPr>
        <w:t>中国 · 北京</w:t>
      </w:r>
    </w:p>
    <w:p>
      <w:pPr>
        <w:adjustRightInd w:val="0"/>
        <w:snapToGrid w:val="0"/>
        <w:jc w:val="center"/>
        <w:rPr>
          <w:rFonts w:ascii="宋体" w:hAnsi="宋体"/>
          <w:b/>
          <w:sz w:val="32"/>
          <w:szCs w:val="32"/>
        </w:rPr>
      </w:pPr>
      <w:r>
        <w:rPr>
          <w:rFonts w:hint="eastAsia" w:ascii="宋体" w:hAnsi="宋体"/>
          <w:b/>
          <w:snapToGrid w:val="0"/>
          <w:sz w:val="36"/>
          <w:szCs w:val="36"/>
        </w:rPr>
        <w:t>2023年1</w:t>
      </w:r>
      <w:r>
        <w:rPr>
          <w:rFonts w:ascii="宋体" w:hAnsi="宋体"/>
          <w:b/>
          <w:snapToGrid w:val="0"/>
          <w:sz w:val="36"/>
          <w:szCs w:val="36"/>
        </w:rPr>
        <w:t>2</w:t>
      </w:r>
      <w:r>
        <w:rPr>
          <w:rFonts w:hint="eastAsia" w:ascii="宋体" w:hAnsi="宋体"/>
          <w:b/>
          <w:snapToGrid w:val="0"/>
          <w:sz w:val="36"/>
          <w:szCs w:val="36"/>
        </w:rPr>
        <w:t>月</w:t>
      </w:r>
    </w:p>
    <w:p>
      <w:pPr>
        <w:pStyle w:val="2"/>
        <w:snapToGrid w:val="0"/>
        <w:spacing w:before="0" w:after="0" w:line="240" w:lineRule="auto"/>
        <w:rPr>
          <w:rFonts w:hAnsi="宋体"/>
          <w:sz w:val="24"/>
          <w:szCs w:val="24"/>
        </w:rPr>
      </w:pPr>
    </w:p>
    <w:p>
      <w:pPr>
        <w:adjustRightInd w:val="0"/>
        <w:snapToGrid w:val="0"/>
        <w:rPr>
          <w:rFonts w:ascii="宋体" w:hAnsi="宋体"/>
        </w:rPr>
      </w:pPr>
    </w:p>
    <w:p>
      <w:pPr>
        <w:adjustRightInd w:val="0"/>
        <w:snapToGrid w:val="0"/>
        <w:rPr>
          <w:rFonts w:ascii="宋体" w:hAnsi="宋体"/>
        </w:rPr>
      </w:pPr>
    </w:p>
    <w:p>
      <w:pPr>
        <w:adjustRightInd w:val="0"/>
        <w:snapToGrid w:val="0"/>
        <w:rPr>
          <w:rFonts w:ascii="宋体" w:hAnsi="宋体"/>
        </w:rPr>
      </w:pPr>
    </w:p>
    <w:p>
      <w:pPr>
        <w:adjustRightInd w:val="0"/>
        <w:snapToGrid w:val="0"/>
        <w:jc w:val="both"/>
        <w:rPr>
          <w:rFonts w:ascii="宋体" w:hAnsi="宋体"/>
          <w:b/>
          <w:sz w:val="24"/>
        </w:rPr>
      </w:pPr>
      <w:bookmarkStart w:id="0" w:name="_Toc512937852"/>
    </w:p>
    <w:p>
      <w:pPr>
        <w:adjustRightInd w:val="0"/>
        <w:snapToGrid w:val="0"/>
        <w:jc w:val="center"/>
        <w:rPr>
          <w:rFonts w:ascii="宋体" w:hAnsi="宋体"/>
          <w:b/>
          <w:sz w:val="24"/>
        </w:rPr>
      </w:pPr>
    </w:p>
    <w:p>
      <w:pPr>
        <w:adjustRightInd w:val="0"/>
        <w:snapToGrid w:val="0"/>
        <w:jc w:val="center"/>
        <w:rPr>
          <w:rFonts w:ascii="宋体" w:hAnsi="宋体"/>
          <w:b/>
          <w:sz w:val="24"/>
        </w:rPr>
      </w:pPr>
    </w:p>
    <w:p>
      <w:pPr>
        <w:adjustRightInd w:val="0"/>
        <w:snapToGrid w:val="0"/>
        <w:jc w:val="center"/>
        <w:rPr>
          <w:rFonts w:ascii="宋体" w:hAnsi="宋体"/>
          <w:b/>
          <w:sz w:val="24"/>
        </w:rPr>
      </w:pPr>
    </w:p>
    <w:p>
      <w:pPr>
        <w:adjustRightInd w:val="0"/>
        <w:snapToGrid w:val="0"/>
        <w:jc w:val="center"/>
        <w:rPr>
          <w:rFonts w:ascii="宋体" w:hAnsi="宋体"/>
          <w:b/>
          <w:sz w:val="24"/>
        </w:rPr>
      </w:pPr>
    </w:p>
    <w:p>
      <w:pPr>
        <w:adjustRightInd w:val="0"/>
        <w:snapToGrid w:val="0"/>
        <w:jc w:val="center"/>
        <w:rPr>
          <w:rFonts w:ascii="宋体" w:hAnsi="宋体"/>
          <w:b/>
          <w:sz w:val="24"/>
        </w:rPr>
      </w:pPr>
    </w:p>
    <w:p>
      <w:pPr>
        <w:adjustRightInd w:val="0"/>
        <w:snapToGrid w:val="0"/>
        <w:jc w:val="center"/>
        <w:rPr>
          <w:rFonts w:ascii="宋体" w:hAnsi="宋体"/>
          <w:b/>
          <w:sz w:val="24"/>
        </w:rPr>
      </w:pPr>
    </w:p>
    <w:p>
      <w:pPr>
        <w:adjustRightInd w:val="0"/>
        <w:snapToGrid w:val="0"/>
        <w:jc w:val="center"/>
        <w:rPr>
          <w:rFonts w:ascii="宋体" w:hAnsi="宋体"/>
          <w:b/>
          <w:sz w:val="24"/>
        </w:rPr>
      </w:pPr>
    </w:p>
    <w:p>
      <w:pPr>
        <w:adjustRightInd w:val="0"/>
        <w:snapToGrid w:val="0"/>
        <w:jc w:val="center"/>
        <w:rPr>
          <w:rFonts w:ascii="宋体" w:hAnsi="宋体"/>
          <w:b/>
          <w:sz w:val="24"/>
        </w:rPr>
      </w:pPr>
    </w:p>
    <w:p>
      <w:pPr>
        <w:adjustRightInd w:val="0"/>
        <w:snapToGrid w:val="0"/>
        <w:jc w:val="center"/>
        <w:rPr>
          <w:rFonts w:ascii="宋体" w:hAnsi="宋体"/>
          <w:b/>
          <w:sz w:val="24"/>
        </w:rPr>
      </w:pPr>
    </w:p>
    <w:p>
      <w:pPr>
        <w:adjustRightInd w:val="0"/>
        <w:snapToGrid w:val="0"/>
        <w:jc w:val="center"/>
        <w:rPr>
          <w:rFonts w:ascii="宋体" w:hAnsi="宋体"/>
          <w:b/>
          <w:sz w:val="24"/>
        </w:rPr>
      </w:pPr>
    </w:p>
    <w:p>
      <w:pPr>
        <w:adjustRightInd w:val="0"/>
        <w:snapToGrid w:val="0"/>
        <w:jc w:val="center"/>
        <w:rPr>
          <w:rFonts w:ascii="宋体" w:hAnsi="宋体"/>
          <w:b/>
          <w:sz w:val="24"/>
        </w:rPr>
      </w:pPr>
    </w:p>
    <w:p>
      <w:pPr>
        <w:adjustRightInd w:val="0"/>
        <w:snapToGrid w:val="0"/>
        <w:spacing w:before="936" w:beforeLines="300"/>
        <w:jc w:val="center"/>
        <w:rPr>
          <w:rFonts w:ascii="黑体" w:eastAsia="黑体"/>
          <w:b/>
          <w:kern w:val="44"/>
          <w:sz w:val="48"/>
          <w:szCs w:val="20"/>
        </w:rPr>
      </w:pPr>
      <w:r>
        <w:rPr>
          <w:rFonts w:hint="eastAsia" w:ascii="黑体" w:eastAsia="黑体"/>
          <w:b/>
          <w:kern w:val="44"/>
          <w:sz w:val="48"/>
          <w:szCs w:val="20"/>
        </w:rPr>
        <w:t>第八部分  采购需求</w:t>
      </w:r>
      <w:r>
        <w:rPr>
          <w:rFonts w:ascii="黑体" w:eastAsia="黑体"/>
          <w:b/>
          <w:kern w:val="44"/>
          <w:sz w:val="48"/>
          <w:szCs w:val="20"/>
        </w:rPr>
        <w:br w:type="page"/>
      </w:r>
    </w:p>
    <w:bookmarkEnd w:id="0"/>
    <w:p>
      <w:pPr>
        <w:adjustRightInd w:val="0"/>
        <w:snapToGrid w:val="0"/>
        <w:jc w:val="center"/>
        <w:rPr>
          <w:rFonts w:ascii="宋体" w:hAnsi="宋体"/>
          <w:b/>
          <w:sz w:val="30"/>
          <w:szCs w:val="30"/>
        </w:rPr>
      </w:pPr>
      <w:r>
        <w:rPr>
          <w:rFonts w:hint="eastAsia" w:ascii="宋体" w:hAnsi="宋体"/>
          <w:b/>
          <w:sz w:val="30"/>
          <w:szCs w:val="30"/>
        </w:rPr>
        <w:t>一、货物需求一览表</w:t>
      </w:r>
    </w:p>
    <w:p>
      <w:pPr>
        <w:adjustRightInd w:val="0"/>
        <w:snapToGrid w:val="0"/>
        <w:jc w:val="center"/>
        <w:rPr>
          <w:rFonts w:ascii="宋体" w:hAnsi="宋体"/>
          <w:b/>
          <w:sz w:val="30"/>
          <w:szCs w:val="30"/>
        </w:rPr>
      </w:pPr>
    </w:p>
    <w:tbl>
      <w:tblPr>
        <w:tblStyle w:val="27"/>
        <w:tblW w:w="964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762"/>
        <w:gridCol w:w="2640"/>
        <w:gridCol w:w="635"/>
        <w:gridCol w:w="2611"/>
        <w:gridCol w:w="299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02" w:hRule="atLeast"/>
          <w:jc w:val="center"/>
        </w:trPr>
        <w:tc>
          <w:tcPr>
            <w:tcW w:w="762" w:type="dxa"/>
            <w:vAlign w:val="center"/>
          </w:tcPr>
          <w:p>
            <w:pPr>
              <w:jc w:val="center"/>
              <w:rPr>
                <w:rFonts w:ascii="宋体" w:hAnsi="Bookman Old Style"/>
                <w:sz w:val="24"/>
              </w:rPr>
            </w:pPr>
            <w:r>
              <w:rPr>
                <w:rFonts w:hint="eastAsia" w:ascii="宋体" w:hAnsi="Bookman Old Style"/>
                <w:sz w:val="24"/>
              </w:rPr>
              <w:t>包号</w:t>
            </w:r>
          </w:p>
        </w:tc>
        <w:tc>
          <w:tcPr>
            <w:tcW w:w="2640" w:type="dxa"/>
            <w:vAlign w:val="center"/>
          </w:tcPr>
          <w:p>
            <w:pPr>
              <w:jc w:val="center"/>
              <w:rPr>
                <w:rFonts w:ascii="宋体" w:hAnsi="Bookman Old Style"/>
                <w:sz w:val="24"/>
              </w:rPr>
            </w:pPr>
            <w:r>
              <w:rPr>
                <w:rFonts w:hint="eastAsia" w:ascii="宋体" w:hAnsi="Bookman Old Style"/>
                <w:sz w:val="24"/>
              </w:rPr>
              <w:t>货物名称</w:t>
            </w:r>
          </w:p>
        </w:tc>
        <w:tc>
          <w:tcPr>
            <w:tcW w:w="635" w:type="dxa"/>
            <w:vAlign w:val="center"/>
          </w:tcPr>
          <w:p>
            <w:pPr>
              <w:jc w:val="center"/>
              <w:rPr>
                <w:rFonts w:ascii="宋体" w:hAnsi="Bookman Old Style"/>
                <w:sz w:val="24"/>
              </w:rPr>
            </w:pPr>
            <w:r>
              <w:rPr>
                <w:rFonts w:hint="eastAsia" w:ascii="宋体" w:hAnsi="Bookman Old Style"/>
                <w:sz w:val="24"/>
              </w:rPr>
              <w:t>数量</w:t>
            </w:r>
          </w:p>
        </w:tc>
        <w:tc>
          <w:tcPr>
            <w:tcW w:w="2611" w:type="dxa"/>
            <w:vAlign w:val="center"/>
          </w:tcPr>
          <w:p>
            <w:pPr>
              <w:jc w:val="center"/>
              <w:rPr>
                <w:rFonts w:ascii="宋体" w:hAnsi="Bookman Old Style"/>
                <w:sz w:val="24"/>
              </w:rPr>
            </w:pPr>
            <w:r>
              <w:rPr>
                <w:rFonts w:hint="eastAsia" w:ascii="宋体" w:hAnsi="Bookman Old Style"/>
                <w:sz w:val="24"/>
              </w:rPr>
              <w:t>交货期</w:t>
            </w:r>
          </w:p>
        </w:tc>
        <w:tc>
          <w:tcPr>
            <w:tcW w:w="2994" w:type="dxa"/>
            <w:vAlign w:val="center"/>
          </w:tcPr>
          <w:p>
            <w:pPr>
              <w:jc w:val="center"/>
              <w:rPr>
                <w:rFonts w:ascii="宋体" w:hAnsi="Bookman Old Style"/>
                <w:sz w:val="24"/>
                <w:shd w:val="pct10" w:color="auto" w:fill="FFFFFF"/>
              </w:rPr>
            </w:pPr>
            <w:r>
              <w:rPr>
                <w:rFonts w:hint="eastAsia" w:ascii="宋体" w:hAnsi="Bookman Old Style"/>
                <w:sz w:val="24"/>
              </w:rPr>
              <w:t>项目现场（交货地点）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3" w:hRule="atLeast"/>
          <w:jc w:val="center"/>
        </w:trPr>
        <w:tc>
          <w:tcPr>
            <w:tcW w:w="762" w:type="dxa"/>
            <w:vAlign w:val="center"/>
          </w:tcPr>
          <w:p>
            <w:pPr>
              <w:jc w:val="center"/>
              <w:rPr>
                <w:rFonts w:ascii="宋体"/>
                <w:sz w:val="24"/>
              </w:rPr>
            </w:pPr>
            <w:r>
              <w:rPr>
                <w:rFonts w:hint="eastAsia" w:ascii="宋体"/>
                <w:sz w:val="24"/>
              </w:rPr>
              <w:t>1</w:t>
            </w:r>
          </w:p>
        </w:tc>
        <w:tc>
          <w:tcPr>
            <w:tcW w:w="2640" w:type="dxa"/>
            <w:vAlign w:val="center"/>
          </w:tcPr>
          <w:p>
            <w:pPr>
              <w:jc w:val="center"/>
              <w:rPr>
                <w:rFonts w:ascii="Bookman Old Style" w:hAnsi="Bookman Old Style"/>
                <w:sz w:val="24"/>
              </w:rPr>
            </w:pPr>
            <w:r>
              <w:rPr>
                <w:rFonts w:hint="eastAsia" w:ascii="Bookman Old Style" w:hAnsi="Bookman Old Style"/>
                <w:sz w:val="24"/>
              </w:rPr>
              <w:t>激光共聚焦显微镜</w:t>
            </w:r>
          </w:p>
        </w:tc>
        <w:tc>
          <w:tcPr>
            <w:tcW w:w="635" w:type="dxa"/>
            <w:vAlign w:val="center"/>
          </w:tcPr>
          <w:p>
            <w:pPr>
              <w:jc w:val="center"/>
              <w:rPr>
                <w:rFonts w:ascii="宋体" w:hAnsi="Bookman Old Style"/>
                <w:sz w:val="24"/>
              </w:rPr>
            </w:pPr>
            <w:r>
              <w:rPr>
                <w:rFonts w:hint="eastAsia" w:ascii="宋体" w:hAnsi="Bookman Old Style"/>
                <w:sz w:val="24"/>
              </w:rPr>
              <w:t>1套</w:t>
            </w:r>
          </w:p>
        </w:tc>
        <w:tc>
          <w:tcPr>
            <w:tcW w:w="5605" w:type="dxa"/>
            <w:gridSpan w:val="2"/>
            <w:vAlign w:val="center"/>
          </w:tcPr>
          <w:p>
            <w:pPr>
              <w:jc w:val="center"/>
              <w:rPr>
                <w:rFonts w:ascii="宋体" w:hAnsi="Bookman Old Style"/>
                <w:sz w:val="24"/>
              </w:rPr>
            </w:pPr>
            <w:r>
              <w:rPr>
                <w:rFonts w:hint="eastAsia" w:ascii="宋体" w:hAnsi="Bookman Old Style"/>
                <w:sz w:val="24"/>
              </w:rPr>
              <w:t>详见具体技术规格</w:t>
            </w:r>
          </w:p>
        </w:tc>
      </w:tr>
    </w:tbl>
    <w:p>
      <w:pPr>
        <w:adjustRightInd w:val="0"/>
        <w:snapToGrid w:val="0"/>
        <w:jc w:val="center"/>
        <w:rPr>
          <w:rFonts w:ascii="宋体" w:hAnsi="宋体"/>
          <w:b/>
          <w:sz w:val="30"/>
          <w:szCs w:val="30"/>
        </w:rPr>
      </w:pPr>
    </w:p>
    <w:p>
      <w:pPr>
        <w:adjustRightInd w:val="0"/>
        <w:snapToGrid w:val="0"/>
        <w:jc w:val="center"/>
        <w:rPr>
          <w:rFonts w:ascii="宋体" w:hAnsi="宋体"/>
          <w:b/>
          <w:sz w:val="30"/>
          <w:szCs w:val="30"/>
        </w:rPr>
      </w:pPr>
    </w:p>
    <w:p>
      <w:pPr>
        <w:adjustRightInd w:val="0"/>
        <w:snapToGrid w:val="0"/>
        <w:jc w:val="center"/>
        <w:rPr>
          <w:rFonts w:ascii="宋体" w:hAnsi="宋体"/>
          <w:b/>
          <w:sz w:val="30"/>
          <w:szCs w:val="30"/>
        </w:rPr>
      </w:pPr>
    </w:p>
    <w:p>
      <w:pPr>
        <w:rPr>
          <w:rFonts w:ascii="Bookman Old Style" w:hAnsi="Bookman Old Style"/>
          <w:sz w:val="24"/>
        </w:rPr>
      </w:pPr>
      <w:r>
        <w:rPr>
          <w:rFonts w:hint="eastAsia"/>
          <w:sz w:val="24"/>
        </w:rPr>
        <w:t>注：投标人须对上述投标内容中完整的一包或几包进行投标，</w:t>
      </w:r>
      <w:r>
        <w:rPr>
          <w:rFonts w:hint="eastAsia" w:ascii="Bookman Old Style" w:hAnsi="Bookman Old Style"/>
          <w:sz w:val="24"/>
        </w:rPr>
        <w:t>不完整的投标将视为非响应性投标予以拒绝。</w:t>
      </w:r>
    </w:p>
    <w:p>
      <w:pPr>
        <w:adjustRightInd w:val="0"/>
        <w:snapToGrid w:val="0"/>
        <w:rPr>
          <w:rFonts w:ascii="宋体" w:hAnsi="宋体"/>
          <w:szCs w:val="21"/>
        </w:rPr>
      </w:pPr>
    </w:p>
    <w:p>
      <w:pPr>
        <w:adjustRightInd w:val="0"/>
        <w:snapToGrid w:val="0"/>
        <w:rPr>
          <w:rFonts w:ascii="宋体" w:hAnsi="宋体"/>
          <w:szCs w:val="21"/>
        </w:rPr>
      </w:pPr>
    </w:p>
    <w:p>
      <w:pPr>
        <w:adjustRightInd w:val="0"/>
        <w:snapToGrid w:val="0"/>
        <w:rPr>
          <w:rFonts w:ascii="宋体" w:hAnsi="宋体"/>
          <w:szCs w:val="21"/>
        </w:rPr>
      </w:pPr>
    </w:p>
    <w:p>
      <w:pPr>
        <w:adjustRightInd w:val="0"/>
        <w:snapToGrid w:val="0"/>
        <w:rPr>
          <w:rFonts w:ascii="宋体" w:hAnsi="宋体"/>
          <w:szCs w:val="21"/>
        </w:rPr>
      </w:pPr>
    </w:p>
    <w:p>
      <w:pPr>
        <w:adjustRightInd w:val="0"/>
        <w:snapToGrid w:val="0"/>
        <w:rPr>
          <w:rFonts w:ascii="宋体" w:hAnsi="宋体"/>
          <w:szCs w:val="21"/>
        </w:rPr>
      </w:pPr>
    </w:p>
    <w:p>
      <w:pPr>
        <w:adjustRightInd w:val="0"/>
        <w:snapToGrid w:val="0"/>
        <w:rPr>
          <w:rFonts w:ascii="宋体" w:hAnsi="宋体"/>
          <w:szCs w:val="21"/>
        </w:rPr>
      </w:pPr>
    </w:p>
    <w:p>
      <w:pPr>
        <w:adjustRightInd w:val="0"/>
        <w:snapToGrid w:val="0"/>
        <w:rPr>
          <w:rFonts w:ascii="宋体" w:hAnsi="宋体"/>
          <w:szCs w:val="21"/>
        </w:rPr>
      </w:pPr>
    </w:p>
    <w:p>
      <w:pPr>
        <w:adjustRightInd w:val="0"/>
        <w:snapToGrid w:val="0"/>
        <w:rPr>
          <w:rFonts w:ascii="宋体" w:hAnsi="宋体"/>
          <w:szCs w:val="21"/>
        </w:rPr>
      </w:pPr>
    </w:p>
    <w:p>
      <w:pPr>
        <w:adjustRightInd w:val="0"/>
        <w:snapToGrid w:val="0"/>
        <w:rPr>
          <w:rFonts w:ascii="宋体" w:hAnsi="宋体"/>
          <w:szCs w:val="21"/>
        </w:rPr>
      </w:pPr>
    </w:p>
    <w:p>
      <w:pPr>
        <w:adjustRightInd w:val="0"/>
        <w:snapToGrid w:val="0"/>
        <w:rPr>
          <w:rFonts w:ascii="宋体" w:hAnsi="宋体"/>
          <w:szCs w:val="21"/>
        </w:rPr>
      </w:pPr>
    </w:p>
    <w:p>
      <w:pPr>
        <w:adjustRightInd w:val="0"/>
        <w:snapToGrid w:val="0"/>
        <w:rPr>
          <w:rFonts w:ascii="宋体" w:hAnsi="宋体"/>
          <w:szCs w:val="21"/>
        </w:rPr>
      </w:pPr>
    </w:p>
    <w:p>
      <w:pPr>
        <w:adjustRightInd w:val="0"/>
        <w:snapToGrid w:val="0"/>
        <w:rPr>
          <w:rFonts w:ascii="宋体" w:hAnsi="宋体"/>
          <w:szCs w:val="21"/>
        </w:rPr>
      </w:pPr>
    </w:p>
    <w:p>
      <w:pPr>
        <w:adjustRightInd w:val="0"/>
        <w:snapToGrid w:val="0"/>
        <w:rPr>
          <w:rFonts w:ascii="宋体" w:hAnsi="宋体"/>
          <w:b/>
          <w:sz w:val="30"/>
          <w:szCs w:val="30"/>
        </w:rPr>
      </w:pPr>
      <w:r>
        <w:rPr>
          <w:rFonts w:ascii="宋体" w:hAnsi="宋体"/>
          <w:b/>
          <w:sz w:val="30"/>
          <w:szCs w:val="30"/>
        </w:rPr>
        <w:br w:type="page"/>
      </w:r>
    </w:p>
    <w:p>
      <w:pPr>
        <w:numPr>
          <w:ilvl w:val="2"/>
          <w:numId w:val="1"/>
        </w:numPr>
        <w:tabs>
          <w:tab w:val="left" w:pos="720"/>
          <w:tab w:val="clear" w:pos="1560"/>
        </w:tabs>
        <w:adjustRightInd w:val="0"/>
        <w:snapToGrid w:val="0"/>
        <w:ind w:hanging="1560"/>
        <w:jc w:val="center"/>
        <w:rPr>
          <w:rFonts w:ascii="宋体" w:hAnsi="宋体"/>
          <w:b/>
          <w:sz w:val="30"/>
          <w:szCs w:val="30"/>
        </w:rPr>
      </w:pPr>
      <w:r>
        <w:rPr>
          <w:rFonts w:hint="eastAsia" w:ascii="宋体" w:hAnsi="宋体"/>
          <w:b/>
          <w:sz w:val="30"/>
          <w:szCs w:val="30"/>
        </w:rPr>
        <w:t>总则</w:t>
      </w:r>
    </w:p>
    <w:p>
      <w:pPr>
        <w:spacing w:before="156" w:beforeLines="50" w:after="156" w:afterLines="50" w:line="360" w:lineRule="auto"/>
        <w:ind w:left="601" w:hanging="601"/>
        <w:rPr>
          <w:rFonts w:ascii="宋体" w:hAnsi="宋体"/>
          <w:b/>
          <w:sz w:val="28"/>
        </w:rPr>
      </w:pPr>
      <w:r>
        <w:rPr>
          <w:rFonts w:ascii="宋体" w:hAnsi="宋体"/>
          <w:b/>
          <w:sz w:val="28"/>
        </w:rPr>
        <w:t>1</w:t>
      </w:r>
      <w:r>
        <w:rPr>
          <w:rFonts w:hint="eastAsia" w:ascii="宋体" w:hAnsi="宋体"/>
          <w:b/>
          <w:sz w:val="28"/>
        </w:rPr>
        <w:t>、投标要求</w:t>
      </w:r>
    </w:p>
    <w:p>
      <w:pPr>
        <w:spacing w:line="360" w:lineRule="auto"/>
        <w:ind w:left="554" w:hanging="554" w:hangingChars="231"/>
        <w:rPr>
          <w:rFonts w:ascii="宋体" w:hAnsi="宋体"/>
          <w:sz w:val="24"/>
        </w:rPr>
      </w:pPr>
      <w:r>
        <w:rPr>
          <w:rFonts w:ascii="宋体" w:hAnsi="宋体"/>
          <w:sz w:val="24"/>
        </w:rPr>
        <w:t xml:space="preserve">1.1 </w:t>
      </w:r>
      <w:r>
        <w:rPr>
          <w:rFonts w:hint="eastAsia" w:ascii="宋体" w:hAnsi="宋体"/>
          <w:sz w:val="24"/>
        </w:rPr>
        <w:t xml:space="preserve"> 投标人在准备投标书时，务必在所提供的商品的技术规格文件中，标明型号、商标名称、目录号。</w:t>
      </w:r>
    </w:p>
    <w:p>
      <w:pPr>
        <w:spacing w:line="360" w:lineRule="auto"/>
        <w:ind w:left="554" w:hanging="554" w:hangingChars="231"/>
        <w:rPr>
          <w:rFonts w:ascii="宋体" w:hAnsi="宋体"/>
          <w:sz w:val="24"/>
        </w:rPr>
      </w:pPr>
      <w:r>
        <w:rPr>
          <w:rFonts w:hint="eastAsia" w:ascii="宋体" w:hAnsi="宋体"/>
          <w:sz w:val="24"/>
        </w:rPr>
        <w:t>1.2  投标人提供的货物须是成熟的全新的产品，其技术规格应符合招标文件的要求。如与招标文件的技术规格有偏差，应提供技术规格偏差的量值或说明（偏离表）。如投标人有意隐瞒对规格要求的偏差或在开标后提出新的偏差，买方有权扣留其投标保证金或/并拒绝其投标。</w:t>
      </w:r>
    </w:p>
    <w:p>
      <w:pPr>
        <w:spacing w:line="360" w:lineRule="auto"/>
        <w:ind w:left="554" w:hanging="554" w:hangingChars="231"/>
        <w:rPr>
          <w:rFonts w:ascii="宋体"/>
          <w:sz w:val="24"/>
        </w:rPr>
      </w:pPr>
      <w:r>
        <w:rPr>
          <w:rFonts w:hint="eastAsia" w:ascii="宋体" w:hAnsi="宋体"/>
          <w:sz w:val="24"/>
        </w:rPr>
        <w:t xml:space="preserve">1.3  </w:t>
      </w:r>
      <w:r>
        <w:rPr>
          <w:rFonts w:hint="eastAsia"/>
          <w:sz w:val="24"/>
        </w:rPr>
        <w:t>投标人提供的</w:t>
      </w:r>
      <w:r>
        <w:rPr>
          <w:rFonts w:hint="eastAsia" w:ascii="宋体"/>
          <w:sz w:val="24"/>
        </w:rPr>
        <w:t>产品</w:t>
      </w:r>
      <w:r>
        <w:rPr>
          <w:rFonts w:hint="eastAsia"/>
          <w:sz w:val="24"/>
        </w:rPr>
        <w:t>样本，必须是“原件”而非复印件，</w:t>
      </w:r>
      <w:r>
        <w:rPr>
          <w:rFonts w:hint="eastAsia" w:ascii="宋体"/>
          <w:sz w:val="24"/>
        </w:rPr>
        <w:t>图表、简图、电路图以及印刷电路板图等都应</w:t>
      </w:r>
      <w:r>
        <w:rPr>
          <w:rFonts w:hint="eastAsia"/>
          <w:sz w:val="24"/>
        </w:rPr>
        <w:t>清晰易读。买方有权</w:t>
      </w:r>
      <w:r>
        <w:rPr>
          <w:rFonts w:hint="eastAsia" w:ascii="宋体"/>
          <w:sz w:val="24"/>
        </w:rPr>
        <w:t>不付任何附加费用</w:t>
      </w:r>
      <w:r>
        <w:rPr>
          <w:rFonts w:hint="eastAsia"/>
          <w:sz w:val="24"/>
        </w:rPr>
        <w:t>复制这些资料</w:t>
      </w:r>
      <w:r>
        <w:rPr>
          <w:rFonts w:hint="eastAsia" w:ascii="宋体"/>
          <w:sz w:val="24"/>
        </w:rPr>
        <w:t>以供参考。</w:t>
      </w:r>
    </w:p>
    <w:p>
      <w:pPr>
        <w:spacing w:line="360" w:lineRule="auto"/>
        <w:ind w:left="554" w:hanging="554" w:hangingChars="231"/>
        <w:rPr>
          <w:rFonts w:ascii="宋体"/>
          <w:sz w:val="24"/>
        </w:rPr>
      </w:pPr>
      <w:r>
        <w:rPr>
          <w:rFonts w:hint="eastAsia" w:ascii="宋体"/>
          <w:sz w:val="24"/>
        </w:rPr>
        <w:t>1.4  投标人的投标产品应符合国家有关部门规定的相应技术、节能、安全和环保标准；如国家有关部门对投标人的投标产品有强制性规定或要求的，则投标人的投标产品必须符合相应规定或要求。</w:t>
      </w:r>
    </w:p>
    <w:p>
      <w:pPr>
        <w:spacing w:before="156" w:beforeLines="50" w:after="156" w:afterLines="50" w:line="360" w:lineRule="auto"/>
        <w:ind w:left="601" w:hanging="601"/>
        <w:rPr>
          <w:rFonts w:ascii="宋体" w:hAnsi="宋体"/>
          <w:b/>
          <w:sz w:val="28"/>
        </w:rPr>
      </w:pPr>
      <w:r>
        <w:rPr>
          <w:rFonts w:hint="eastAsia" w:ascii="宋体" w:hAnsi="宋体"/>
          <w:b/>
          <w:sz w:val="28"/>
        </w:rPr>
        <w:t>2、评标标准</w:t>
      </w:r>
    </w:p>
    <w:p>
      <w:pPr>
        <w:spacing w:line="360" w:lineRule="auto"/>
        <w:ind w:left="554" w:hanging="554" w:hangingChars="231"/>
        <w:rPr>
          <w:rFonts w:ascii="宋体"/>
          <w:sz w:val="24"/>
        </w:rPr>
      </w:pPr>
      <w:r>
        <w:rPr>
          <w:rFonts w:ascii="宋体" w:hAnsi="宋体"/>
          <w:sz w:val="24"/>
        </w:rPr>
        <w:t>2.</w:t>
      </w:r>
      <w:r>
        <w:rPr>
          <w:rFonts w:hint="eastAsia" w:ascii="宋体" w:hAnsi="宋体"/>
          <w:sz w:val="24"/>
        </w:rPr>
        <w:t xml:space="preserve">1  </w:t>
      </w:r>
      <w:r>
        <w:rPr>
          <w:rFonts w:hint="eastAsia"/>
          <w:sz w:val="24"/>
        </w:rPr>
        <w:t>除招标文件中指定的附件和专用工具外，</w:t>
      </w:r>
      <w:r>
        <w:rPr>
          <w:rFonts w:hint="eastAsia" w:ascii="宋体"/>
          <w:sz w:val="24"/>
        </w:rPr>
        <w:t>投标人应提供仪器设备的正常运行和常规保养所需的全套标准附件、专用工具</w:t>
      </w:r>
      <w:r>
        <w:rPr>
          <w:rFonts w:hint="eastAsia"/>
          <w:sz w:val="24"/>
        </w:rPr>
        <w:t>和消耗品</w:t>
      </w:r>
      <w:r>
        <w:rPr>
          <w:rFonts w:hint="eastAsia" w:ascii="宋体"/>
          <w:sz w:val="24"/>
        </w:rPr>
        <w:t>。投标人在投标书中需列出这些附件和工具的数量和单价的清单，这些附件和工具的报价的总值需计入投标价中。</w:t>
      </w:r>
    </w:p>
    <w:p>
      <w:pPr>
        <w:spacing w:line="360" w:lineRule="auto"/>
        <w:ind w:left="554" w:hanging="554" w:hangingChars="231"/>
        <w:rPr>
          <w:sz w:val="24"/>
        </w:rPr>
      </w:pPr>
      <w:r>
        <w:rPr>
          <w:rFonts w:hint="eastAsia" w:ascii="宋体" w:hAnsi="宋体"/>
          <w:sz w:val="24"/>
        </w:rPr>
        <w:t xml:space="preserve">2.2  </w:t>
      </w:r>
      <w:r>
        <w:rPr>
          <w:rFonts w:hint="eastAsia"/>
          <w:sz w:val="24"/>
        </w:rPr>
        <w:t>对于标书</w:t>
      </w:r>
      <w:r>
        <w:rPr>
          <w:rFonts w:hint="eastAsia" w:ascii="宋体"/>
          <w:sz w:val="24"/>
        </w:rPr>
        <w:t>技术规范中已列</w:t>
      </w:r>
      <w:r>
        <w:rPr>
          <w:rFonts w:hint="eastAsia"/>
          <w:sz w:val="24"/>
        </w:rPr>
        <w:t>出的作为查询选件的附件、零配件、专用工具和消耗品，投标书中</w:t>
      </w:r>
      <w:r>
        <w:rPr>
          <w:rFonts w:hint="eastAsia" w:ascii="宋体"/>
          <w:sz w:val="24"/>
        </w:rPr>
        <w:t>应列明其数量、单价、总价供买方参考。投标人也可推荐买方没有要求的附件或专用工具作为选件，并列明其数量、单价、总价供买方参考。选件价格不计入评标价中。</w:t>
      </w:r>
      <w:r>
        <w:rPr>
          <w:rFonts w:hint="eastAsia"/>
          <w:sz w:val="24"/>
        </w:rPr>
        <w:t>选件一旦为用户接受，其费用将加入合同价中。</w:t>
      </w:r>
    </w:p>
    <w:p>
      <w:pPr>
        <w:spacing w:line="360" w:lineRule="auto"/>
        <w:ind w:left="554" w:hanging="554" w:hangingChars="231"/>
        <w:rPr>
          <w:rFonts w:ascii="宋体" w:hAnsi="宋体"/>
          <w:sz w:val="24"/>
        </w:rPr>
      </w:pPr>
      <w:r>
        <w:rPr>
          <w:rFonts w:hint="eastAsia" w:ascii="宋体" w:hAnsi="宋体"/>
          <w:sz w:val="24"/>
        </w:rPr>
        <w:t>2.3  为便于用户进行接收仪器的准备工作，卖方应在合同生效后</w:t>
      </w:r>
      <w:r>
        <w:rPr>
          <w:rFonts w:hint="eastAsia" w:ascii="宋体" w:hAnsi="宋体"/>
          <w:b/>
          <w:sz w:val="24"/>
        </w:rPr>
        <w:t>60</w:t>
      </w:r>
      <w:r>
        <w:rPr>
          <w:rFonts w:hint="eastAsia" w:ascii="宋体" w:hAnsi="宋体"/>
          <w:sz w:val="24"/>
        </w:rPr>
        <w:t>天内向用户提供一套完整的使用说明书、操作手册、维修及安装说明等文件。另一套完整上述资料应在交货时随货包装提供给用户，这些费用应计入投标价中。</w:t>
      </w:r>
    </w:p>
    <w:p>
      <w:pPr>
        <w:spacing w:line="360" w:lineRule="auto"/>
        <w:ind w:left="554" w:hanging="554" w:hangingChars="231"/>
        <w:rPr>
          <w:rFonts w:ascii="宋体" w:hAnsi="宋体"/>
          <w:sz w:val="24"/>
        </w:rPr>
      </w:pPr>
      <w:r>
        <w:rPr>
          <w:rFonts w:hint="eastAsia" w:ascii="宋体" w:hAnsi="宋体"/>
          <w:sz w:val="24"/>
        </w:rPr>
        <w:t>2</w:t>
      </w:r>
      <w:r>
        <w:rPr>
          <w:rFonts w:ascii="宋体" w:hAnsi="宋体"/>
          <w:sz w:val="24"/>
        </w:rPr>
        <w:t>.</w:t>
      </w:r>
      <w:r>
        <w:rPr>
          <w:rFonts w:hint="eastAsia" w:ascii="宋体" w:hAnsi="宋体"/>
          <w:sz w:val="24"/>
        </w:rPr>
        <w:t>4</w:t>
      </w:r>
      <w:r>
        <w:rPr>
          <w:rFonts w:ascii="宋体" w:hAnsi="宋体"/>
          <w:sz w:val="24"/>
        </w:rPr>
        <w:t xml:space="preserve"> </w:t>
      </w:r>
      <w:r>
        <w:rPr>
          <w:rFonts w:hint="eastAsia" w:ascii="宋体" w:hAnsi="宋体"/>
          <w:sz w:val="24"/>
        </w:rPr>
        <w:t xml:space="preserve"> 关于设备的安装调试，如果有必要的安装准备条件，卖方应在合同生效后一个月内向买方提出详细的要求或计划。安装调试的费用应计入投标价中，并应单独列出，供评标使用。</w:t>
      </w:r>
    </w:p>
    <w:p>
      <w:pPr>
        <w:spacing w:line="360" w:lineRule="auto"/>
        <w:ind w:left="554" w:hanging="554" w:hangingChars="231"/>
        <w:rPr>
          <w:rFonts w:ascii="宋体" w:hAnsi="宋体"/>
          <w:sz w:val="24"/>
        </w:rPr>
      </w:pPr>
      <w:r>
        <w:rPr>
          <w:rFonts w:ascii="宋体" w:hAnsi="宋体"/>
          <w:sz w:val="24"/>
        </w:rPr>
        <w:t>2.</w:t>
      </w:r>
      <w:r>
        <w:rPr>
          <w:rFonts w:hint="eastAsia" w:ascii="宋体" w:hAnsi="宋体"/>
          <w:sz w:val="24"/>
        </w:rPr>
        <w:t>5  制造厂家提供的培训指的是涉及货物的基本原理、操作使用和保养维修等有关内容的培训。培训教员的培训费、旅费、食宿费等费用和培训场地费及培训资料费均应由卖方支付。</w:t>
      </w:r>
    </w:p>
    <w:p>
      <w:pPr>
        <w:spacing w:before="156" w:beforeLines="50" w:after="156" w:afterLines="50" w:line="360" w:lineRule="auto"/>
        <w:ind w:left="601" w:hanging="601"/>
        <w:rPr>
          <w:rFonts w:ascii="宋体" w:hAnsi="宋体"/>
          <w:b/>
          <w:sz w:val="28"/>
        </w:rPr>
      </w:pPr>
      <w:r>
        <w:rPr>
          <w:rFonts w:hint="eastAsia" w:ascii="宋体" w:hAnsi="宋体"/>
          <w:b/>
          <w:sz w:val="28"/>
        </w:rPr>
        <w:t>3、工作条件</w:t>
      </w:r>
    </w:p>
    <w:p>
      <w:pPr>
        <w:spacing w:after="312" w:afterLines="100" w:line="360" w:lineRule="auto"/>
        <w:rPr>
          <w:rFonts w:ascii="宋体" w:hAnsi="宋体"/>
          <w:sz w:val="24"/>
        </w:rPr>
      </w:pPr>
      <w:r>
        <w:rPr>
          <w:rFonts w:hint="eastAsia" w:ascii="宋体" w:hAnsi="宋体"/>
          <w:sz w:val="24"/>
        </w:rPr>
        <w:t>除非在技术规格中另有说明，所有仪器、设备和系统都应符合下列要求：</w:t>
      </w:r>
      <w:r>
        <w:rPr>
          <w:rFonts w:ascii="宋体" w:hAnsi="宋体"/>
          <w:sz w:val="24"/>
        </w:rPr>
        <w:t xml:space="preserve"> </w:t>
      </w:r>
    </w:p>
    <w:p>
      <w:pPr>
        <w:spacing w:line="360" w:lineRule="auto"/>
        <w:ind w:left="554" w:hanging="554" w:hangingChars="231"/>
        <w:rPr>
          <w:rFonts w:ascii="宋体" w:hAnsi="宋体"/>
          <w:sz w:val="24"/>
        </w:rPr>
      </w:pPr>
      <w:r>
        <w:rPr>
          <w:rFonts w:hint="eastAsia" w:ascii="宋体" w:hAnsi="宋体"/>
          <w:sz w:val="24"/>
        </w:rPr>
        <w:t>3.1  适于在气温为摄氏</w:t>
      </w:r>
      <w:r>
        <w:rPr>
          <w:rFonts w:ascii="宋体" w:hAnsi="宋体"/>
          <w:b/>
          <w:sz w:val="24"/>
        </w:rPr>
        <w:t>-40</w:t>
      </w:r>
      <w:r>
        <w:rPr>
          <w:rFonts w:hint="eastAsia" w:ascii="宋体" w:hAnsi="宋体"/>
          <w:b/>
          <w:sz w:val="24"/>
        </w:rPr>
        <w:t>℃～＋</w:t>
      </w:r>
      <w:r>
        <w:rPr>
          <w:rFonts w:ascii="宋体" w:hAnsi="宋体"/>
          <w:b/>
          <w:sz w:val="24"/>
        </w:rPr>
        <w:t>50</w:t>
      </w:r>
      <w:r>
        <w:rPr>
          <w:rFonts w:hint="eastAsia" w:ascii="宋体" w:hAnsi="宋体"/>
          <w:b/>
          <w:sz w:val="24"/>
        </w:rPr>
        <w:t>℃</w:t>
      </w:r>
      <w:r>
        <w:rPr>
          <w:rFonts w:hint="eastAsia" w:ascii="宋体" w:hAnsi="宋体"/>
          <w:sz w:val="24"/>
        </w:rPr>
        <w:t>和相对湿度为</w:t>
      </w:r>
      <w:r>
        <w:rPr>
          <w:rFonts w:ascii="宋体" w:hAnsi="宋体"/>
          <w:b/>
          <w:sz w:val="24"/>
        </w:rPr>
        <w:t>90</w:t>
      </w:r>
      <w:r>
        <w:rPr>
          <w:rFonts w:hint="eastAsia" w:ascii="宋体" w:hAnsi="宋体"/>
          <w:b/>
          <w:sz w:val="24"/>
        </w:rPr>
        <w:t>％</w:t>
      </w:r>
      <w:r>
        <w:rPr>
          <w:rFonts w:hint="eastAsia" w:ascii="宋体" w:hAnsi="宋体"/>
          <w:sz w:val="24"/>
        </w:rPr>
        <w:t>的环境条件下运输和贮存。</w:t>
      </w:r>
    </w:p>
    <w:p>
      <w:pPr>
        <w:spacing w:line="360" w:lineRule="auto"/>
        <w:ind w:left="554" w:hanging="554" w:hangingChars="231"/>
        <w:rPr>
          <w:rFonts w:ascii="宋体" w:hAnsi="宋体"/>
          <w:sz w:val="24"/>
        </w:rPr>
      </w:pPr>
      <w:r>
        <w:rPr>
          <w:rFonts w:hint="eastAsia" w:ascii="宋体" w:hAnsi="宋体"/>
          <w:sz w:val="24"/>
        </w:rPr>
        <w:t>3.2  适于在电源</w:t>
      </w:r>
      <w:r>
        <w:rPr>
          <w:rFonts w:ascii="宋体" w:hAnsi="宋体"/>
          <w:b/>
          <w:sz w:val="24"/>
        </w:rPr>
        <w:t>220V</w:t>
      </w:r>
      <w:r>
        <w:rPr>
          <w:rFonts w:hint="eastAsia" w:ascii="宋体" w:hAnsi="宋体"/>
          <w:b/>
          <w:sz w:val="24"/>
        </w:rPr>
        <w:t>（</w:t>
      </w:r>
      <w:r>
        <w:rPr>
          <w:rFonts w:ascii="宋体" w:hAnsi="宋体"/>
          <w:b/>
          <w:sz w:val="24"/>
        </w:rPr>
        <w:sym w:font="Symbol" w:char="F0B1"/>
      </w:r>
      <w:r>
        <w:rPr>
          <w:rFonts w:ascii="宋体" w:hAnsi="宋体"/>
          <w:b/>
          <w:sz w:val="24"/>
        </w:rPr>
        <w:t>10</w:t>
      </w:r>
      <w:r>
        <w:rPr>
          <w:rFonts w:hint="eastAsia" w:ascii="宋体" w:hAnsi="宋体"/>
          <w:b/>
          <w:sz w:val="24"/>
        </w:rPr>
        <w:t>％）</w:t>
      </w:r>
      <w:r>
        <w:rPr>
          <w:rFonts w:ascii="宋体" w:hAnsi="宋体"/>
          <w:b/>
          <w:sz w:val="24"/>
        </w:rPr>
        <w:t>/50Hz</w:t>
      </w:r>
      <w:r>
        <w:rPr>
          <w:rFonts w:hint="eastAsia" w:ascii="宋体" w:hAnsi="宋体"/>
          <w:sz w:val="24"/>
        </w:rPr>
        <w:t>、气温摄氏</w:t>
      </w:r>
      <w:r>
        <w:rPr>
          <w:rFonts w:hint="eastAsia" w:ascii="宋体" w:hAnsi="宋体"/>
          <w:b/>
          <w:sz w:val="24"/>
        </w:rPr>
        <w:t>+1</w:t>
      </w:r>
      <w:r>
        <w:rPr>
          <w:rFonts w:ascii="宋体" w:hAnsi="宋体"/>
          <w:b/>
          <w:sz w:val="24"/>
        </w:rPr>
        <w:t>5</w:t>
      </w:r>
      <w:r>
        <w:rPr>
          <w:rFonts w:hint="eastAsia" w:ascii="宋体" w:hAnsi="宋体"/>
          <w:b/>
          <w:sz w:val="24"/>
        </w:rPr>
        <w:t>℃～＋3</w:t>
      </w:r>
      <w:r>
        <w:rPr>
          <w:rFonts w:ascii="宋体" w:hAnsi="宋体"/>
          <w:b/>
          <w:sz w:val="24"/>
        </w:rPr>
        <w:t>0</w:t>
      </w:r>
      <w:r>
        <w:rPr>
          <w:rFonts w:hint="eastAsia" w:ascii="宋体" w:hAnsi="宋体"/>
          <w:b/>
          <w:sz w:val="24"/>
        </w:rPr>
        <w:t>℃</w:t>
      </w:r>
      <w:r>
        <w:rPr>
          <w:rFonts w:hint="eastAsia" w:ascii="宋体" w:hAnsi="宋体"/>
          <w:sz w:val="24"/>
        </w:rPr>
        <w:t>和相对湿度小于</w:t>
      </w:r>
      <w:r>
        <w:rPr>
          <w:rFonts w:ascii="宋体" w:hAnsi="宋体"/>
          <w:b/>
          <w:sz w:val="24"/>
        </w:rPr>
        <w:t>8</w:t>
      </w:r>
      <w:r>
        <w:rPr>
          <w:rFonts w:hint="eastAsia" w:ascii="宋体" w:hAnsi="宋体"/>
          <w:b/>
          <w:sz w:val="24"/>
        </w:rPr>
        <w:t>0％</w:t>
      </w:r>
      <w:r>
        <w:rPr>
          <w:rFonts w:hint="eastAsia" w:ascii="宋体" w:hAnsi="宋体"/>
          <w:sz w:val="24"/>
        </w:rPr>
        <w:t>的环境条件下运行。</w:t>
      </w:r>
      <w:r>
        <w:rPr>
          <w:rFonts w:hint="eastAsia" w:ascii="宋体" w:hAnsi="宋体"/>
          <w:b/>
          <w:sz w:val="24"/>
        </w:rPr>
        <w:t>能够连续正常工作。</w:t>
      </w:r>
    </w:p>
    <w:p>
      <w:pPr>
        <w:spacing w:line="360" w:lineRule="auto"/>
        <w:ind w:left="554" w:hanging="554" w:hangingChars="231"/>
        <w:rPr>
          <w:rFonts w:ascii="宋体" w:hAnsi="宋体"/>
          <w:sz w:val="24"/>
        </w:rPr>
      </w:pPr>
      <w:r>
        <w:rPr>
          <w:rFonts w:hint="eastAsia" w:ascii="宋体" w:hAnsi="宋体"/>
          <w:sz w:val="24"/>
        </w:rPr>
        <w:t>3.3  配置符合中国有关标准要求的插头，如果没有这样的插头，则需</w:t>
      </w:r>
      <w:r>
        <w:rPr>
          <w:rFonts w:hint="eastAsia" w:ascii="宋体"/>
          <w:sz w:val="24"/>
        </w:rPr>
        <w:t>提供适当的转</w:t>
      </w:r>
      <w:r>
        <w:rPr>
          <w:rFonts w:hint="eastAsia" w:ascii="宋体" w:hAnsi="宋体"/>
          <w:sz w:val="24"/>
        </w:rPr>
        <w:t>换插座。</w:t>
      </w:r>
    </w:p>
    <w:p>
      <w:pPr>
        <w:spacing w:line="360" w:lineRule="auto"/>
        <w:ind w:left="554" w:hanging="554" w:hangingChars="231"/>
        <w:rPr>
          <w:rFonts w:ascii="宋体" w:hAnsi="宋体"/>
          <w:sz w:val="24"/>
        </w:rPr>
      </w:pPr>
      <w:r>
        <w:rPr>
          <w:rFonts w:hint="eastAsia" w:ascii="宋体" w:hAnsi="宋体"/>
          <w:sz w:val="24"/>
        </w:rPr>
        <w:t>3.4  如产品达不到上述要求，投标人应注明其偏差。如仪器设备需要特殊工作条件（如水、电源、磁场强度、温度、湿度、动强度等）投标人应在投标书中加以说明。</w:t>
      </w:r>
    </w:p>
    <w:p>
      <w:pPr>
        <w:rPr>
          <w:rFonts w:eastAsia="黑体"/>
          <w:b/>
          <w:bCs/>
          <w:kern w:val="44"/>
          <w:sz w:val="24"/>
        </w:rPr>
      </w:pPr>
    </w:p>
    <w:p>
      <w:pPr>
        <w:spacing w:before="156" w:beforeLines="50" w:after="156" w:afterLines="50" w:line="360" w:lineRule="auto"/>
        <w:ind w:left="601" w:hanging="601"/>
        <w:rPr>
          <w:rFonts w:ascii="宋体" w:hAnsi="宋体"/>
          <w:b/>
          <w:sz w:val="28"/>
        </w:rPr>
      </w:pPr>
      <w:r>
        <w:rPr>
          <w:rFonts w:hint="eastAsia" w:ascii="宋体" w:hAnsi="宋体"/>
          <w:b/>
          <w:sz w:val="28"/>
        </w:rPr>
        <w:t>4、验收标准</w:t>
      </w:r>
    </w:p>
    <w:p>
      <w:pPr>
        <w:spacing w:line="360" w:lineRule="auto"/>
        <w:rPr>
          <w:rFonts w:ascii="宋体" w:hAnsi="宋体"/>
          <w:sz w:val="24"/>
        </w:rPr>
      </w:pPr>
      <w:r>
        <w:rPr>
          <w:rFonts w:hint="eastAsia" w:ascii="宋体" w:hAnsi="宋体"/>
          <w:sz w:val="24"/>
        </w:rPr>
        <w:t>除非在技术规格中另有说明，所有仪器、设备和系统按下列要求进行验收：</w:t>
      </w:r>
      <w:r>
        <w:rPr>
          <w:rFonts w:ascii="宋体" w:hAnsi="宋体"/>
          <w:sz w:val="24"/>
        </w:rPr>
        <w:t xml:space="preserve"> </w:t>
      </w:r>
    </w:p>
    <w:p>
      <w:pPr>
        <w:spacing w:line="360" w:lineRule="auto"/>
        <w:ind w:left="554" w:hanging="554" w:hangingChars="231"/>
        <w:rPr>
          <w:rFonts w:ascii="宋体" w:hAnsi="宋体"/>
          <w:sz w:val="24"/>
        </w:rPr>
      </w:pPr>
      <w:r>
        <w:rPr>
          <w:rFonts w:hint="eastAsia" w:ascii="宋体" w:hAnsi="宋体"/>
          <w:sz w:val="24"/>
        </w:rPr>
        <w:t>4.1  仪器设备运抵安装现场后，买方将与卖方共同开箱验收</w:t>
      </w:r>
      <w:r>
        <w:rPr>
          <w:rFonts w:ascii="宋体" w:hAnsi="宋体"/>
          <w:sz w:val="24"/>
        </w:rPr>
        <w:t xml:space="preserve">, </w:t>
      </w:r>
      <w:r>
        <w:rPr>
          <w:rFonts w:hint="eastAsia" w:ascii="宋体" w:hAnsi="宋体"/>
          <w:sz w:val="24"/>
        </w:rPr>
        <w:t>如卖方届时不派人来</w:t>
      </w:r>
      <w:r>
        <w:rPr>
          <w:rFonts w:ascii="宋体" w:hAnsi="宋体"/>
          <w:sz w:val="24"/>
        </w:rPr>
        <w:t xml:space="preserve">, </w:t>
      </w:r>
      <w:r>
        <w:rPr>
          <w:rFonts w:hint="eastAsia" w:ascii="宋体" w:hAnsi="宋体"/>
          <w:sz w:val="24"/>
        </w:rPr>
        <w:t>则验收结果应以买方的验收报告为最终验收结果。验收时发现短缺、破损</w:t>
      </w:r>
      <w:r>
        <w:rPr>
          <w:rFonts w:ascii="宋体" w:hAnsi="宋体"/>
          <w:sz w:val="24"/>
        </w:rPr>
        <w:t xml:space="preserve">, </w:t>
      </w:r>
      <w:r>
        <w:rPr>
          <w:rFonts w:hint="eastAsia" w:ascii="宋体" w:hAnsi="宋体"/>
          <w:sz w:val="24"/>
        </w:rPr>
        <w:t>买方有权要求卖方负责更换。</w:t>
      </w:r>
    </w:p>
    <w:p>
      <w:pPr>
        <w:spacing w:line="360" w:lineRule="auto"/>
        <w:ind w:left="554" w:hanging="554" w:hangingChars="231"/>
        <w:rPr>
          <w:rFonts w:ascii="宋体" w:hAnsi="宋体"/>
          <w:sz w:val="24"/>
        </w:rPr>
      </w:pPr>
      <w:r>
        <w:rPr>
          <w:rFonts w:hint="eastAsia" w:ascii="宋体" w:hAnsi="宋体"/>
          <w:sz w:val="24"/>
        </w:rPr>
        <w:t xml:space="preserve">4.2  </w:t>
      </w:r>
      <w:r>
        <w:rPr>
          <w:rFonts w:hint="eastAsia"/>
          <w:sz w:val="24"/>
        </w:rPr>
        <w:t>验收标准以中标人提供的投标文件中所列的指标为准（该指标应不低于招标文件所要求的指标）。任何虚假指标响应一经发现即作废标，卖方必须承担由此给买方带来的一切经济损失和其它相关责任。</w:t>
      </w:r>
    </w:p>
    <w:p>
      <w:pPr>
        <w:spacing w:line="360" w:lineRule="auto"/>
        <w:ind w:left="554" w:hanging="554" w:hangingChars="231"/>
        <w:rPr>
          <w:rFonts w:ascii="宋体" w:hAnsi="宋体"/>
          <w:sz w:val="24"/>
        </w:rPr>
      </w:pPr>
      <w:r>
        <w:rPr>
          <w:rFonts w:hint="eastAsia" w:ascii="宋体" w:hAnsi="宋体"/>
          <w:sz w:val="24"/>
        </w:rPr>
        <w:t xml:space="preserve">4.3  </w:t>
      </w:r>
      <w:r>
        <w:rPr>
          <w:rFonts w:ascii="宋体" w:hAnsi="宋体"/>
          <w:sz w:val="24"/>
        </w:rPr>
        <w:t>验收由采购人、中标人及相关人员依国家有关标准、合同及有关附件要求进行，验收完毕由采购人及中标人在验收报告上签名。</w:t>
      </w:r>
    </w:p>
    <w:p>
      <w:pPr>
        <w:pStyle w:val="17"/>
        <w:spacing w:line="360" w:lineRule="auto"/>
        <w:ind w:left="410" w:hanging="410" w:hangingChars="170"/>
        <w:rPr>
          <w:rFonts w:hAnsi="宋体"/>
          <w:b/>
          <w:sz w:val="24"/>
          <w:szCs w:val="24"/>
        </w:rPr>
      </w:pPr>
    </w:p>
    <w:p>
      <w:pPr>
        <w:pStyle w:val="17"/>
        <w:spacing w:line="360" w:lineRule="auto"/>
        <w:ind w:left="410" w:hanging="410" w:hangingChars="170"/>
        <w:rPr>
          <w:rFonts w:hAnsi="宋体"/>
          <w:b/>
          <w:sz w:val="24"/>
          <w:szCs w:val="24"/>
        </w:rPr>
      </w:pPr>
      <w:r>
        <w:rPr>
          <w:rFonts w:hint="eastAsia" w:hAnsi="宋体"/>
          <w:b/>
          <w:sz w:val="24"/>
          <w:szCs w:val="24"/>
        </w:rPr>
        <w:t>5、本技术规格书中标注“*”号的为实质性要求，不满足其投标将被拒绝。</w:t>
      </w:r>
    </w:p>
    <w:p>
      <w:pPr>
        <w:spacing w:after="156" w:afterLines="50"/>
        <w:ind w:left="601" w:hanging="601"/>
        <w:rPr>
          <w:rFonts w:hAnsi="宋体"/>
          <w:b/>
          <w:sz w:val="24"/>
        </w:rPr>
      </w:pPr>
      <w:r>
        <w:rPr>
          <w:rFonts w:hint="eastAsia" w:hAnsi="宋体"/>
          <w:b/>
          <w:sz w:val="24"/>
        </w:rPr>
        <w:t>6、如在具体技术规格中有本总则不一致之处，以具体技术规格中的要求为准。</w:t>
      </w:r>
    </w:p>
    <w:p>
      <w:pPr>
        <w:spacing w:after="156" w:afterLines="50"/>
        <w:ind w:left="601" w:hanging="601"/>
        <w:rPr>
          <w:rFonts w:hAnsi="宋体"/>
          <w:b/>
          <w:sz w:val="24"/>
        </w:rPr>
      </w:pPr>
    </w:p>
    <w:p>
      <w:pPr>
        <w:spacing w:after="156" w:afterLines="50"/>
        <w:ind w:left="601" w:hanging="601"/>
        <w:rPr>
          <w:rFonts w:ascii="宋体" w:hAnsi="宋体"/>
          <w:b/>
          <w:sz w:val="28"/>
        </w:rPr>
      </w:pPr>
      <w:r>
        <w:rPr>
          <w:rFonts w:hint="eastAsia" w:ascii="宋体" w:hAnsi="宋体"/>
          <w:b/>
          <w:sz w:val="28"/>
        </w:rPr>
        <w:t>三、具体技术规格</w:t>
      </w:r>
    </w:p>
    <w:p>
      <w:pPr>
        <w:rPr>
          <w:sz w:val="24"/>
        </w:rPr>
      </w:pPr>
    </w:p>
    <w:p>
      <w:pPr>
        <w:jc w:val="center"/>
        <w:rPr>
          <w:b/>
          <w:sz w:val="24"/>
        </w:rPr>
      </w:pPr>
      <w:r>
        <w:rPr>
          <w:rFonts w:hint="eastAsia"/>
          <w:b/>
          <w:sz w:val="24"/>
        </w:rPr>
        <w:t xml:space="preserve">第1包 </w:t>
      </w:r>
      <w:r>
        <w:rPr>
          <w:rFonts w:hint="eastAsia" w:ascii="Bookman Old Style" w:hAnsi="Bookman Old Style"/>
          <w:b/>
          <w:bCs/>
          <w:sz w:val="24"/>
        </w:rPr>
        <w:t>激光共聚焦显微镜</w:t>
      </w:r>
    </w:p>
    <w:p>
      <w:pPr>
        <w:rPr>
          <w:b/>
          <w:sz w:val="24"/>
        </w:rPr>
      </w:pPr>
    </w:p>
    <w:p>
      <w:pPr>
        <w:rPr>
          <w:b/>
          <w:sz w:val="24"/>
        </w:rPr>
      </w:pPr>
    </w:p>
    <w:p>
      <w:pPr>
        <w:numPr>
          <w:ilvl w:val="0"/>
          <w:numId w:val="2"/>
        </w:numPr>
        <w:rPr>
          <w:b/>
          <w:sz w:val="24"/>
        </w:rPr>
      </w:pPr>
      <w:r>
        <w:rPr>
          <w:rFonts w:hint="eastAsia"/>
          <w:b/>
          <w:sz w:val="24"/>
        </w:rPr>
        <w:t>技术要求：</w:t>
      </w:r>
    </w:p>
    <w:p>
      <w:pPr>
        <w:rPr>
          <w:b/>
          <w:sz w:val="24"/>
        </w:rPr>
      </w:pPr>
    </w:p>
    <w:p>
      <w:pPr>
        <w:spacing w:line="360" w:lineRule="auto"/>
        <w:ind w:left="360" w:hanging="360"/>
        <w:rPr>
          <w:b/>
          <w:sz w:val="24"/>
        </w:rPr>
      </w:pPr>
      <w:r>
        <w:rPr>
          <w:rFonts w:hint="eastAsia"/>
          <w:b/>
          <w:sz w:val="24"/>
        </w:rPr>
        <w:t>1.工作条件：</w:t>
      </w:r>
    </w:p>
    <w:p>
      <w:pPr>
        <w:spacing w:line="440" w:lineRule="exact"/>
        <w:rPr>
          <w:rFonts w:ascii="宋体" w:hAnsi="宋体"/>
          <w:sz w:val="24"/>
          <w:lang w:val="en-GB"/>
        </w:rPr>
      </w:pPr>
      <w:r>
        <w:rPr>
          <w:rFonts w:hint="eastAsia" w:ascii="宋体" w:hAnsi="宋体" w:cs="宋体"/>
          <w:sz w:val="24"/>
        </w:rPr>
        <w:t xml:space="preserve">1.1 </w:t>
      </w:r>
      <w:r>
        <w:rPr>
          <w:rFonts w:hint="eastAsia" w:ascii="宋体" w:hAnsi="宋体"/>
          <w:sz w:val="24"/>
          <w:lang w:val="en-GB"/>
        </w:rPr>
        <w:t>湿度&lt;55% （无冷凝水）</w:t>
      </w:r>
    </w:p>
    <w:p>
      <w:pPr>
        <w:spacing w:line="440" w:lineRule="exact"/>
        <w:rPr>
          <w:rFonts w:ascii="宋体" w:hAnsi="宋体"/>
          <w:sz w:val="24"/>
          <w:lang w:val="en-GB"/>
        </w:rPr>
      </w:pPr>
      <w:r>
        <w:rPr>
          <w:rFonts w:hint="eastAsia" w:ascii="宋体" w:hAnsi="宋体"/>
          <w:sz w:val="24"/>
        </w:rPr>
        <w:t>1</w:t>
      </w:r>
      <w:r>
        <w:rPr>
          <w:rFonts w:hint="eastAsia" w:ascii="宋体" w:hAnsi="宋体"/>
          <w:sz w:val="24"/>
          <w:lang w:val="en-GB"/>
        </w:rPr>
        <w:t>.</w:t>
      </w:r>
      <w:r>
        <w:rPr>
          <w:rFonts w:hint="eastAsia" w:ascii="宋体" w:hAnsi="宋体"/>
          <w:sz w:val="24"/>
        </w:rPr>
        <w:t xml:space="preserve">2 </w:t>
      </w:r>
      <w:r>
        <w:rPr>
          <w:rFonts w:hint="eastAsia" w:ascii="宋体" w:hAnsi="宋体"/>
          <w:sz w:val="24"/>
          <w:lang w:val="en-GB"/>
        </w:rPr>
        <w:t>运行时室内温度：15°C ~ 30°C</w:t>
      </w:r>
    </w:p>
    <w:p>
      <w:pPr>
        <w:spacing w:line="440" w:lineRule="exact"/>
        <w:rPr>
          <w:rFonts w:ascii="宋体" w:hAnsi="宋体"/>
          <w:sz w:val="24"/>
          <w:lang w:val="en-GB"/>
        </w:rPr>
      </w:pPr>
      <w:r>
        <w:rPr>
          <w:rFonts w:hint="eastAsia" w:ascii="宋体" w:hAnsi="宋体"/>
          <w:sz w:val="24"/>
        </w:rPr>
        <w:t xml:space="preserve">1.3 </w:t>
      </w:r>
      <w:r>
        <w:rPr>
          <w:rFonts w:hint="eastAsia" w:ascii="宋体" w:hAnsi="宋体"/>
          <w:sz w:val="24"/>
          <w:lang w:val="en-GB"/>
        </w:rPr>
        <w:t>存放时室内温度：5°C ~ 35°C</w:t>
      </w:r>
    </w:p>
    <w:p>
      <w:pPr>
        <w:spacing w:line="360" w:lineRule="auto"/>
        <w:rPr>
          <w:rFonts w:ascii="宋体" w:hAnsi="宋体" w:cs="宋体"/>
          <w:position w:val="-14"/>
          <w:sz w:val="24"/>
        </w:rPr>
      </w:pPr>
      <w:r>
        <w:rPr>
          <w:rFonts w:hint="eastAsia" w:ascii="宋体" w:hAnsi="宋体"/>
          <w:sz w:val="24"/>
        </w:rPr>
        <w:t xml:space="preserve">1.4 </w:t>
      </w:r>
      <w:r>
        <w:rPr>
          <w:rFonts w:hint="eastAsia" w:ascii="宋体" w:hAnsi="宋体"/>
          <w:sz w:val="24"/>
          <w:lang w:val="en-GB"/>
        </w:rPr>
        <w:t>电源供应：200-240 V / 50/60 Hz</w:t>
      </w:r>
    </w:p>
    <w:p>
      <w:pPr>
        <w:spacing w:line="360" w:lineRule="auto"/>
        <w:ind w:left="435" w:firstLine="240"/>
        <w:rPr>
          <w:sz w:val="24"/>
        </w:rPr>
      </w:pPr>
    </w:p>
    <w:p>
      <w:pPr>
        <w:spacing w:line="360" w:lineRule="auto"/>
        <w:ind w:left="360" w:hanging="360"/>
        <w:rPr>
          <w:b/>
          <w:sz w:val="24"/>
        </w:rPr>
      </w:pPr>
      <w:r>
        <w:rPr>
          <w:rFonts w:hint="eastAsia"/>
          <w:b/>
          <w:sz w:val="24"/>
        </w:rPr>
        <w:t>2.设备用途：</w:t>
      </w:r>
    </w:p>
    <w:p>
      <w:pPr>
        <w:spacing w:line="360" w:lineRule="auto"/>
        <w:rPr>
          <w:rFonts w:ascii="宋体" w:hAnsi="宋体"/>
          <w:sz w:val="24"/>
        </w:rPr>
      </w:pPr>
      <w:r>
        <w:rPr>
          <w:rFonts w:hint="eastAsia" w:ascii="宋体" w:hAnsi="宋体" w:cs="宋体"/>
          <w:sz w:val="24"/>
        </w:rPr>
        <w:t xml:space="preserve">2.1 </w:t>
      </w:r>
      <w:r>
        <w:rPr>
          <w:rFonts w:hint="eastAsia" w:ascii="宋体" w:hAnsi="宋体"/>
          <w:sz w:val="24"/>
        </w:rPr>
        <w:t>激光共聚焦显微镜是生物医学研究中不可缺少的重要仪器，用于组织和细胞内微小结构和物质的观察，如膜蛋白于膜微结构域、膜结构细胞器内部的微小结构观察，细胞骨架结构、细菌等微生物内部的物质结构研究等，主要适用于组织和细胞中荧光标记的分子和结构检测、荧光强度信号的定量分析、荧光漂白及恢复实验以及其他生物学应用。其高分辨系统能够提供更加清晰的图像，为肠道菌群稳态和病理条件下的相关研究、感染与相关药物的开发提供图像支持。</w:t>
      </w:r>
    </w:p>
    <w:p>
      <w:pPr>
        <w:spacing w:line="360" w:lineRule="auto"/>
        <w:rPr>
          <w:sz w:val="24"/>
        </w:rPr>
      </w:pPr>
    </w:p>
    <w:p>
      <w:pPr>
        <w:spacing w:line="360" w:lineRule="auto"/>
        <w:ind w:left="360" w:hanging="360"/>
        <w:rPr>
          <w:b/>
          <w:sz w:val="24"/>
        </w:rPr>
      </w:pPr>
      <w:r>
        <w:rPr>
          <w:rFonts w:hint="eastAsia"/>
          <w:b/>
          <w:sz w:val="24"/>
        </w:rPr>
        <w:t>3.技术规格：</w:t>
      </w:r>
    </w:p>
    <w:p>
      <w:pPr>
        <w:pStyle w:val="43"/>
        <w:spacing w:line="360" w:lineRule="auto"/>
        <w:ind w:firstLine="0" w:firstLineChars="0"/>
        <w:rPr>
          <w:rFonts w:ascii="宋体" w:hAnsi="宋体" w:cs="宋体"/>
          <w:b/>
          <w:bCs/>
          <w:sz w:val="24"/>
        </w:rPr>
      </w:pPr>
      <w:r>
        <w:rPr>
          <w:rFonts w:hint="eastAsia" w:ascii="宋体" w:hAnsi="宋体" w:cs="宋体"/>
          <w:b/>
          <w:bCs/>
          <w:sz w:val="24"/>
        </w:rPr>
        <w:t>3.1激光器部分</w:t>
      </w:r>
    </w:p>
    <w:p>
      <w:pPr>
        <w:pStyle w:val="43"/>
        <w:spacing w:line="360" w:lineRule="auto"/>
        <w:ind w:firstLine="0" w:firstLineChars="0"/>
        <w:jc w:val="left"/>
        <w:rPr>
          <w:rFonts w:ascii="宋体" w:hAnsi="宋体" w:cs="宋体"/>
          <w:sz w:val="24"/>
        </w:rPr>
      </w:pPr>
      <w:bookmarkStart w:id="1" w:name="_Hlk49696241"/>
      <w:r>
        <w:rPr>
          <w:rFonts w:hint="eastAsia" w:ascii="宋体" w:hAnsi="宋体" w:cs="宋体"/>
          <w:sz w:val="24"/>
          <w:lang w:val="en-US" w:eastAsia="zh-CN"/>
        </w:rPr>
        <w:t>*</w:t>
      </w:r>
      <w:r>
        <w:rPr>
          <w:rFonts w:hint="eastAsia" w:ascii="宋体" w:hAnsi="宋体" w:cs="宋体"/>
          <w:sz w:val="24"/>
        </w:rPr>
        <w:t>3.1.1</w:t>
      </w:r>
      <w:r>
        <w:rPr>
          <w:rFonts w:ascii="宋体" w:hAnsi="宋体" w:cs="宋体"/>
          <w:sz w:val="24"/>
        </w:rPr>
        <w:t xml:space="preserve"> </w:t>
      </w:r>
      <w:r>
        <w:rPr>
          <w:rFonts w:hint="eastAsia" w:ascii="宋体" w:hAnsi="宋体" w:cs="宋体"/>
          <w:sz w:val="24"/>
        </w:rPr>
        <w:t>固态激光器</w:t>
      </w:r>
      <w:bookmarkStart w:id="2" w:name="_Hlk532720901"/>
      <w:r>
        <w:rPr>
          <w:rFonts w:hint="eastAsia" w:ascii="宋体" w:hAnsi="宋体" w:cs="宋体"/>
          <w:sz w:val="24"/>
        </w:rPr>
        <w:t>：采用单模保偏光纤，能量动态范围 ≥10000:1；波长至少包含：</w:t>
      </w:r>
      <w:bookmarkEnd w:id="1"/>
      <w:bookmarkEnd w:id="2"/>
      <w:bookmarkStart w:id="3" w:name="_Hlk49696249"/>
      <w:r>
        <w:rPr>
          <w:rFonts w:hint="eastAsia" w:ascii="宋体" w:hAnsi="宋体" w:cs="宋体"/>
          <w:sz w:val="24"/>
        </w:rPr>
        <w:t>405nm</w:t>
      </w:r>
      <w:bookmarkEnd w:id="3"/>
      <w:r>
        <w:rPr>
          <w:rFonts w:hint="eastAsia" w:ascii="宋体" w:hAnsi="宋体" w:cs="宋体"/>
          <w:sz w:val="24"/>
        </w:rPr>
        <w:t>，488nm，561nm，640nm；</w:t>
      </w:r>
      <w:bookmarkStart w:id="4" w:name="_Hlk532718579"/>
      <w:bookmarkStart w:id="5" w:name="_Hlk532720946"/>
    </w:p>
    <w:p>
      <w:pPr>
        <w:pStyle w:val="43"/>
        <w:spacing w:line="360" w:lineRule="auto"/>
        <w:ind w:firstLine="0" w:firstLineChars="0"/>
        <w:jc w:val="left"/>
        <w:rPr>
          <w:rFonts w:ascii="宋体" w:hAnsi="宋体" w:cs="宋体"/>
          <w:sz w:val="24"/>
        </w:rPr>
      </w:pPr>
      <w:r>
        <w:rPr>
          <w:rFonts w:hint="eastAsia" w:ascii="宋体" w:hAnsi="宋体" w:cs="宋体"/>
          <w:sz w:val="24"/>
        </w:rPr>
        <w:t>3.1.2</w:t>
      </w:r>
      <w:r>
        <w:rPr>
          <w:rFonts w:ascii="宋体" w:hAnsi="宋体" w:cs="宋体"/>
          <w:sz w:val="24"/>
        </w:rPr>
        <w:t xml:space="preserve"> </w:t>
      </w:r>
      <w:r>
        <w:rPr>
          <w:rFonts w:hint="eastAsia" w:ascii="宋体" w:hAnsi="宋体" w:cs="宋体"/>
          <w:sz w:val="24"/>
        </w:rPr>
        <w:t>软件可以直接调节所有激光器开关以及强度，</w:t>
      </w:r>
      <w:bookmarkEnd w:id="4"/>
      <w:r>
        <w:rPr>
          <w:rFonts w:hint="eastAsia" w:ascii="宋体" w:hAnsi="宋体" w:cs="宋体"/>
          <w:sz w:val="24"/>
        </w:rPr>
        <w:t>并具有实验中未使用自动进入关闭状态；</w:t>
      </w:r>
    </w:p>
    <w:p>
      <w:pPr>
        <w:pStyle w:val="43"/>
        <w:spacing w:line="360" w:lineRule="auto"/>
        <w:ind w:firstLine="0" w:firstLineChars="0"/>
        <w:jc w:val="left"/>
        <w:rPr>
          <w:rFonts w:ascii="宋体" w:hAnsi="宋体" w:cs="宋体"/>
          <w:sz w:val="24"/>
        </w:rPr>
      </w:pPr>
      <w:r>
        <w:rPr>
          <w:rFonts w:hint="eastAsia" w:ascii="宋体" w:hAnsi="宋体" w:cs="宋体"/>
          <w:sz w:val="24"/>
        </w:rPr>
        <w:t>#3.1.3</w:t>
      </w:r>
      <w:r>
        <w:rPr>
          <w:rFonts w:ascii="宋体" w:hAnsi="宋体" w:cs="宋体"/>
          <w:sz w:val="24"/>
        </w:rPr>
        <w:t xml:space="preserve"> </w:t>
      </w:r>
      <w:r>
        <w:rPr>
          <w:rFonts w:hint="eastAsia" w:ascii="宋体" w:hAnsi="宋体" w:cs="宋体"/>
          <w:sz w:val="24"/>
        </w:rPr>
        <w:t>激光器功率最小调节精度≤0.001%</w:t>
      </w:r>
      <w:bookmarkEnd w:id="5"/>
      <w:r>
        <w:rPr>
          <w:rFonts w:hint="eastAsia" w:ascii="宋体" w:hAnsi="宋体" w:cs="宋体"/>
          <w:sz w:val="24"/>
          <w:lang w:eastAsia="zh-CN"/>
        </w:rPr>
        <w:t>，提供官网的材料数据或第三方证明</w:t>
      </w:r>
      <w:r>
        <w:rPr>
          <w:rFonts w:hint="eastAsia" w:ascii="宋体" w:hAnsi="宋体" w:cs="宋体"/>
          <w:sz w:val="24"/>
        </w:rPr>
        <w:t>；</w:t>
      </w:r>
    </w:p>
    <w:p>
      <w:pPr>
        <w:pStyle w:val="43"/>
        <w:spacing w:line="360" w:lineRule="auto"/>
        <w:ind w:firstLine="0" w:firstLineChars="0"/>
        <w:rPr>
          <w:rFonts w:ascii="宋体" w:hAnsi="宋体" w:cs="宋体"/>
          <w:b/>
          <w:bCs/>
          <w:sz w:val="24"/>
        </w:rPr>
      </w:pPr>
      <w:r>
        <w:rPr>
          <w:rFonts w:hint="eastAsia" w:ascii="宋体" w:hAnsi="宋体" w:cs="宋体"/>
          <w:b/>
          <w:bCs/>
          <w:sz w:val="24"/>
        </w:rPr>
        <w:t>3.2扫描模块</w:t>
      </w:r>
    </w:p>
    <w:p>
      <w:pPr>
        <w:spacing w:line="360" w:lineRule="auto"/>
        <w:jc w:val="left"/>
        <w:rPr>
          <w:rFonts w:ascii="宋体" w:hAnsi="宋体" w:cs="宋体"/>
          <w:sz w:val="24"/>
        </w:rPr>
      </w:pPr>
      <w:r>
        <w:rPr>
          <w:rFonts w:hint="eastAsia" w:ascii="宋体" w:hAnsi="宋体" w:cs="宋体"/>
          <w:sz w:val="24"/>
        </w:rPr>
        <w:t>3.2.1</w:t>
      </w:r>
      <w:r>
        <w:rPr>
          <w:rFonts w:ascii="宋体" w:hAnsi="宋体" w:cs="宋体"/>
          <w:sz w:val="24"/>
        </w:rPr>
        <w:t xml:space="preserve"> </w:t>
      </w:r>
      <w:r>
        <w:rPr>
          <w:rFonts w:hint="eastAsia" w:ascii="宋体" w:hAnsi="宋体" w:cs="宋体"/>
          <w:sz w:val="24"/>
        </w:rPr>
        <w:t>扫描器与显微镜一体化设计。所有检测器与扫描头直接耦合，无光纤连接。</w:t>
      </w:r>
    </w:p>
    <w:p>
      <w:pPr>
        <w:spacing w:line="360" w:lineRule="auto"/>
        <w:jc w:val="left"/>
        <w:rPr>
          <w:rFonts w:ascii="宋体" w:hAnsi="宋体" w:cs="宋体"/>
          <w:sz w:val="24"/>
        </w:rPr>
      </w:pPr>
      <w:bookmarkStart w:id="6" w:name="_Hlk532721083"/>
      <w:bookmarkStart w:id="7" w:name="_Hlk532718616"/>
      <w:r>
        <w:rPr>
          <w:rFonts w:hint="eastAsia" w:ascii="宋体" w:hAnsi="宋体" w:cs="宋体"/>
          <w:sz w:val="24"/>
        </w:rPr>
        <w:t>3.2.2</w:t>
      </w:r>
      <w:r>
        <w:rPr>
          <w:rFonts w:ascii="宋体" w:hAnsi="宋体" w:cs="宋体"/>
          <w:sz w:val="24"/>
        </w:rPr>
        <w:t xml:space="preserve"> </w:t>
      </w:r>
      <w:r>
        <w:rPr>
          <w:rFonts w:hint="eastAsia" w:ascii="宋体" w:hAnsi="宋体" w:cs="宋体"/>
          <w:sz w:val="24"/>
        </w:rPr>
        <w:t>共聚焦针孔采用复消色差校正，适合短波长（如 405 nm）激光成像，自动对齐；调节范围</w:t>
      </w:r>
      <w:bookmarkStart w:id="8" w:name="_Hlk49694871"/>
      <w:r>
        <w:rPr>
          <w:rFonts w:hint="eastAsia" w:ascii="宋体" w:hAnsi="宋体" w:cs="宋体"/>
          <w:sz w:val="24"/>
        </w:rPr>
        <w:t>0.0到&gt;10AU</w:t>
      </w:r>
      <w:bookmarkEnd w:id="8"/>
      <w:r>
        <w:rPr>
          <w:rFonts w:hint="eastAsia" w:ascii="宋体" w:hAnsi="宋体" w:cs="宋体"/>
          <w:sz w:val="24"/>
        </w:rPr>
        <w:t>（Airy Unit）。</w:t>
      </w:r>
      <w:bookmarkEnd w:id="6"/>
      <w:r>
        <w:rPr>
          <w:rFonts w:hint="eastAsia" w:ascii="宋体" w:hAnsi="宋体" w:cs="宋体"/>
          <w:sz w:val="24"/>
        </w:rPr>
        <w:t xml:space="preserve"> </w:t>
      </w:r>
    </w:p>
    <w:bookmarkEnd w:id="7"/>
    <w:p>
      <w:pPr>
        <w:spacing w:line="360" w:lineRule="auto"/>
        <w:rPr>
          <w:rFonts w:ascii="宋体" w:hAnsi="宋体" w:cs="宋体"/>
          <w:sz w:val="24"/>
        </w:rPr>
      </w:pPr>
      <w:bookmarkStart w:id="9" w:name="_Hlk532718658"/>
      <w:r>
        <w:rPr>
          <w:rFonts w:hint="eastAsia" w:ascii="宋体" w:hAnsi="宋体" w:cs="宋体"/>
          <w:sz w:val="24"/>
        </w:rPr>
        <w:t>3.2.3</w:t>
      </w:r>
      <w:r>
        <w:rPr>
          <w:rFonts w:ascii="宋体" w:hAnsi="宋体" w:cs="宋体"/>
          <w:sz w:val="24"/>
        </w:rPr>
        <w:t xml:space="preserve"> </w:t>
      </w:r>
      <w:r>
        <w:rPr>
          <w:rFonts w:hint="eastAsia" w:ascii="宋体" w:hAnsi="宋体" w:cs="宋体"/>
          <w:sz w:val="24"/>
        </w:rPr>
        <w:t>荧光检测器类型： 荧光检测器全部为光谱型检测器，检测范围调节精度≤1nm。</w:t>
      </w:r>
    </w:p>
    <w:bookmarkEnd w:id="9"/>
    <w:p>
      <w:pPr>
        <w:widowControl/>
        <w:spacing w:line="360" w:lineRule="auto"/>
        <w:jc w:val="left"/>
        <w:rPr>
          <w:rFonts w:ascii="宋体" w:hAnsi="宋体" w:cs="宋体"/>
          <w:sz w:val="24"/>
        </w:rPr>
      </w:pPr>
      <w:bookmarkStart w:id="10" w:name="_Hlk532718737"/>
      <w:r>
        <w:rPr>
          <w:rFonts w:hint="eastAsia" w:ascii="宋体" w:hAnsi="宋体" w:cs="宋体"/>
          <w:sz w:val="24"/>
        </w:rPr>
        <w:t>#3.2.4</w:t>
      </w:r>
      <w:r>
        <w:rPr>
          <w:rFonts w:ascii="宋体" w:hAnsi="宋体" w:cs="宋体"/>
          <w:sz w:val="24"/>
        </w:rPr>
        <w:t xml:space="preserve"> </w:t>
      </w:r>
      <w:r>
        <w:rPr>
          <w:rFonts w:hint="eastAsia" w:ascii="宋体" w:hAnsi="宋体" w:cs="宋体"/>
          <w:sz w:val="24"/>
        </w:rPr>
        <w:t>主分光镜：采用≤10°小角度入射技术，背景激光压制效率≥99.9999%（即OD值≥6）。</w:t>
      </w:r>
    </w:p>
    <w:p>
      <w:pPr>
        <w:widowControl/>
        <w:spacing w:line="360" w:lineRule="auto"/>
        <w:jc w:val="left"/>
        <w:rPr>
          <w:rFonts w:ascii="宋体" w:hAnsi="宋体" w:cs="宋体"/>
          <w:sz w:val="24"/>
        </w:rPr>
      </w:pPr>
      <w:r>
        <w:rPr>
          <w:rFonts w:hint="eastAsia" w:ascii="宋体" w:hAnsi="宋体" w:cs="宋体"/>
          <w:sz w:val="24"/>
        </w:rPr>
        <w:t>#3.2.5</w:t>
      </w:r>
      <w:r>
        <w:rPr>
          <w:rFonts w:ascii="宋体" w:hAnsi="宋体" w:cs="宋体"/>
          <w:sz w:val="24"/>
        </w:rPr>
        <w:t xml:space="preserve"> </w:t>
      </w:r>
      <w:r>
        <w:rPr>
          <w:rFonts w:hint="eastAsia" w:ascii="宋体" w:hAnsi="宋体" w:cs="宋体"/>
          <w:sz w:val="24"/>
        </w:rPr>
        <w:t>可灵活地向所选通道内进行光谱分光，最小光谱检测范围（光谱分辨率≤1.5nm）。</w:t>
      </w:r>
    </w:p>
    <w:bookmarkEnd w:id="10"/>
    <w:p>
      <w:pPr>
        <w:widowControl/>
        <w:spacing w:line="360" w:lineRule="auto"/>
        <w:jc w:val="left"/>
        <w:rPr>
          <w:rFonts w:ascii="宋体" w:hAnsi="宋体" w:cs="宋体"/>
          <w:sz w:val="24"/>
        </w:rPr>
      </w:pPr>
      <w:bookmarkStart w:id="11" w:name="_Hlk532718750"/>
      <w:r>
        <w:rPr>
          <w:rFonts w:hint="eastAsia" w:ascii="宋体" w:hAnsi="宋体" w:cs="宋体"/>
          <w:sz w:val="24"/>
        </w:rPr>
        <w:t>*3.2.6 Galvo扫描振镜X、Y方向扫描振镜数量≤2个，减少激发荧光信号的折射损失，具备快扫功能。</w:t>
      </w:r>
    </w:p>
    <w:p>
      <w:pPr>
        <w:widowControl/>
        <w:spacing w:line="360" w:lineRule="auto"/>
        <w:jc w:val="left"/>
        <w:rPr>
          <w:rFonts w:ascii="宋体" w:hAnsi="宋体" w:cs="宋体"/>
          <w:sz w:val="24"/>
        </w:rPr>
      </w:pPr>
      <w:r>
        <w:rPr>
          <w:rFonts w:hint="eastAsia" w:ascii="宋体" w:hAnsi="宋体" w:cs="宋体"/>
          <w:sz w:val="24"/>
        </w:rPr>
        <w:t>3.2.7</w:t>
      </w:r>
      <w:r>
        <w:rPr>
          <w:rFonts w:ascii="宋体" w:hAnsi="宋体" w:cs="宋体"/>
          <w:sz w:val="24"/>
        </w:rPr>
        <w:t xml:space="preserve"> </w:t>
      </w:r>
      <w:r>
        <w:rPr>
          <w:rFonts w:hint="eastAsia" w:ascii="宋体" w:hAnsi="宋体" w:cs="宋体"/>
          <w:sz w:val="24"/>
        </w:rPr>
        <w:t>扫描头绝对线性扫描运动，保证激光在每个点驻留时间相同，保证定量实验结果的准确性，且回转时间短，&gt;85%的帧时间有效地用于图像采样。</w:t>
      </w:r>
    </w:p>
    <w:bookmarkEnd w:id="11"/>
    <w:p>
      <w:pPr>
        <w:widowControl/>
        <w:spacing w:line="360" w:lineRule="auto"/>
        <w:jc w:val="left"/>
        <w:rPr>
          <w:rFonts w:ascii="宋体" w:hAnsi="宋体" w:cs="宋体"/>
          <w:sz w:val="24"/>
        </w:rPr>
      </w:pPr>
      <w:bookmarkStart w:id="12" w:name="_Hlk49695174"/>
      <w:bookmarkStart w:id="13" w:name="_Hlk49697312"/>
      <w:r>
        <w:rPr>
          <w:rFonts w:hint="eastAsia" w:ascii="宋体" w:hAnsi="宋体" w:cs="宋体"/>
          <w:sz w:val="24"/>
        </w:rPr>
        <w:t>3.2.8 在实时扫描预览方式下（扫描过程中），均可以进行左右360°任意旋转扫描线的方向，同时可以变倍以及移动扫描区域的中心。</w:t>
      </w:r>
    </w:p>
    <w:bookmarkEnd w:id="12"/>
    <w:bookmarkEnd w:id="13"/>
    <w:p>
      <w:pPr>
        <w:widowControl/>
        <w:spacing w:line="360" w:lineRule="auto"/>
        <w:jc w:val="left"/>
        <w:rPr>
          <w:rFonts w:ascii="宋体" w:hAnsi="宋体" w:cs="宋体"/>
          <w:sz w:val="24"/>
        </w:rPr>
      </w:pPr>
      <w:bookmarkStart w:id="14" w:name="_Hlk532718819"/>
      <w:bookmarkStart w:id="15" w:name="_Hlk532720286"/>
      <w:r>
        <w:rPr>
          <w:rFonts w:hint="eastAsia" w:ascii="宋体" w:hAnsi="宋体" w:cs="宋体"/>
          <w:sz w:val="24"/>
        </w:rPr>
        <w:t>3.2.9 扫描光学变倍：最小变倍扫描系数≤0.6x，且变倍连续可调。</w:t>
      </w:r>
      <w:bookmarkEnd w:id="14"/>
    </w:p>
    <w:bookmarkEnd w:id="15"/>
    <w:p>
      <w:pPr>
        <w:widowControl/>
        <w:spacing w:line="360" w:lineRule="auto"/>
        <w:jc w:val="left"/>
        <w:rPr>
          <w:rFonts w:ascii="宋体" w:hAnsi="宋体" w:cs="宋体"/>
          <w:sz w:val="24"/>
        </w:rPr>
      </w:pPr>
      <w:bookmarkStart w:id="16" w:name="_Hlk532718849"/>
      <w:bookmarkStart w:id="17" w:name="_Hlk532720313"/>
      <w:r>
        <w:rPr>
          <w:rFonts w:hint="eastAsia" w:ascii="宋体" w:hAnsi="宋体" w:cs="宋体"/>
          <w:sz w:val="24"/>
        </w:rPr>
        <w:t>3.2.10</w:t>
      </w:r>
      <w:r>
        <w:rPr>
          <w:rFonts w:ascii="宋体" w:hAnsi="宋体" w:cs="宋体"/>
          <w:sz w:val="24"/>
        </w:rPr>
        <w:t xml:space="preserve"> </w:t>
      </w:r>
      <w:r>
        <w:rPr>
          <w:rFonts w:hint="eastAsia" w:ascii="宋体" w:hAnsi="宋体" w:cs="宋体"/>
          <w:sz w:val="24"/>
        </w:rPr>
        <w:t>在非共振扫描模式下，逐行扫描可同时满足以下扫描速度指标：</w:t>
      </w:r>
      <w:bookmarkEnd w:id="16"/>
      <w:r>
        <w:rPr>
          <w:rFonts w:hint="eastAsia" w:ascii="宋体" w:hAnsi="宋体" w:cs="宋体"/>
          <w:sz w:val="24"/>
        </w:rPr>
        <w:t xml:space="preserve">≥2幅/秒（512x512像素）、≥30幅/秒（512x64像素）、≥250幅/秒（512x16像素）。 </w:t>
      </w:r>
    </w:p>
    <w:p>
      <w:pPr>
        <w:widowControl/>
        <w:spacing w:line="360" w:lineRule="auto"/>
        <w:jc w:val="left"/>
        <w:rPr>
          <w:rFonts w:ascii="宋体" w:hAnsi="宋体" w:cs="宋体"/>
          <w:sz w:val="24"/>
        </w:rPr>
      </w:pPr>
      <w:r>
        <w:rPr>
          <w:rFonts w:hint="eastAsia" w:ascii="宋体" w:hAnsi="宋体" w:cs="宋体"/>
          <w:sz w:val="24"/>
        </w:rPr>
        <w:t>*3.2.11 扫描分辨率≥6000x6000。</w:t>
      </w:r>
    </w:p>
    <w:bookmarkEnd w:id="17"/>
    <w:p>
      <w:pPr>
        <w:widowControl/>
        <w:spacing w:line="360" w:lineRule="auto"/>
        <w:jc w:val="left"/>
        <w:rPr>
          <w:rFonts w:ascii="宋体" w:hAnsi="宋体" w:cs="宋体"/>
          <w:sz w:val="24"/>
        </w:rPr>
      </w:pPr>
      <w:bookmarkStart w:id="18" w:name="_Hlk532720328"/>
      <w:r>
        <w:rPr>
          <w:rFonts w:hint="eastAsia" w:ascii="宋体" w:hAnsi="宋体" w:cs="宋体"/>
          <w:sz w:val="24"/>
        </w:rPr>
        <w:t>3.2.12 一次实验中单次扫描可以实现三个荧光检测通道同时成像，如果一次实验设置分次扫描，</w:t>
      </w:r>
      <w:bookmarkStart w:id="19" w:name="_Hlk532718948"/>
      <w:r>
        <w:rPr>
          <w:rFonts w:hint="eastAsia" w:ascii="宋体" w:hAnsi="宋体" w:cs="宋体"/>
          <w:sz w:val="24"/>
        </w:rPr>
        <w:t>分次扫描次数≥10。</w:t>
      </w:r>
      <w:bookmarkEnd w:id="19"/>
      <w:r>
        <w:rPr>
          <w:rFonts w:hint="eastAsia" w:ascii="宋体" w:hAnsi="宋体" w:cs="宋体"/>
          <w:sz w:val="24"/>
        </w:rPr>
        <w:t xml:space="preserve"> </w:t>
      </w:r>
    </w:p>
    <w:bookmarkEnd w:id="18"/>
    <w:p>
      <w:pPr>
        <w:widowControl/>
        <w:spacing w:line="360" w:lineRule="auto"/>
        <w:jc w:val="left"/>
        <w:rPr>
          <w:rFonts w:ascii="宋体" w:hAnsi="宋体" w:cs="宋体"/>
          <w:sz w:val="24"/>
        </w:rPr>
      </w:pPr>
      <w:bookmarkStart w:id="20" w:name="_Hlk49696454"/>
      <w:bookmarkStart w:id="21" w:name="_Hlk532718960"/>
      <w:bookmarkStart w:id="22" w:name="_Hlk49695288"/>
      <w:r>
        <w:rPr>
          <w:rFonts w:hint="eastAsia" w:ascii="宋体" w:hAnsi="宋体" w:cs="宋体"/>
          <w:sz w:val="24"/>
        </w:rPr>
        <w:t>#3.2.13 光谱扫描：两个检测器平行扫描完成光谱成像，扫描过程无荧光信号损失；最小光谱检测范围（光谱分辨率）≤1.5nm；可根据结果做线性光谱拆分，去除自发荧光及荧光串扰</w:t>
      </w:r>
      <w:bookmarkEnd w:id="20"/>
      <w:r>
        <w:rPr>
          <w:rFonts w:hint="eastAsia" w:ascii="宋体" w:hAnsi="宋体" w:cs="宋体"/>
          <w:sz w:val="24"/>
        </w:rPr>
        <w:t>。</w:t>
      </w:r>
    </w:p>
    <w:bookmarkEnd w:id="21"/>
    <w:bookmarkEnd w:id="22"/>
    <w:p>
      <w:pPr>
        <w:widowControl/>
        <w:spacing w:line="360" w:lineRule="auto"/>
        <w:jc w:val="left"/>
        <w:rPr>
          <w:rFonts w:ascii="宋体" w:hAnsi="宋体" w:cs="宋体"/>
          <w:sz w:val="24"/>
        </w:rPr>
      </w:pPr>
      <w:bookmarkStart w:id="23" w:name="_Hlk49696495"/>
      <w:bookmarkStart w:id="24" w:name="_Hlk532718994"/>
      <w:r>
        <w:rPr>
          <w:rFonts w:hint="eastAsia" w:ascii="宋体" w:hAnsi="宋体" w:cs="宋体"/>
          <w:sz w:val="24"/>
        </w:rPr>
        <w:t>3.2.14 一个可用于明场和DIC的透射光检测通道</w:t>
      </w:r>
      <w:bookmarkEnd w:id="23"/>
      <w:r>
        <w:rPr>
          <w:rFonts w:hint="eastAsia" w:ascii="宋体" w:hAnsi="宋体" w:cs="宋体"/>
          <w:sz w:val="24"/>
        </w:rPr>
        <w:t>。</w:t>
      </w:r>
    </w:p>
    <w:bookmarkEnd w:id="24"/>
    <w:p>
      <w:pPr>
        <w:widowControl/>
        <w:spacing w:line="360" w:lineRule="auto"/>
        <w:jc w:val="left"/>
        <w:rPr>
          <w:rFonts w:ascii="宋体" w:hAnsi="宋体" w:cs="宋体"/>
          <w:sz w:val="24"/>
        </w:rPr>
      </w:pPr>
      <w:bookmarkStart w:id="25" w:name="_Hlk532719023"/>
      <w:r>
        <w:rPr>
          <w:rFonts w:hint="eastAsia" w:ascii="宋体" w:hAnsi="宋体" w:cs="宋体"/>
          <w:sz w:val="24"/>
        </w:rPr>
        <w:t>3.2.15 具有实时电子组件(real-time electronics)：控制显微镜、激光器、扫描模块和其他附件；通过实时电路进行数据采集和同步管理：过量采样读取逻辑电路，用以获得最佳灵敏度；数据在实时电路与用户计算机之间通过进行交换，在采集图像的同时可进行数据在线分析。</w:t>
      </w:r>
    </w:p>
    <w:bookmarkEnd w:id="25"/>
    <w:p>
      <w:pPr>
        <w:pStyle w:val="43"/>
        <w:spacing w:line="360" w:lineRule="auto"/>
        <w:ind w:firstLine="0" w:firstLineChars="0"/>
        <w:rPr>
          <w:rFonts w:ascii="宋体" w:hAnsi="宋体" w:cs="宋体"/>
          <w:b/>
          <w:bCs/>
          <w:sz w:val="24"/>
        </w:rPr>
      </w:pPr>
      <w:r>
        <w:rPr>
          <w:rFonts w:hint="eastAsia" w:ascii="宋体" w:hAnsi="宋体" w:cs="宋体"/>
          <w:b/>
          <w:bCs/>
          <w:sz w:val="24"/>
        </w:rPr>
        <w:t>3.3 超高分辨率部分</w:t>
      </w:r>
    </w:p>
    <w:p>
      <w:pPr>
        <w:pStyle w:val="43"/>
        <w:spacing w:line="360" w:lineRule="auto"/>
        <w:ind w:firstLine="0" w:firstLineChars="0"/>
        <w:rPr>
          <w:rFonts w:ascii="宋体" w:hAnsi="宋体" w:cs="宋体"/>
          <w:sz w:val="24"/>
        </w:rPr>
      </w:pPr>
      <w:bookmarkStart w:id="26" w:name="_Hlk532721489"/>
      <w:bookmarkStart w:id="27" w:name="_Hlk49696523"/>
      <w:bookmarkStart w:id="28" w:name="_Hlk532721482"/>
      <w:r>
        <w:rPr>
          <w:rFonts w:hint="eastAsia" w:ascii="宋体" w:hAnsi="宋体" w:cs="宋体"/>
          <w:sz w:val="24"/>
        </w:rPr>
        <w:t>3.3.1 超高分辨率模块：使用超分辨率模块的达到XY方向分辨率≤120nm。</w:t>
      </w:r>
    </w:p>
    <w:bookmarkEnd w:id="26"/>
    <w:bookmarkEnd w:id="27"/>
    <w:bookmarkEnd w:id="28"/>
    <w:p>
      <w:pPr>
        <w:pStyle w:val="43"/>
        <w:spacing w:line="360" w:lineRule="auto"/>
        <w:ind w:firstLine="0" w:firstLineChars="0"/>
        <w:rPr>
          <w:rFonts w:ascii="宋体" w:hAnsi="宋体" w:cs="宋体"/>
          <w:sz w:val="24"/>
        </w:rPr>
      </w:pPr>
      <w:bookmarkStart w:id="29" w:name="_Hlk532721495"/>
      <w:r>
        <w:rPr>
          <w:rFonts w:hint="eastAsia" w:ascii="宋体" w:hAnsi="宋体" w:cs="宋体"/>
          <w:sz w:val="24"/>
        </w:rPr>
        <w:t>#3.3.2</w:t>
      </w:r>
      <w:r>
        <w:rPr>
          <w:rFonts w:ascii="宋体" w:hAnsi="宋体" w:cs="宋体"/>
          <w:sz w:val="24"/>
        </w:rPr>
        <w:t xml:space="preserve"> </w:t>
      </w:r>
      <w:r>
        <w:rPr>
          <w:rFonts w:hint="eastAsia" w:ascii="宋体" w:hAnsi="宋体" w:cs="宋体"/>
          <w:sz w:val="24"/>
        </w:rPr>
        <w:t>超高分辨率多通道成像：可以灵活选择荧光收集波段，最小光谱成像范围≤1.5nm，调节步进≤1nm。</w:t>
      </w:r>
    </w:p>
    <w:bookmarkEnd w:id="29"/>
    <w:p>
      <w:pPr>
        <w:pStyle w:val="43"/>
        <w:spacing w:line="360" w:lineRule="auto"/>
        <w:ind w:firstLine="0" w:firstLineChars="0"/>
        <w:rPr>
          <w:rFonts w:ascii="宋体" w:hAnsi="宋体" w:cs="宋体"/>
          <w:sz w:val="24"/>
        </w:rPr>
      </w:pPr>
      <w:bookmarkStart w:id="30" w:name="_Hlk532721512"/>
      <w:r>
        <w:rPr>
          <w:rFonts w:hint="eastAsia" w:ascii="宋体" w:hAnsi="宋体" w:cs="宋体"/>
          <w:sz w:val="24"/>
        </w:rPr>
        <w:t>3.3.3 荧光样品制备：无需选择特定的荧光标记物，常规的激光共聚焦样品都可以进行超高分辨率成像。</w:t>
      </w:r>
    </w:p>
    <w:bookmarkEnd w:id="30"/>
    <w:p>
      <w:pPr>
        <w:pStyle w:val="43"/>
        <w:spacing w:line="360" w:lineRule="auto"/>
        <w:ind w:firstLine="0" w:firstLineChars="0"/>
        <w:rPr>
          <w:rFonts w:ascii="宋体" w:hAnsi="宋体" w:cs="宋体"/>
          <w:sz w:val="24"/>
        </w:rPr>
      </w:pPr>
      <w:r>
        <w:rPr>
          <w:rFonts w:hint="eastAsia" w:ascii="宋体" w:hAnsi="宋体" w:cs="宋体"/>
          <w:sz w:val="24"/>
        </w:rPr>
        <w:t>3.3.4 超高分辨率成像深度：同一样品具有与共聚焦相同的超高分辨率成像深度。</w:t>
      </w:r>
    </w:p>
    <w:p>
      <w:pPr>
        <w:pStyle w:val="43"/>
        <w:spacing w:line="360" w:lineRule="auto"/>
        <w:ind w:firstLine="0" w:firstLineChars="0"/>
        <w:rPr>
          <w:rFonts w:ascii="宋体" w:hAnsi="宋体" w:cs="宋体"/>
          <w:b/>
          <w:bCs/>
          <w:sz w:val="24"/>
        </w:rPr>
      </w:pPr>
      <w:r>
        <w:rPr>
          <w:rFonts w:hint="eastAsia" w:ascii="宋体" w:hAnsi="宋体" w:cs="宋体"/>
          <w:b/>
          <w:bCs/>
          <w:sz w:val="24"/>
        </w:rPr>
        <w:t>3.4显微镜主机</w:t>
      </w:r>
    </w:p>
    <w:p>
      <w:pPr>
        <w:pStyle w:val="43"/>
        <w:spacing w:line="360" w:lineRule="auto"/>
        <w:ind w:firstLine="0" w:firstLineChars="0"/>
        <w:rPr>
          <w:rFonts w:ascii="宋体" w:hAnsi="宋体" w:cs="宋体"/>
          <w:sz w:val="24"/>
        </w:rPr>
      </w:pPr>
      <w:r>
        <w:rPr>
          <w:rFonts w:hint="eastAsia" w:ascii="宋体" w:hAnsi="宋体" w:cs="宋体"/>
          <w:sz w:val="24"/>
        </w:rPr>
        <w:t>#3.4.1 研究型全自动倒置显微镜，高效率型光路设计，齐焦距离≤50mm。</w:t>
      </w:r>
    </w:p>
    <w:p>
      <w:pPr>
        <w:pStyle w:val="43"/>
        <w:spacing w:line="360" w:lineRule="auto"/>
        <w:ind w:firstLine="0" w:firstLineChars="0"/>
        <w:rPr>
          <w:rFonts w:ascii="宋体" w:hAnsi="宋体" w:cs="宋体"/>
          <w:sz w:val="24"/>
        </w:rPr>
      </w:pPr>
      <w:r>
        <w:rPr>
          <w:rFonts w:hint="eastAsia" w:ascii="宋体" w:hAnsi="宋体" w:cs="宋体"/>
          <w:sz w:val="24"/>
        </w:rPr>
        <w:t xml:space="preserve">3.4.2 显微镜内置电动调焦驱动马达，最小步进≤10nm。  </w:t>
      </w:r>
    </w:p>
    <w:p>
      <w:pPr>
        <w:pStyle w:val="43"/>
        <w:spacing w:line="360" w:lineRule="auto"/>
        <w:ind w:firstLine="0" w:firstLineChars="0"/>
        <w:rPr>
          <w:rFonts w:ascii="宋体" w:hAnsi="宋体" w:cs="宋体"/>
          <w:sz w:val="24"/>
        </w:rPr>
      </w:pPr>
      <w:bookmarkStart w:id="31" w:name="_Hlk532719072"/>
      <w:r>
        <w:rPr>
          <w:rFonts w:hint="eastAsia" w:ascii="宋体" w:hAnsi="宋体" w:cs="宋体"/>
          <w:sz w:val="24"/>
        </w:rPr>
        <w:t>3.4.3 全电动扫描台，行程≥100 mm x 100 mm，最大速度≥50mm/s，具有独立的控制器及操控手柄。</w:t>
      </w:r>
    </w:p>
    <w:bookmarkEnd w:id="31"/>
    <w:p>
      <w:pPr>
        <w:pStyle w:val="43"/>
        <w:spacing w:line="360" w:lineRule="auto"/>
        <w:ind w:firstLine="0" w:firstLineChars="0"/>
        <w:rPr>
          <w:rFonts w:ascii="宋体" w:hAnsi="宋体" w:cs="宋体"/>
          <w:sz w:val="24"/>
        </w:rPr>
      </w:pPr>
      <w:r>
        <w:rPr>
          <w:rFonts w:hint="eastAsia" w:ascii="宋体" w:hAnsi="宋体" w:cs="宋体"/>
          <w:sz w:val="24"/>
        </w:rPr>
        <w:t>3.4.4 显微镜透射光源：高亮度LED光源，寿命&gt;60000小时。</w:t>
      </w:r>
    </w:p>
    <w:p>
      <w:pPr>
        <w:pStyle w:val="43"/>
        <w:spacing w:line="360" w:lineRule="auto"/>
        <w:ind w:firstLine="0" w:firstLineChars="0"/>
        <w:rPr>
          <w:rFonts w:ascii="宋体" w:hAnsi="宋体" w:cs="宋体"/>
          <w:sz w:val="24"/>
        </w:rPr>
      </w:pPr>
      <w:bookmarkStart w:id="32" w:name="_Hlk96338163"/>
      <w:r>
        <w:rPr>
          <w:rFonts w:hint="eastAsia" w:ascii="宋体" w:hAnsi="宋体" w:cs="宋体"/>
          <w:sz w:val="24"/>
        </w:rPr>
        <w:t>3.4.5 高亮度LED荧光光源，寿命≥20000小时。</w:t>
      </w:r>
    </w:p>
    <w:bookmarkEnd w:id="32"/>
    <w:p>
      <w:pPr>
        <w:pStyle w:val="43"/>
        <w:spacing w:line="360" w:lineRule="auto"/>
        <w:ind w:firstLine="0" w:firstLineChars="0"/>
        <w:rPr>
          <w:rFonts w:ascii="宋体" w:hAnsi="宋体" w:cs="宋体"/>
          <w:sz w:val="24"/>
        </w:rPr>
      </w:pPr>
      <w:bookmarkStart w:id="33" w:name="_Hlk532719106"/>
      <w:r>
        <w:rPr>
          <w:rFonts w:hint="eastAsia" w:ascii="宋体" w:hAnsi="宋体" w:cs="宋体"/>
          <w:sz w:val="24"/>
        </w:rPr>
        <w:t>3.4.6 荧光附件：复消色差荧光光路，六位电动滤色镜转盘，电动切换速度≤250毫秒，电动光闸，含UV、B、G激发滤色镜组件和长寿命荧光光源。</w:t>
      </w:r>
    </w:p>
    <w:bookmarkEnd w:id="33"/>
    <w:p>
      <w:pPr>
        <w:pStyle w:val="43"/>
        <w:spacing w:line="360" w:lineRule="auto"/>
        <w:ind w:firstLine="0" w:firstLineChars="0"/>
        <w:rPr>
          <w:rFonts w:ascii="宋体" w:hAnsi="宋体" w:cs="宋体"/>
          <w:sz w:val="24"/>
        </w:rPr>
      </w:pPr>
      <w:r>
        <w:rPr>
          <w:rFonts w:hint="eastAsia" w:ascii="宋体" w:hAnsi="宋体" w:cs="宋体"/>
          <w:sz w:val="24"/>
        </w:rPr>
        <w:t>3.4.7 全套微分干涉部件（DIC），有与不同数值孔径的物镜一一对应的棱镜。</w:t>
      </w:r>
    </w:p>
    <w:p>
      <w:pPr>
        <w:pStyle w:val="43"/>
        <w:spacing w:line="360" w:lineRule="auto"/>
        <w:ind w:firstLine="0" w:firstLineChars="0"/>
        <w:rPr>
          <w:rFonts w:ascii="宋体" w:hAnsi="宋体" w:cs="宋体"/>
          <w:sz w:val="24"/>
        </w:rPr>
      </w:pPr>
      <w:bookmarkStart w:id="34" w:name="_Hlk532719119"/>
      <w:r>
        <w:rPr>
          <w:rFonts w:hint="eastAsia" w:ascii="宋体" w:hAnsi="宋体" w:cs="宋体"/>
          <w:sz w:val="24"/>
        </w:rPr>
        <w:t>3.4.8 多功能长工作距离电动聚光镜，NA≥0.55。</w:t>
      </w:r>
    </w:p>
    <w:bookmarkEnd w:id="34"/>
    <w:p>
      <w:pPr>
        <w:pStyle w:val="43"/>
        <w:spacing w:line="360" w:lineRule="auto"/>
        <w:ind w:firstLine="0" w:firstLineChars="0"/>
        <w:rPr>
          <w:rFonts w:ascii="宋体" w:hAnsi="宋体" w:cs="宋体"/>
          <w:sz w:val="24"/>
        </w:rPr>
      </w:pPr>
      <w:r>
        <w:rPr>
          <w:rFonts w:hint="eastAsia" w:ascii="宋体" w:hAnsi="宋体" w:cs="宋体"/>
          <w:sz w:val="24"/>
        </w:rPr>
        <w:t xml:space="preserve">3.4.9 目镜一对：10X，视场数≥20。 </w:t>
      </w:r>
    </w:p>
    <w:p>
      <w:pPr>
        <w:pStyle w:val="43"/>
        <w:spacing w:line="360" w:lineRule="auto"/>
        <w:ind w:firstLine="0" w:firstLineChars="0"/>
        <w:rPr>
          <w:rFonts w:ascii="宋体" w:hAnsi="宋体" w:cs="宋体"/>
          <w:sz w:val="24"/>
        </w:rPr>
      </w:pPr>
      <w:bookmarkStart w:id="35" w:name="_Hlk532719142"/>
      <w:r>
        <w:rPr>
          <w:rFonts w:hint="eastAsia" w:ascii="宋体" w:hAnsi="宋体" w:cs="宋体"/>
          <w:sz w:val="24"/>
        </w:rPr>
        <w:t>3.4.10 配备6孔位电动物镜转盘，具有自动识别功能。</w:t>
      </w:r>
    </w:p>
    <w:bookmarkEnd w:id="35"/>
    <w:p>
      <w:pPr>
        <w:pStyle w:val="43"/>
        <w:spacing w:line="360" w:lineRule="auto"/>
        <w:ind w:firstLine="0" w:firstLineChars="0"/>
        <w:rPr>
          <w:rFonts w:ascii="宋体" w:hAnsi="宋体" w:cs="宋体"/>
          <w:sz w:val="24"/>
        </w:rPr>
      </w:pPr>
      <w:r>
        <w:rPr>
          <w:rFonts w:hint="eastAsia" w:ascii="宋体" w:hAnsi="宋体" w:cs="宋体"/>
          <w:sz w:val="24"/>
        </w:rPr>
        <w:t>3.4.11 物镜：</w:t>
      </w:r>
    </w:p>
    <w:p>
      <w:pPr>
        <w:pStyle w:val="43"/>
        <w:spacing w:line="360" w:lineRule="auto"/>
        <w:ind w:firstLine="240" w:firstLineChars="100"/>
        <w:rPr>
          <w:rFonts w:ascii="宋体" w:hAnsi="宋体" w:cs="宋体"/>
          <w:sz w:val="24"/>
        </w:rPr>
      </w:pPr>
      <w:r>
        <w:rPr>
          <w:rFonts w:hint="eastAsia" w:ascii="宋体" w:hAnsi="宋体" w:cs="宋体"/>
          <w:sz w:val="24"/>
        </w:rPr>
        <w:t>10x干镜，数值孔径≥0.45；同时满足工作距离≥2100微米；</w:t>
      </w:r>
    </w:p>
    <w:p>
      <w:pPr>
        <w:pStyle w:val="43"/>
        <w:spacing w:line="360" w:lineRule="auto"/>
        <w:ind w:firstLine="240" w:firstLineChars="100"/>
        <w:rPr>
          <w:rFonts w:ascii="宋体" w:hAnsi="宋体" w:cs="宋体"/>
          <w:sz w:val="24"/>
        </w:rPr>
      </w:pPr>
      <w:r>
        <w:rPr>
          <w:rFonts w:hint="eastAsia" w:ascii="宋体" w:hAnsi="宋体" w:cs="宋体"/>
          <w:sz w:val="24"/>
        </w:rPr>
        <w:t>20x干镜，数值孔径≥0.8；同时满足工作距离≥550微米；</w:t>
      </w:r>
    </w:p>
    <w:p>
      <w:pPr>
        <w:pStyle w:val="43"/>
        <w:spacing w:line="360" w:lineRule="auto"/>
        <w:ind w:firstLine="240" w:firstLineChars="100"/>
        <w:rPr>
          <w:rFonts w:ascii="宋体" w:hAnsi="宋体" w:cs="宋体"/>
          <w:sz w:val="24"/>
        </w:rPr>
      </w:pPr>
      <w:r>
        <w:rPr>
          <w:rFonts w:hint="eastAsia" w:ascii="宋体" w:hAnsi="宋体" w:cs="宋体"/>
          <w:sz w:val="24"/>
        </w:rPr>
        <w:t>40x干镜，数值孔径≥0.95，同时满足工作距离≥250微米；</w:t>
      </w:r>
    </w:p>
    <w:p>
      <w:pPr>
        <w:pStyle w:val="43"/>
        <w:spacing w:line="360" w:lineRule="auto"/>
        <w:ind w:firstLine="240" w:firstLineChars="100"/>
        <w:rPr>
          <w:rFonts w:ascii="宋体" w:hAnsi="宋体" w:cs="宋体"/>
          <w:sz w:val="24"/>
        </w:rPr>
      </w:pPr>
      <w:r>
        <w:rPr>
          <w:rFonts w:hint="eastAsia" w:ascii="宋体" w:hAnsi="宋体" w:cs="宋体"/>
          <w:sz w:val="24"/>
        </w:rPr>
        <w:t>63x油镜，数值孔径≥1.4，同时满足工作距离≥190微米；</w:t>
      </w:r>
    </w:p>
    <w:p>
      <w:pPr>
        <w:pStyle w:val="43"/>
        <w:spacing w:line="360" w:lineRule="auto"/>
        <w:ind w:firstLine="240" w:firstLineChars="100"/>
        <w:rPr>
          <w:rFonts w:ascii="宋体" w:hAnsi="宋体" w:cs="宋体"/>
          <w:sz w:val="24"/>
        </w:rPr>
      </w:pPr>
      <w:r>
        <w:rPr>
          <w:rFonts w:hint="eastAsia" w:ascii="宋体" w:hAnsi="宋体" w:cs="宋体"/>
          <w:sz w:val="24"/>
        </w:rPr>
        <w:t>100x油镜，数值孔径≥1.4，同时满足工作距离≥170微米；</w:t>
      </w:r>
      <w:bookmarkStart w:id="36" w:name="_Hlk532719171"/>
    </w:p>
    <w:bookmarkEnd w:id="36"/>
    <w:p>
      <w:pPr>
        <w:pStyle w:val="43"/>
        <w:spacing w:line="360" w:lineRule="auto"/>
        <w:ind w:firstLine="0" w:firstLineChars="0"/>
        <w:rPr>
          <w:rFonts w:ascii="宋体" w:hAnsi="宋体" w:cs="宋体"/>
          <w:sz w:val="24"/>
        </w:rPr>
      </w:pPr>
      <w:r>
        <w:rPr>
          <w:rFonts w:hint="eastAsia" w:ascii="宋体" w:hAnsi="宋体" w:cs="宋体"/>
          <w:sz w:val="24"/>
        </w:rPr>
        <w:t>3.4.12 配有专业进口共聚焦显微镜系统气垫式主动防震装置。</w:t>
      </w:r>
    </w:p>
    <w:p>
      <w:pPr>
        <w:pStyle w:val="43"/>
        <w:spacing w:line="360" w:lineRule="auto"/>
        <w:ind w:firstLine="0" w:firstLineChars="0"/>
        <w:rPr>
          <w:rFonts w:ascii="宋体" w:hAnsi="宋体" w:cs="宋体"/>
          <w:b/>
          <w:bCs/>
          <w:sz w:val="24"/>
        </w:rPr>
      </w:pPr>
      <w:r>
        <w:rPr>
          <w:rFonts w:hint="eastAsia" w:ascii="宋体" w:hAnsi="宋体" w:cs="宋体"/>
          <w:b/>
          <w:bCs/>
          <w:sz w:val="24"/>
        </w:rPr>
        <w:t>3.5 软件部分及图像工作站</w:t>
      </w:r>
    </w:p>
    <w:p>
      <w:pPr>
        <w:pStyle w:val="43"/>
        <w:spacing w:line="360" w:lineRule="auto"/>
        <w:ind w:firstLine="0" w:firstLineChars="0"/>
        <w:rPr>
          <w:rFonts w:ascii="宋体" w:hAnsi="宋体" w:cs="宋体"/>
          <w:sz w:val="24"/>
        </w:rPr>
      </w:pPr>
      <w:r>
        <w:rPr>
          <w:rFonts w:hint="eastAsia" w:ascii="宋体" w:hAnsi="宋体" w:cs="宋体"/>
          <w:sz w:val="24"/>
        </w:rPr>
        <w:t>3.5.1 智能化光路设置：通过选择样品的染料标记，可一键自动设置所有的光路。</w:t>
      </w:r>
    </w:p>
    <w:p>
      <w:pPr>
        <w:pStyle w:val="43"/>
        <w:spacing w:line="360" w:lineRule="auto"/>
        <w:ind w:firstLine="0" w:firstLineChars="0"/>
        <w:rPr>
          <w:rFonts w:ascii="宋体" w:hAnsi="宋体" w:cs="宋体"/>
          <w:sz w:val="24"/>
        </w:rPr>
      </w:pPr>
      <w:r>
        <w:rPr>
          <w:rFonts w:hint="eastAsia" w:ascii="宋体" w:hAnsi="宋体" w:cs="宋体"/>
          <w:sz w:val="24"/>
        </w:rPr>
        <w:t>3.5.2 时间序列模块：用于设置及自动随时间获取动态图像。</w:t>
      </w:r>
    </w:p>
    <w:p>
      <w:pPr>
        <w:pStyle w:val="43"/>
        <w:spacing w:line="360" w:lineRule="auto"/>
        <w:ind w:firstLine="0" w:firstLineChars="0"/>
        <w:rPr>
          <w:rFonts w:ascii="宋体" w:hAnsi="宋体" w:cs="宋体"/>
          <w:sz w:val="24"/>
        </w:rPr>
      </w:pPr>
      <w:r>
        <w:rPr>
          <w:rFonts w:hint="eastAsia" w:ascii="宋体" w:hAnsi="宋体" w:cs="宋体"/>
          <w:sz w:val="24"/>
        </w:rPr>
        <w:t>3.5.3 光谱扫描及拆分功能：可以去除自发荧光，及荧光串扰。</w:t>
      </w:r>
    </w:p>
    <w:p>
      <w:pPr>
        <w:pStyle w:val="43"/>
        <w:spacing w:line="360" w:lineRule="auto"/>
        <w:ind w:firstLine="0" w:firstLineChars="0"/>
        <w:rPr>
          <w:rFonts w:ascii="宋体" w:hAnsi="宋体" w:cs="宋体"/>
          <w:sz w:val="24"/>
        </w:rPr>
      </w:pPr>
      <w:r>
        <w:rPr>
          <w:rFonts w:hint="eastAsia" w:ascii="宋体" w:hAnsi="宋体" w:cs="宋体"/>
          <w:sz w:val="24"/>
        </w:rPr>
        <w:t>3.5.4 景深扩展模块：用于全景深图像叠加运算和展示。</w:t>
      </w:r>
    </w:p>
    <w:p>
      <w:pPr>
        <w:pStyle w:val="43"/>
        <w:spacing w:line="360" w:lineRule="auto"/>
        <w:ind w:firstLine="0" w:firstLineChars="0"/>
        <w:rPr>
          <w:rFonts w:ascii="微软雅黑" w:hAnsi="微软雅黑" w:eastAsia="微软雅黑"/>
          <w:szCs w:val="21"/>
        </w:rPr>
      </w:pPr>
      <w:r>
        <w:rPr>
          <w:rFonts w:hint="eastAsia" w:ascii="宋体" w:hAnsi="宋体" w:cs="宋体"/>
          <w:sz w:val="24"/>
        </w:rPr>
        <w:t>3.5.5 共定位分析模块：对多通道荧光图像中两个通道之间的共定位进行定量分析。包括共定位系数，曼德尔系数，皮尔森系数等。</w:t>
      </w:r>
    </w:p>
    <w:p>
      <w:pPr>
        <w:widowControl/>
        <w:spacing w:line="360" w:lineRule="auto"/>
        <w:jc w:val="left"/>
        <w:rPr>
          <w:rFonts w:ascii="宋体" w:hAnsi="宋体" w:cs="宋体"/>
          <w:sz w:val="24"/>
        </w:rPr>
      </w:pPr>
      <w:r>
        <w:rPr>
          <w:rFonts w:hint="eastAsia" w:ascii="宋体" w:hAnsi="宋体" w:cs="宋体"/>
          <w:sz w:val="24"/>
        </w:rPr>
        <w:t>3.5.6 图像反卷积处理功能：提供不少于3种图像反卷积方式用于图像处理，提高图像的信噪比、对比度和分辨率。</w:t>
      </w:r>
    </w:p>
    <w:p>
      <w:pPr>
        <w:widowControl/>
        <w:spacing w:line="360" w:lineRule="auto"/>
        <w:jc w:val="left"/>
        <w:rPr>
          <w:rFonts w:ascii="宋体" w:hAnsi="宋体" w:cs="宋体"/>
          <w:sz w:val="24"/>
        </w:rPr>
      </w:pPr>
      <w:r>
        <w:rPr>
          <w:rFonts w:hint="eastAsia" w:ascii="宋体" w:hAnsi="宋体" w:cs="宋体"/>
          <w:sz w:val="24"/>
        </w:rPr>
        <w:t>3.5.7 同步数据处理模块：可在图像拍摄的同时实时传输数据并做图像处理，支持多种模式的图像处理。</w:t>
      </w:r>
    </w:p>
    <w:p>
      <w:pPr>
        <w:widowControl/>
        <w:spacing w:line="360" w:lineRule="auto"/>
        <w:jc w:val="left"/>
        <w:rPr>
          <w:rFonts w:ascii="宋体" w:hAnsi="宋体" w:cs="宋体"/>
          <w:sz w:val="24"/>
        </w:rPr>
      </w:pPr>
      <w:r>
        <w:rPr>
          <w:rFonts w:hint="eastAsia" w:ascii="宋体" w:hAnsi="宋体" w:cs="宋体"/>
          <w:sz w:val="24"/>
        </w:rPr>
        <w:t>3.5.8 图像分析功能：具备直方图分析和任意线的序列测量，长度、角度、面积、强度等的测量；定量的共定位分析；可根据要求编辑测量程序，对自定义的类和子类进行图像分割、计数和面积、强度等的测量，并将结果以表格、列表和散点图/直方图形式显示；可进行批量图像分析。</w:t>
      </w:r>
    </w:p>
    <w:p>
      <w:pPr>
        <w:widowControl/>
        <w:spacing w:line="360" w:lineRule="auto"/>
        <w:jc w:val="left"/>
        <w:rPr>
          <w:rFonts w:ascii="宋体" w:hAnsi="宋体" w:cs="宋体"/>
          <w:sz w:val="24"/>
        </w:rPr>
      </w:pPr>
      <w:r>
        <w:rPr>
          <w:rFonts w:hint="eastAsia" w:ascii="宋体" w:hAnsi="宋体" w:cs="宋体"/>
          <w:sz w:val="24"/>
        </w:rPr>
        <w:t>3.5.9 图像与视频导入/导出：适用于所有常见的文件格式（如：JPEG, BMP, TIFF, BigTIFF, PNG, WDP, SUR, AVI, WMF, MOV, OME-TIF, ZVI）。</w:t>
      </w:r>
    </w:p>
    <w:p>
      <w:pPr>
        <w:widowControl/>
        <w:spacing w:line="360" w:lineRule="auto"/>
        <w:jc w:val="left"/>
        <w:rPr>
          <w:rFonts w:ascii="宋体" w:hAnsi="宋体" w:cs="宋体"/>
          <w:sz w:val="24"/>
        </w:rPr>
      </w:pPr>
      <w:r>
        <w:rPr>
          <w:rFonts w:hint="eastAsia" w:ascii="宋体" w:hAnsi="宋体" w:cs="宋体"/>
          <w:sz w:val="24"/>
        </w:rPr>
        <w:t>3.5.10 裁剪功能，灵活地选择扫描区域。</w:t>
      </w:r>
    </w:p>
    <w:p>
      <w:pPr>
        <w:widowControl/>
        <w:spacing w:line="360" w:lineRule="auto"/>
        <w:jc w:val="left"/>
        <w:rPr>
          <w:rFonts w:ascii="宋体" w:hAnsi="宋体" w:cs="宋体"/>
          <w:sz w:val="24"/>
        </w:rPr>
      </w:pPr>
      <w:r>
        <w:rPr>
          <w:rFonts w:hint="eastAsia" w:ascii="宋体" w:hAnsi="宋体" w:cs="宋体"/>
          <w:sz w:val="24"/>
        </w:rPr>
        <w:t>3.5.11 参数重复调用功能：再次调用存储在每张图像里的所有的拍照参数来重现实验及进行精确对比。</w:t>
      </w:r>
    </w:p>
    <w:p>
      <w:pPr>
        <w:widowControl/>
        <w:spacing w:line="360" w:lineRule="auto"/>
        <w:jc w:val="left"/>
        <w:rPr>
          <w:rFonts w:ascii="宋体" w:hAnsi="宋体" w:cs="宋体"/>
          <w:sz w:val="24"/>
        </w:rPr>
      </w:pPr>
      <w:r>
        <w:rPr>
          <w:rFonts w:hint="eastAsia" w:ascii="宋体" w:hAnsi="宋体" w:cs="宋体"/>
          <w:sz w:val="24"/>
        </w:rPr>
        <w:t>3.5.12 自动聚焦模块：自动寻找样品中的最佳聚焦位置，适用于透射光、反射光和荧光。</w:t>
      </w:r>
    </w:p>
    <w:p>
      <w:pPr>
        <w:widowControl/>
        <w:spacing w:line="360" w:lineRule="auto"/>
        <w:jc w:val="left"/>
        <w:rPr>
          <w:rFonts w:ascii="宋体" w:hAnsi="宋体" w:cs="宋体"/>
          <w:sz w:val="24"/>
        </w:rPr>
      </w:pPr>
      <w:r>
        <w:rPr>
          <w:rFonts w:hint="eastAsia" w:ascii="宋体" w:hAnsi="宋体" w:cs="宋体"/>
          <w:sz w:val="24"/>
        </w:rPr>
        <w:t>3.5.13 三维采集模块：用于设置及自动获取Z轴三维图像</w:t>
      </w:r>
      <w:bookmarkStart w:id="37" w:name="_Hlk117512348"/>
      <w:r>
        <w:rPr>
          <w:rFonts w:hint="eastAsia" w:ascii="宋体" w:hAnsi="宋体" w:cs="宋体"/>
          <w:sz w:val="24"/>
        </w:rPr>
        <w:t>，包括起始点/终止点和中心点两种采集模式。</w:t>
      </w:r>
      <w:bookmarkEnd w:id="37"/>
    </w:p>
    <w:p>
      <w:pPr>
        <w:widowControl/>
        <w:spacing w:line="360" w:lineRule="auto"/>
        <w:jc w:val="left"/>
        <w:rPr>
          <w:rFonts w:ascii="宋体" w:hAnsi="宋体" w:cs="宋体"/>
          <w:sz w:val="24"/>
        </w:rPr>
      </w:pPr>
      <w:r>
        <w:rPr>
          <w:rFonts w:hint="eastAsia" w:ascii="宋体" w:hAnsi="宋体" w:cs="宋体"/>
          <w:sz w:val="24"/>
        </w:rPr>
        <w:t>3.5.14 Z轴深度补偿功能：自动补偿由于样品深度增加造成的信号衰减。</w:t>
      </w:r>
    </w:p>
    <w:p>
      <w:pPr>
        <w:widowControl/>
        <w:spacing w:line="360" w:lineRule="auto"/>
        <w:jc w:val="left"/>
        <w:rPr>
          <w:rFonts w:ascii="宋体" w:hAnsi="宋体" w:cs="宋体"/>
          <w:sz w:val="24"/>
        </w:rPr>
      </w:pPr>
      <w:r>
        <w:rPr>
          <w:rFonts w:hint="eastAsia" w:ascii="宋体" w:hAnsi="宋体" w:cs="宋体"/>
          <w:sz w:val="24"/>
        </w:rPr>
        <w:t>3.5.15 多位点及大视野拼图模块：可对任意形状的预设区域进行拼图扫描以及根据位点列表进行多点成像，支持聚焦校正地图、拼接以及阴影校正；支持自定义多孔板及各种样品载具规格，多种模式设定获取图像的多个位点。</w:t>
      </w:r>
    </w:p>
    <w:p>
      <w:pPr>
        <w:widowControl/>
        <w:spacing w:line="360" w:lineRule="auto"/>
        <w:jc w:val="left"/>
        <w:rPr>
          <w:rFonts w:ascii="宋体" w:hAnsi="宋体" w:cs="宋体"/>
          <w:sz w:val="24"/>
        </w:rPr>
      </w:pPr>
      <w:r>
        <w:rPr>
          <w:rFonts w:hint="eastAsia" w:ascii="宋体" w:hAnsi="宋体" w:cs="宋体"/>
          <w:sz w:val="24"/>
        </w:rPr>
        <w:t>3.5.16 动态聚焦地图功能：通过多焦点三维位置拟合的聚焦地图实现样品大视野拼图，可解决因样品不平、皿底缺陷或者热效应引起的图像采集过程中聚焦不准的情况，实现完美聚焦；适用于多种成像方式（明场、荧光等），并兼容玻底皿与塑料皿。</w:t>
      </w:r>
    </w:p>
    <w:p>
      <w:pPr>
        <w:widowControl/>
        <w:spacing w:line="360" w:lineRule="auto"/>
        <w:jc w:val="left"/>
        <w:rPr>
          <w:rFonts w:ascii="宋体" w:hAnsi="宋体" w:cs="宋体"/>
          <w:sz w:val="24"/>
        </w:rPr>
      </w:pPr>
      <w:bookmarkStart w:id="38" w:name="OLE_LINK17"/>
      <w:bookmarkStart w:id="39" w:name="OLE_LINK20"/>
      <w:bookmarkStart w:id="40" w:name="_Hlk49357572"/>
      <w:bookmarkStart w:id="41" w:name="OLE_LINK19"/>
      <w:bookmarkStart w:id="42" w:name="OLE_LINK18"/>
      <w:bookmarkStart w:id="43" w:name="OLE_LINK21"/>
      <w:r>
        <w:rPr>
          <w:rFonts w:hint="eastAsia" w:ascii="宋体" w:hAnsi="宋体" w:cs="宋体"/>
          <w:sz w:val="24"/>
        </w:rPr>
        <w:t>3.5.17 高动态范围成像：通过自动采集和组合不同激发强度的图像，获取具有扩展动态范围的图像。</w:t>
      </w:r>
    </w:p>
    <w:p>
      <w:pPr>
        <w:widowControl/>
        <w:spacing w:line="360" w:lineRule="auto"/>
        <w:jc w:val="left"/>
        <w:rPr>
          <w:rFonts w:ascii="宋体" w:hAnsi="宋体" w:cs="宋体"/>
          <w:sz w:val="24"/>
        </w:rPr>
      </w:pPr>
      <w:r>
        <w:rPr>
          <w:rFonts w:hint="eastAsia" w:ascii="宋体" w:hAnsi="宋体" w:cs="宋体"/>
          <w:sz w:val="24"/>
        </w:rPr>
        <w:t>#3.5.18</w:t>
      </w:r>
      <w:r>
        <w:rPr>
          <w:rFonts w:ascii="宋体" w:hAnsi="宋体" w:cs="宋体"/>
          <w:sz w:val="24"/>
        </w:rPr>
        <w:t xml:space="preserve"> </w:t>
      </w:r>
      <w:r>
        <w:rPr>
          <w:rFonts w:hint="eastAsia" w:ascii="宋体" w:hAnsi="宋体" w:cs="宋体"/>
          <w:sz w:val="24"/>
        </w:rPr>
        <w:t>交互式漂白：在进行图像采集的同时（包括连续扫描和时间序列实验），通过鼠标点击对指定任意区域进行漂白。适用于主动光活化实验、光转化实验或者快速光漂白实验等。</w:t>
      </w:r>
    </w:p>
    <w:p>
      <w:pPr>
        <w:widowControl/>
        <w:spacing w:line="360" w:lineRule="auto"/>
        <w:jc w:val="left"/>
        <w:rPr>
          <w:rFonts w:ascii="宋体" w:hAnsi="宋体" w:cs="宋体"/>
          <w:sz w:val="24"/>
        </w:rPr>
      </w:pPr>
      <w:r>
        <w:rPr>
          <w:rFonts w:hint="eastAsia" w:ascii="宋体" w:hAnsi="宋体" w:cs="宋体"/>
          <w:sz w:val="24"/>
        </w:rPr>
        <w:t>3.5.19 图像分析模块：创建自动测量程序，图像分割，强度测量，批处理功能等，可通过附加功能（边缘、算术、形态学分割、二进制等)扩展图像分析的能力。除了经典的分割方法，机器学习的模型也可以用于图像分割。可对图像面积、周长、中心点坐标等几何形状参数和荧光强度参数进行测量，用户也可自定义测量参数。数据以表格、列表和散点图/直方图、热图等方式显示，表格、图表和图像可以交互链接，以便用户查看数据。</w:t>
      </w:r>
    </w:p>
    <w:p>
      <w:pPr>
        <w:widowControl/>
        <w:spacing w:line="360" w:lineRule="auto"/>
        <w:jc w:val="left"/>
        <w:rPr>
          <w:rFonts w:ascii="宋体" w:hAnsi="宋体" w:cs="宋体"/>
          <w:sz w:val="24"/>
        </w:rPr>
      </w:pPr>
      <w:r>
        <w:rPr>
          <w:rFonts w:hint="eastAsia" w:ascii="宋体" w:hAnsi="宋体" w:cs="宋体"/>
          <w:sz w:val="24"/>
        </w:rPr>
        <w:t>3.5.20 细胞计数：提供简单、自动化的图像分析工作流程，用于对生物样品中荧光标记的细胞核进行计数，允许自动监测细胞数量及增殖过程，可测量细胞核的数量、密度，以及平均强度和平均面积。</w:t>
      </w:r>
    </w:p>
    <w:p>
      <w:pPr>
        <w:widowControl/>
        <w:spacing w:line="360" w:lineRule="auto"/>
        <w:jc w:val="left"/>
        <w:rPr>
          <w:rFonts w:ascii="宋体" w:hAnsi="宋体" w:cs="宋体"/>
          <w:sz w:val="24"/>
        </w:rPr>
      </w:pPr>
      <w:r>
        <w:rPr>
          <w:rFonts w:hint="eastAsia" w:ascii="宋体" w:hAnsi="宋体" w:cs="宋体"/>
          <w:sz w:val="24"/>
        </w:rPr>
        <w:t>3.5.21 三维图像处理：3D和4D图像渲染，有≥4种渲染方式（阴影、表面、透明及最大强度投影）并可进行不同渲染方式的结合（如透明结合表面渲染）；可实现三维空间的距离和角度测量；自定义式的3D和4D视频制作与导出。可在同一界面下同时进行2D和3D图像可视化，可以在显示3D渲染效果的同时显示单层2D图像。</w:t>
      </w:r>
    </w:p>
    <w:p>
      <w:pPr>
        <w:widowControl/>
        <w:spacing w:line="360" w:lineRule="auto"/>
        <w:jc w:val="left"/>
        <w:rPr>
          <w:rFonts w:ascii="宋体" w:hAnsi="宋体" w:cs="宋体"/>
          <w:sz w:val="24"/>
        </w:rPr>
      </w:pPr>
      <w:r>
        <w:rPr>
          <w:rFonts w:hint="eastAsia" w:ascii="宋体" w:hAnsi="宋体" w:cs="宋体"/>
          <w:sz w:val="24"/>
        </w:rPr>
        <w:t>3.5.22</w:t>
      </w:r>
      <w:r>
        <w:rPr>
          <w:rFonts w:ascii="宋体" w:hAnsi="宋体" w:cs="宋体"/>
          <w:sz w:val="24"/>
        </w:rPr>
        <w:t xml:space="preserve"> </w:t>
      </w:r>
      <w:r>
        <w:rPr>
          <w:rFonts w:hint="eastAsia" w:ascii="宋体" w:hAnsi="宋体" w:cs="宋体"/>
          <w:sz w:val="24"/>
        </w:rPr>
        <w:t>三维图像分模块： 3D图像分析，可采用经典的分割方法或机器学习的模型。可对图像几何形状参数和荧光强度参数进行测量，用户也可自定义测量参数。</w:t>
      </w:r>
    </w:p>
    <w:p>
      <w:pPr>
        <w:pStyle w:val="43"/>
        <w:spacing w:line="360" w:lineRule="auto"/>
        <w:ind w:firstLine="0" w:firstLineChars="0"/>
        <w:rPr>
          <w:rFonts w:ascii="宋体" w:hAnsi="宋体" w:cs="宋体"/>
          <w:sz w:val="24"/>
        </w:rPr>
      </w:pPr>
      <w:r>
        <w:rPr>
          <w:rFonts w:hint="eastAsia" w:ascii="宋体" w:hAnsi="宋体" w:cs="宋体"/>
          <w:sz w:val="24"/>
        </w:rPr>
        <w:t>3.5.23</w:t>
      </w:r>
      <w:r>
        <w:rPr>
          <w:rFonts w:ascii="宋体" w:hAnsi="宋体" w:cs="宋体"/>
          <w:sz w:val="24"/>
        </w:rPr>
        <w:t xml:space="preserve"> </w:t>
      </w:r>
      <w:r>
        <w:rPr>
          <w:rFonts w:hint="eastAsia" w:ascii="宋体" w:hAnsi="宋体" w:cs="宋体"/>
          <w:sz w:val="24"/>
        </w:rPr>
        <w:t>离线图像处理软件：用于查看该设备拍摄的显微图像，调节对比度，对图像添加标尺及标注；可进行常见的文件格式的数据导入/导出（如：JPEG, BMP, TIFF, BigTIFF, PNG, WDP, SUR, AVI, WMF, MOV, OME-TIF, ZVI）；具有≥1种二维图像去模糊功能，可利用二维去模糊算法进行图像质量优化；可对3D数据进行3D渲染并导出3D渲染视频；可实现2D数据关联；可展示正交图像，展示XY/YZ/XZ的任一切面层，并创建任一切面层图像；具有交互测量工具，可自定义测量参数，形成测量工作流，可对轮廓、曲线、面积、灰度等值进行测量。</w:t>
      </w:r>
      <w:bookmarkEnd w:id="38"/>
      <w:bookmarkEnd w:id="39"/>
      <w:bookmarkEnd w:id="40"/>
      <w:bookmarkEnd w:id="41"/>
      <w:bookmarkEnd w:id="42"/>
      <w:bookmarkEnd w:id="43"/>
    </w:p>
    <w:p>
      <w:pPr>
        <w:spacing w:line="360" w:lineRule="auto"/>
        <w:ind w:firstLine="480"/>
        <w:rPr>
          <w:sz w:val="24"/>
        </w:rPr>
      </w:pPr>
    </w:p>
    <w:p>
      <w:pPr>
        <w:numPr>
          <w:ilvl w:val="0"/>
          <w:numId w:val="3"/>
        </w:numPr>
        <w:spacing w:line="360" w:lineRule="auto"/>
        <w:rPr>
          <w:rFonts w:ascii="宋体" w:hAnsi="宋体" w:cs="宋体"/>
          <w:b/>
          <w:sz w:val="24"/>
        </w:rPr>
      </w:pPr>
      <w:r>
        <w:rPr>
          <w:rFonts w:hint="eastAsia" w:ascii="宋体" w:hAnsi="宋体" w:cs="宋体"/>
          <w:b/>
          <w:sz w:val="24"/>
        </w:rPr>
        <w:t>产品配置要求</w:t>
      </w:r>
    </w:p>
    <w:p>
      <w:pPr>
        <w:spacing w:line="360" w:lineRule="auto"/>
        <w:rPr>
          <w:rFonts w:ascii="宋体" w:hAnsi="宋体" w:cs="宋体"/>
          <w:sz w:val="24"/>
        </w:rPr>
      </w:pPr>
      <w:r>
        <w:rPr>
          <w:rFonts w:hint="eastAsia" w:ascii="宋体" w:hAnsi="宋体" w:cs="宋体"/>
          <w:sz w:val="24"/>
        </w:rPr>
        <w:t>4</w:t>
      </w:r>
      <w:r>
        <w:rPr>
          <w:rFonts w:ascii="宋体" w:hAnsi="宋体" w:cs="宋体"/>
          <w:sz w:val="24"/>
        </w:rPr>
        <w:t>.1</w:t>
      </w:r>
      <w:r>
        <w:rPr>
          <w:rFonts w:hint="eastAsia" w:ascii="宋体" w:hAnsi="宋体" w:cs="宋体"/>
          <w:sz w:val="24"/>
        </w:rPr>
        <w:t>全电动倒置荧光显微镜主机 1套</w:t>
      </w:r>
    </w:p>
    <w:p>
      <w:pPr>
        <w:spacing w:line="360" w:lineRule="auto"/>
        <w:rPr>
          <w:rFonts w:ascii="宋体" w:hAnsi="宋体" w:cs="宋体"/>
          <w:sz w:val="24"/>
        </w:rPr>
      </w:pPr>
      <w:r>
        <w:rPr>
          <w:rFonts w:hint="eastAsia" w:ascii="宋体" w:hAnsi="宋体" w:cs="宋体"/>
          <w:sz w:val="24"/>
        </w:rPr>
        <w:t>4</w:t>
      </w:r>
      <w:r>
        <w:rPr>
          <w:rFonts w:ascii="宋体" w:hAnsi="宋体" w:cs="宋体"/>
          <w:sz w:val="24"/>
        </w:rPr>
        <w:t>.2</w:t>
      </w:r>
      <w:r>
        <w:rPr>
          <w:rFonts w:hint="eastAsia" w:ascii="宋体" w:hAnsi="宋体" w:cs="宋体"/>
          <w:sz w:val="24"/>
        </w:rPr>
        <w:t>平场复消色差荧光物镜 5颗，包含：10x / 20x / 40x / 63x / 100x</w:t>
      </w:r>
    </w:p>
    <w:p>
      <w:pPr>
        <w:spacing w:line="360" w:lineRule="auto"/>
        <w:rPr>
          <w:rFonts w:ascii="宋体" w:hAnsi="宋体" w:cs="宋体"/>
          <w:sz w:val="24"/>
        </w:rPr>
      </w:pPr>
      <w:r>
        <w:rPr>
          <w:rFonts w:hint="eastAsia" w:ascii="宋体" w:hAnsi="宋体" w:cs="宋体"/>
          <w:sz w:val="24"/>
        </w:rPr>
        <w:t>4</w:t>
      </w:r>
      <w:r>
        <w:rPr>
          <w:rFonts w:ascii="宋体" w:hAnsi="宋体" w:cs="宋体"/>
          <w:sz w:val="24"/>
        </w:rPr>
        <w:t>.3</w:t>
      </w:r>
      <w:r>
        <w:rPr>
          <w:rFonts w:hint="eastAsia" w:ascii="宋体" w:hAnsi="宋体" w:cs="宋体"/>
          <w:sz w:val="24"/>
        </w:rPr>
        <w:t>固体激光器 4根，包含：405nm / 488nm / 561nm / 640nm</w:t>
      </w:r>
    </w:p>
    <w:p>
      <w:pPr>
        <w:spacing w:line="360" w:lineRule="auto"/>
        <w:rPr>
          <w:rFonts w:ascii="宋体" w:hAnsi="宋体" w:cs="宋体"/>
          <w:sz w:val="24"/>
        </w:rPr>
      </w:pPr>
      <w:r>
        <w:rPr>
          <w:rFonts w:hint="eastAsia" w:ascii="宋体" w:hAnsi="宋体" w:cs="宋体"/>
          <w:sz w:val="24"/>
        </w:rPr>
        <w:t>4.</w:t>
      </w:r>
      <w:r>
        <w:rPr>
          <w:rFonts w:ascii="宋体" w:hAnsi="宋体" w:cs="宋体"/>
          <w:sz w:val="24"/>
        </w:rPr>
        <w:t>4</w:t>
      </w:r>
      <w:r>
        <w:rPr>
          <w:rFonts w:hint="eastAsia" w:ascii="宋体" w:hAnsi="宋体" w:cs="宋体"/>
          <w:sz w:val="24"/>
        </w:rPr>
        <w:t>共聚焦扫描系统 1套</w:t>
      </w:r>
    </w:p>
    <w:p>
      <w:pPr>
        <w:spacing w:line="360" w:lineRule="auto"/>
        <w:rPr>
          <w:rFonts w:ascii="宋体" w:hAnsi="宋体" w:cs="宋体"/>
          <w:sz w:val="24"/>
        </w:rPr>
      </w:pPr>
      <w:r>
        <w:rPr>
          <w:rFonts w:hint="eastAsia" w:ascii="宋体" w:hAnsi="宋体" w:cs="宋体"/>
          <w:sz w:val="24"/>
        </w:rPr>
        <w:t>4</w:t>
      </w:r>
      <w:r>
        <w:rPr>
          <w:rFonts w:ascii="宋体" w:hAnsi="宋体" w:cs="宋体"/>
          <w:sz w:val="24"/>
        </w:rPr>
        <w:t>.5</w:t>
      </w:r>
      <w:r>
        <w:rPr>
          <w:rFonts w:hint="eastAsia" w:ascii="宋体" w:hAnsi="宋体" w:cs="宋体"/>
          <w:sz w:val="24"/>
        </w:rPr>
        <w:t>共聚焦配套图像采集及分析软件 1套</w:t>
      </w:r>
    </w:p>
    <w:p>
      <w:pPr>
        <w:spacing w:line="360" w:lineRule="auto"/>
        <w:rPr>
          <w:rFonts w:ascii="宋体" w:hAnsi="宋体" w:cs="宋体"/>
          <w:sz w:val="24"/>
        </w:rPr>
      </w:pPr>
      <w:r>
        <w:rPr>
          <w:rFonts w:hint="eastAsia" w:ascii="宋体" w:hAnsi="宋体" w:cs="宋体"/>
          <w:sz w:val="24"/>
        </w:rPr>
        <w:t>4</w:t>
      </w:r>
      <w:r>
        <w:rPr>
          <w:rFonts w:ascii="宋体" w:hAnsi="宋体" w:cs="宋体"/>
          <w:sz w:val="24"/>
        </w:rPr>
        <w:t>.6</w:t>
      </w:r>
      <w:r>
        <w:rPr>
          <w:rFonts w:hint="eastAsia" w:ascii="宋体" w:hAnsi="宋体" w:cs="宋体"/>
          <w:sz w:val="24"/>
        </w:rPr>
        <w:t>共聚焦配套图像工作站 1套</w:t>
      </w:r>
    </w:p>
    <w:p>
      <w:pPr>
        <w:spacing w:line="360" w:lineRule="auto"/>
        <w:rPr>
          <w:rFonts w:ascii="宋体" w:hAnsi="宋体" w:cs="宋体"/>
          <w:sz w:val="24"/>
        </w:rPr>
      </w:pPr>
      <w:r>
        <w:rPr>
          <w:rFonts w:hint="eastAsia" w:ascii="宋体" w:hAnsi="宋体" w:cs="宋体"/>
          <w:sz w:val="24"/>
        </w:rPr>
        <w:t>4</w:t>
      </w:r>
      <w:r>
        <w:rPr>
          <w:rFonts w:ascii="宋体" w:hAnsi="宋体" w:cs="宋体"/>
          <w:sz w:val="24"/>
        </w:rPr>
        <w:t>.7</w:t>
      </w:r>
      <w:r>
        <w:rPr>
          <w:rFonts w:hint="eastAsia" w:ascii="宋体" w:hAnsi="宋体" w:cs="宋体"/>
          <w:sz w:val="24"/>
        </w:rPr>
        <w:t>进口防震台 1套</w:t>
      </w:r>
    </w:p>
    <w:p>
      <w:pPr>
        <w:spacing w:line="360" w:lineRule="auto"/>
        <w:rPr>
          <w:rFonts w:ascii="宋体" w:hAnsi="宋体" w:cs="宋体"/>
          <w:sz w:val="24"/>
        </w:rPr>
      </w:pPr>
    </w:p>
    <w:p>
      <w:pPr>
        <w:spacing w:line="360" w:lineRule="auto"/>
        <w:rPr>
          <w:rFonts w:ascii="宋体" w:hAnsi="宋体" w:cs="宋体"/>
          <w:b/>
          <w:sz w:val="24"/>
        </w:rPr>
      </w:pPr>
      <w:r>
        <w:rPr>
          <w:rFonts w:hint="eastAsia" w:ascii="宋体" w:hAnsi="宋体" w:cs="宋体"/>
          <w:b/>
          <w:sz w:val="24"/>
        </w:rPr>
        <w:t>5. 选购附件、备件及消耗品</w:t>
      </w:r>
    </w:p>
    <w:p>
      <w:pPr>
        <w:spacing w:line="360" w:lineRule="auto"/>
        <w:rPr>
          <w:rFonts w:ascii="宋体" w:hAnsi="宋体" w:cs="宋体"/>
          <w:sz w:val="24"/>
        </w:rPr>
      </w:pPr>
      <w:r>
        <w:rPr>
          <w:rFonts w:hint="eastAsia" w:ascii="宋体" w:hAnsi="宋体" w:cs="宋体"/>
          <w:sz w:val="24"/>
        </w:rPr>
        <w:t>无</w:t>
      </w:r>
    </w:p>
    <w:p>
      <w:pPr>
        <w:tabs>
          <w:tab w:val="left" w:pos="540"/>
        </w:tabs>
        <w:spacing w:line="360" w:lineRule="auto"/>
        <w:rPr>
          <w:rFonts w:ascii="宋体" w:hAnsi="宋体" w:cs="宋体"/>
          <w:sz w:val="24"/>
        </w:rPr>
      </w:pPr>
      <w:r>
        <w:rPr>
          <w:rFonts w:hint="eastAsia" w:ascii="宋体" w:hAnsi="宋体" w:cs="宋体"/>
          <w:sz w:val="24"/>
        </w:rPr>
        <w:t xml:space="preserve">   </w:t>
      </w:r>
    </w:p>
    <w:p>
      <w:pPr>
        <w:tabs>
          <w:tab w:val="left" w:pos="540"/>
        </w:tabs>
        <w:spacing w:line="360" w:lineRule="auto"/>
        <w:rPr>
          <w:rFonts w:ascii="宋体" w:hAnsi="宋体" w:cs="宋体"/>
          <w:b/>
          <w:sz w:val="24"/>
        </w:rPr>
      </w:pPr>
      <w:r>
        <w:rPr>
          <w:rFonts w:hint="eastAsia" w:ascii="宋体" w:hAnsi="宋体" w:cs="宋体"/>
          <w:b/>
          <w:sz w:val="24"/>
        </w:rPr>
        <w:t>6. 技术文件：</w:t>
      </w:r>
    </w:p>
    <w:p>
      <w:pPr>
        <w:spacing w:line="360" w:lineRule="auto"/>
        <w:rPr>
          <w:rFonts w:ascii="宋体" w:hAnsi="宋体" w:cs="宋体"/>
          <w:sz w:val="24"/>
        </w:rPr>
      </w:pPr>
      <w:r>
        <w:rPr>
          <w:rFonts w:hint="eastAsia" w:ascii="宋体" w:hAnsi="宋体" w:cs="宋体"/>
          <w:sz w:val="24"/>
        </w:rPr>
        <w:t>6.1 操作及维护说明书</w:t>
      </w:r>
    </w:p>
    <w:p>
      <w:pPr>
        <w:spacing w:line="360" w:lineRule="auto"/>
        <w:rPr>
          <w:rFonts w:ascii="宋体" w:hAnsi="宋体" w:cs="宋体"/>
          <w:sz w:val="24"/>
        </w:rPr>
      </w:pPr>
      <w:r>
        <w:rPr>
          <w:rFonts w:hint="eastAsia" w:ascii="宋体" w:hAnsi="宋体" w:cs="宋体"/>
          <w:sz w:val="24"/>
        </w:rPr>
        <w:t>6.2 装箱清单及质量保证书</w:t>
      </w:r>
    </w:p>
    <w:p>
      <w:pPr>
        <w:spacing w:line="360" w:lineRule="auto"/>
        <w:rPr>
          <w:sz w:val="24"/>
        </w:rPr>
      </w:pPr>
    </w:p>
    <w:p>
      <w:pPr>
        <w:spacing w:line="360" w:lineRule="auto"/>
        <w:rPr>
          <w:b/>
          <w:sz w:val="24"/>
        </w:rPr>
      </w:pPr>
      <w:r>
        <w:rPr>
          <w:rFonts w:hint="eastAsia"/>
          <w:b/>
          <w:sz w:val="24"/>
        </w:rPr>
        <w:t>（二）质保及售后服务：</w:t>
      </w:r>
    </w:p>
    <w:p>
      <w:pPr>
        <w:snapToGrid w:val="0"/>
        <w:spacing w:line="440" w:lineRule="exact"/>
        <w:rPr>
          <w:b/>
          <w:sz w:val="24"/>
          <w:lang w:val="en-GB"/>
        </w:rPr>
      </w:pPr>
      <w:r>
        <w:rPr>
          <w:b/>
          <w:sz w:val="24"/>
          <w:lang w:val="en-GB"/>
        </w:rPr>
        <w:t>1. 仪器安装调试</w:t>
      </w:r>
    </w:p>
    <w:p>
      <w:pPr>
        <w:snapToGrid w:val="0"/>
        <w:spacing w:line="440" w:lineRule="exact"/>
        <w:rPr>
          <w:sz w:val="24"/>
          <w:lang w:val="en-GB"/>
        </w:rPr>
      </w:pPr>
      <w:r>
        <w:rPr>
          <w:sz w:val="24"/>
          <w:lang w:val="en-GB"/>
        </w:rPr>
        <w:t xml:space="preserve">1.1 </w:t>
      </w:r>
      <w:r>
        <w:rPr>
          <w:sz w:val="24"/>
        </w:rPr>
        <w:t>卖方应协助安装前的准备工作，</w:t>
      </w:r>
      <w:r>
        <w:rPr>
          <w:sz w:val="24"/>
          <w:lang w:val="en-GB"/>
        </w:rPr>
        <w:t>实地踏勘测量用户现场，</w:t>
      </w:r>
      <w:r>
        <w:rPr>
          <w:sz w:val="24"/>
        </w:rPr>
        <w:t>提供相关的布局图和设计要求，提供实验室建设安装资料并作相应的指导，</w:t>
      </w:r>
      <w:r>
        <w:rPr>
          <w:sz w:val="24"/>
          <w:lang w:val="en-GB"/>
        </w:rPr>
        <w:t>在产品交付时不得以现场实际情况与场地说明不符作为其产品最终性能无法符合技术协议要求的理由。</w:t>
      </w:r>
    </w:p>
    <w:p>
      <w:pPr>
        <w:snapToGrid w:val="0"/>
        <w:spacing w:line="440" w:lineRule="exact"/>
        <w:rPr>
          <w:sz w:val="24"/>
          <w:lang w:val="en-GB"/>
        </w:rPr>
      </w:pPr>
      <w:r>
        <w:rPr>
          <w:sz w:val="24"/>
          <w:lang w:val="en-GB"/>
        </w:rPr>
        <w:t>1.2 货到用户现场后，卖方负责就位、安装、调试的所有工作，并按招标要求、技术协议、验收大纲和合同条款对各项技术参数逐条安装测试。</w:t>
      </w:r>
    </w:p>
    <w:p>
      <w:pPr>
        <w:pStyle w:val="43"/>
        <w:spacing w:line="440" w:lineRule="exact"/>
        <w:ind w:firstLine="0" w:firstLineChars="0"/>
        <w:rPr>
          <w:sz w:val="24"/>
        </w:rPr>
      </w:pPr>
      <w:r>
        <w:rPr>
          <w:rFonts w:hint="eastAsia"/>
          <w:sz w:val="24"/>
        </w:rPr>
        <w:t>1.3 仪器的安装调试不应长于10个工作日</w:t>
      </w:r>
      <w:r>
        <w:rPr>
          <w:sz w:val="24"/>
        </w:rPr>
        <w:t>。</w:t>
      </w:r>
    </w:p>
    <w:p>
      <w:pPr>
        <w:spacing w:line="440" w:lineRule="exact"/>
        <w:rPr>
          <w:b/>
          <w:sz w:val="24"/>
          <w:lang w:val="en-GB"/>
        </w:rPr>
      </w:pPr>
      <w:r>
        <w:rPr>
          <w:b/>
          <w:sz w:val="24"/>
          <w:lang w:val="en-GB"/>
        </w:rPr>
        <w:t>2. 技术培训</w:t>
      </w:r>
    </w:p>
    <w:p>
      <w:pPr>
        <w:snapToGrid w:val="0"/>
        <w:spacing w:line="440" w:lineRule="exact"/>
        <w:rPr>
          <w:bCs/>
          <w:kern w:val="0"/>
          <w:sz w:val="24"/>
        </w:rPr>
      </w:pPr>
      <w:r>
        <w:rPr>
          <w:bCs/>
          <w:kern w:val="0"/>
          <w:sz w:val="24"/>
        </w:rPr>
        <w:t>2.1 答疑与培训：在安装、调试过程中，应对采购人所提出的技术问题给予满意的答复，提供安装调试过程中的各种技术资料，以便用户能掌握操作方法和维护方法。</w:t>
      </w:r>
    </w:p>
    <w:p>
      <w:pPr>
        <w:snapToGrid w:val="0"/>
        <w:spacing w:line="440" w:lineRule="exact"/>
        <w:rPr>
          <w:bCs/>
          <w:kern w:val="0"/>
          <w:sz w:val="24"/>
        </w:rPr>
      </w:pPr>
      <w:r>
        <w:rPr>
          <w:bCs/>
          <w:kern w:val="0"/>
          <w:sz w:val="24"/>
        </w:rPr>
        <w:t>2.2 终身为采购人提供不同层级的免费培训，保证为采购人培养出可熟练独立操作、运行维护、实验设计的技术人员，使得用户具有独立开展相关实验及相关运行维护操作的能力，并根据用户技术水平定期开展进阶培训；如采购人操作人员变动，卖方及厂家应在一个月之内对新操作人员免费培训，而且这一政策没有时间限制。</w:t>
      </w:r>
    </w:p>
    <w:p>
      <w:pPr>
        <w:spacing w:line="440" w:lineRule="exact"/>
        <w:rPr>
          <w:b/>
          <w:sz w:val="24"/>
          <w:lang w:val="en-GB"/>
        </w:rPr>
      </w:pPr>
      <w:r>
        <w:rPr>
          <w:b/>
          <w:sz w:val="24"/>
          <w:lang w:val="en-GB"/>
        </w:rPr>
        <w:t>3. 验收</w:t>
      </w:r>
    </w:p>
    <w:p>
      <w:pPr>
        <w:snapToGrid w:val="0"/>
        <w:spacing w:line="440" w:lineRule="exact"/>
        <w:rPr>
          <w:sz w:val="24"/>
        </w:rPr>
      </w:pPr>
      <w:r>
        <w:rPr>
          <w:bCs/>
          <w:kern w:val="0"/>
          <w:sz w:val="24"/>
          <w:lang w:val="en-GB"/>
        </w:rPr>
        <w:t>*</w:t>
      </w:r>
      <w:r>
        <w:rPr>
          <w:bCs/>
          <w:kern w:val="0"/>
          <w:sz w:val="24"/>
        </w:rPr>
        <w:t>3.1开箱验收：设备到货后，由卖方</w:t>
      </w:r>
      <w:r>
        <w:rPr>
          <w:sz w:val="24"/>
        </w:rPr>
        <w:t>、采购人，必要时连同采购人当地国家商检机构共同参加设备开箱验收，对货物数量、品种、型号、规格进行核对、检验；</w:t>
      </w:r>
      <w:r>
        <w:rPr>
          <w:bCs/>
          <w:kern w:val="0"/>
          <w:sz w:val="24"/>
        </w:rPr>
        <w:t>提供的货物均应具有原始的完好的标准包装；如遇交付前已拆封的货物，采购人有权拒绝或要求更换；为保证产品质量及产品的溯源性，交货时，必须提供所有产品原厂出具的供货证明；</w:t>
      </w:r>
      <w:r>
        <w:rPr>
          <w:sz w:val="24"/>
        </w:rPr>
        <w:t>根据开箱验收情况，由参与各方代表签署设备开箱验收报告，该报告将作为进行更换、修理或补充发货的有效证据。如发现设备损坏或规格型号与合同不符等情况，将按合同由卖方承担责任，采购人有权拒绝或要求更换，并要求赔偿。</w:t>
      </w:r>
    </w:p>
    <w:p>
      <w:pPr>
        <w:snapToGrid w:val="0"/>
        <w:spacing w:line="440" w:lineRule="exact"/>
        <w:rPr>
          <w:bCs/>
          <w:kern w:val="0"/>
          <w:sz w:val="24"/>
          <w:lang w:val="en-GB"/>
        </w:rPr>
      </w:pPr>
      <w:r>
        <w:rPr>
          <w:bCs/>
          <w:kern w:val="0"/>
          <w:sz w:val="24"/>
          <w:lang w:val="en-GB"/>
        </w:rPr>
        <w:t>3.2 技术验收：设备初验调试合格后进入试运行，试运行不低于1个月。在试运行期内如出现重大问题，则试运行期从故障修复之日起重新计算，一直到系统连续1个月无故障运行为止；试运行期通过后，卖方可向采购人提出验收申请，由用户组织验收组，按照招投标文件、合同及技术协议中的验收标准、验收大纲规定等，进行现场核查、测试验收，根据测试结果填写验收报告，出示技术验收结果。</w:t>
      </w:r>
    </w:p>
    <w:p>
      <w:pPr>
        <w:snapToGrid w:val="0"/>
        <w:spacing w:line="440" w:lineRule="exact"/>
        <w:rPr>
          <w:bCs/>
          <w:kern w:val="0"/>
          <w:sz w:val="24"/>
        </w:rPr>
      </w:pPr>
      <w:r>
        <w:rPr>
          <w:bCs/>
          <w:kern w:val="0"/>
          <w:sz w:val="24"/>
        </w:rPr>
        <w:t>*3.3 必须提供原装高性能仪器，如到货后用户发现是样机或者翻新机、试验机等不正常机器或虚假应标设备，要求卖方支付不低于1.5倍中标金额的赔偿金；在测试过程中如有任何软、硬件故障发生，卖方必须更换不合格的部件，并重新进行安装测试，由此引起的全部费用由卖方承担。</w:t>
      </w:r>
    </w:p>
    <w:p>
      <w:pPr>
        <w:snapToGrid w:val="0"/>
        <w:spacing w:line="440" w:lineRule="exact"/>
        <w:rPr>
          <w:bCs/>
          <w:kern w:val="0"/>
          <w:sz w:val="24"/>
        </w:rPr>
      </w:pPr>
      <w:r>
        <w:rPr>
          <w:bCs/>
          <w:kern w:val="0"/>
          <w:sz w:val="24"/>
        </w:rPr>
        <w:t>3.4 验收时若有必要采购人将抽样检测部分产品，相关费用由卖方负责。</w:t>
      </w:r>
    </w:p>
    <w:p>
      <w:pPr>
        <w:snapToGrid w:val="0"/>
        <w:spacing w:line="440" w:lineRule="exact"/>
        <w:rPr>
          <w:b/>
          <w:bCs/>
          <w:kern w:val="0"/>
          <w:sz w:val="24"/>
        </w:rPr>
      </w:pPr>
      <w:r>
        <w:rPr>
          <w:b/>
          <w:bCs/>
          <w:kern w:val="0"/>
          <w:sz w:val="24"/>
        </w:rPr>
        <w:t>4. 保修期及维修保养</w:t>
      </w:r>
    </w:p>
    <w:p>
      <w:pPr>
        <w:spacing w:line="440" w:lineRule="exact"/>
        <w:rPr>
          <w:sz w:val="24"/>
        </w:rPr>
      </w:pPr>
      <w:r>
        <w:rPr>
          <w:rFonts w:hint="eastAsia"/>
          <w:sz w:val="24"/>
        </w:rPr>
        <w:t>*</w:t>
      </w:r>
      <w:r>
        <w:rPr>
          <w:sz w:val="24"/>
        </w:rPr>
        <w:t>4.1 保修期为至少</w:t>
      </w:r>
      <w:r>
        <w:rPr>
          <w:rFonts w:hint="eastAsia"/>
          <w:sz w:val="24"/>
        </w:rPr>
        <w:t>3</w:t>
      </w:r>
      <w:r>
        <w:rPr>
          <w:sz w:val="24"/>
        </w:rPr>
        <w:t>年，保修内容包含所有硬件及软件，并提供每年不少于</w:t>
      </w:r>
      <w:r>
        <w:rPr>
          <w:rFonts w:hint="eastAsia"/>
          <w:sz w:val="24"/>
        </w:rPr>
        <w:t>2</w:t>
      </w:r>
      <w:r>
        <w:rPr>
          <w:sz w:val="24"/>
        </w:rPr>
        <w:t>次的巡检，保修期自技术验收报告签字确认之日起计算，保修期内由原生产厂家保修并提供相应证明文件。</w:t>
      </w:r>
    </w:p>
    <w:p>
      <w:pPr>
        <w:spacing w:line="440" w:lineRule="exact"/>
        <w:rPr>
          <w:sz w:val="24"/>
        </w:rPr>
      </w:pPr>
      <w:r>
        <w:rPr>
          <w:sz w:val="24"/>
        </w:rPr>
        <w:t>4.</w:t>
      </w:r>
      <w:r>
        <w:rPr>
          <w:rFonts w:hint="eastAsia"/>
          <w:sz w:val="24"/>
        </w:rPr>
        <w:t>2</w:t>
      </w:r>
      <w:r>
        <w:rPr>
          <w:sz w:val="24"/>
        </w:rPr>
        <w:t xml:space="preserve"> 接到用户的故障通知后应在</w:t>
      </w:r>
      <w:r>
        <w:rPr>
          <w:rFonts w:hint="eastAsia"/>
          <w:sz w:val="24"/>
        </w:rPr>
        <w:t>4</w:t>
      </w:r>
      <w:r>
        <w:rPr>
          <w:sz w:val="24"/>
        </w:rPr>
        <w:t>小时内响应，</w:t>
      </w:r>
      <w:r>
        <w:rPr>
          <w:rFonts w:hint="eastAsia"/>
          <w:sz w:val="24"/>
        </w:rPr>
        <w:t>48</w:t>
      </w:r>
      <w:r>
        <w:rPr>
          <w:sz w:val="24"/>
        </w:rPr>
        <w:t>小时内提出解决方案并到达用户现场解决问题；重大问题或其它无法立刻解决的问题应在一周内解决或提出明确的解决方案；在接到报修通知后的2个工作日内未做出回应，必须对由于故障所造成的损失后果负全部责任；</w:t>
      </w:r>
      <w:r>
        <w:t>若因特殊原因严重延误维修时间，厂方必须提前说明，并会相应延长保修期。</w:t>
      </w:r>
    </w:p>
    <w:p>
      <w:pPr>
        <w:spacing w:line="440" w:lineRule="exact"/>
        <w:rPr>
          <w:sz w:val="24"/>
        </w:rPr>
      </w:pPr>
      <w:r>
        <w:rPr>
          <w:sz w:val="24"/>
        </w:rPr>
        <w:t>4.</w:t>
      </w:r>
      <w:r>
        <w:rPr>
          <w:rFonts w:hint="eastAsia"/>
          <w:sz w:val="24"/>
        </w:rPr>
        <w:t>3</w:t>
      </w:r>
      <w:r>
        <w:rPr>
          <w:sz w:val="24"/>
        </w:rPr>
        <w:t xml:space="preserve"> 设备保修期满前1个月，中标方负责一次全面的检查、维护，并写出正式报告，如发现潜在问题，按保修期内条款执行完成，如未完成，则保修期延长至问题全面解决；更换或维修过的系统/设备或部件的保修期应从更换或维修完成之日起相应延长。</w:t>
      </w:r>
    </w:p>
    <w:p>
      <w:pPr>
        <w:snapToGrid w:val="0"/>
        <w:spacing w:line="440" w:lineRule="exact"/>
        <w:rPr>
          <w:bCs/>
          <w:kern w:val="0"/>
          <w:sz w:val="24"/>
        </w:rPr>
      </w:pPr>
      <w:r>
        <w:rPr>
          <w:bCs/>
          <w:kern w:val="0"/>
          <w:sz w:val="24"/>
        </w:rPr>
        <w:t>4.</w:t>
      </w:r>
      <w:r>
        <w:rPr>
          <w:rFonts w:hint="eastAsia"/>
          <w:bCs/>
          <w:kern w:val="0"/>
          <w:sz w:val="24"/>
        </w:rPr>
        <w:t>4</w:t>
      </w:r>
      <w:r>
        <w:rPr>
          <w:bCs/>
          <w:kern w:val="0"/>
          <w:sz w:val="24"/>
        </w:rPr>
        <w:t xml:space="preserve"> 保修期结束后，原厂对仪器提供终身免人工与维修费，仅收配件费。</w:t>
      </w:r>
    </w:p>
    <w:p>
      <w:pPr>
        <w:snapToGrid w:val="0"/>
        <w:spacing w:line="440" w:lineRule="exact"/>
        <w:rPr>
          <w:bCs/>
          <w:kern w:val="0"/>
          <w:sz w:val="24"/>
        </w:rPr>
      </w:pPr>
      <w:r>
        <w:rPr>
          <w:bCs/>
          <w:kern w:val="0"/>
          <w:sz w:val="24"/>
        </w:rPr>
        <w:t>4.</w:t>
      </w:r>
      <w:r>
        <w:rPr>
          <w:rFonts w:hint="eastAsia"/>
          <w:bCs/>
          <w:kern w:val="0"/>
          <w:sz w:val="24"/>
        </w:rPr>
        <w:t>5</w:t>
      </w:r>
      <w:r>
        <w:rPr>
          <w:bCs/>
          <w:kern w:val="0"/>
          <w:sz w:val="24"/>
        </w:rPr>
        <w:t xml:space="preserve"> 保修期满后，若需继续延长原厂维保服务，应对此给予优惠，维保费不超过仪器价格的5%。</w:t>
      </w:r>
    </w:p>
    <w:p>
      <w:pPr>
        <w:snapToGrid w:val="0"/>
        <w:spacing w:line="440" w:lineRule="exact"/>
        <w:rPr>
          <w:bCs/>
          <w:kern w:val="0"/>
          <w:sz w:val="24"/>
        </w:rPr>
      </w:pPr>
      <w:r>
        <w:rPr>
          <w:bCs/>
          <w:kern w:val="0"/>
          <w:sz w:val="24"/>
        </w:rPr>
        <w:t>4.</w:t>
      </w:r>
      <w:r>
        <w:rPr>
          <w:rFonts w:hint="eastAsia"/>
          <w:bCs/>
          <w:kern w:val="0"/>
          <w:sz w:val="24"/>
        </w:rPr>
        <w:t>6</w:t>
      </w:r>
      <w:r>
        <w:rPr>
          <w:bCs/>
          <w:kern w:val="0"/>
          <w:sz w:val="24"/>
        </w:rPr>
        <w:t>终身免费提供应用咨询及技术支持；安装的任何零配件，必须是其原设备厂家生产的全新未启封的零配件；并保证停产后不少于五年的零配件供应。</w:t>
      </w:r>
    </w:p>
    <w:p>
      <w:pPr>
        <w:snapToGrid w:val="0"/>
        <w:spacing w:line="440" w:lineRule="exact"/>
        <w:rPr>
          <w:bCs/>
          <w:kern w:val="0"/>
          <w:sz w:val="24"/>
        </w:rPr>
      </w:pPr>
      <w:r>
        <w:rPr>
          <w:bCs/>
          <w:kern w:val="0"/>
          <w:sz w:val="24"/>
        </w:rPr>
        <w:t>4.</w:t>
      </w:r>
      <w:r>
        <w:rPr>
          <w:rFonts w:hint="eastAsia"/>
          <w:bCs/>
          <w:kern w:val="0"/>
          <w:sz w:val="24"/>
        </w:rPr>
        <w:t>7</w:t>
      </w:r>
      <w:r>
        <w:rPr>
          <w:bCs/>
          <w:kern w:val="0"/>
          <w:sz w:val="24"/>
        </w:rPr>
        <w:t xml:space="preserve"> 售后服务及技术协议需设备厂家参与签订，设备使用期限内如发生设备厂家授权变更的情况，设备厂家须执行或协调其他代理商履约，并出具相应的证明。</w:t>
      </w:r>
    </w:p>
    <w:p>
      <w:pPr>
        <w:spacing w:line="360" w:lineRule="auto"/>
        <w:rPr>
          <w:b/>
          <w:sz w:val="24"/>
        </w:rPr>
      </w:pPr>
    </w:p>
    <w:p>
      <w:pPr>
        <w:spacing w:line="360" w:lineRule="auto"/>
        <w:rPr>
          <w:b/>
          <w:sz w:val="24"/>
        </w:rPr>
      </w:pPr>
      <w:r>
        <w:rPr>
          <w:rFonts w:hint="eastAsia"/>
          <w:b/>
          <w:sz w:val="24"/>
        </w:rPr>
        <w:t>（三） 订货数量：</w:t>
      </w:r>
    </w:p>
    <w:p>
      <w:pPr>
        <w:spacing w:line="360" w:lineRule="auto"/>
        <w:ind w:firstLine="240" w:firstLineChars="100"/>
        <w:rPr>
          <w:sz w:val="24"/>
        </w:rPr>
      </w:pPr>
      <w:r>
        <w:rPr>
          <w:rFonts w:hint="eastAsia"/>
          <w:sz w:val="24"/>
        </w:rPr>
        <w:t xml:space="preserve"> </w:t>
      </w:r>
      <w:r>
        <w:rPr>
          <w:rFonts w:hint="eastAsia" w:ascii="宋体" w:hAnsi="宋体" w:cs="宋体"/>
          <w:sz w:val="24"/>
        </w:rPr>
        <w:t>激光共聚焦显微镜 1套</w:t>
      </w:r>
    </w:p>
    <w:p>
      <w:pPr>
        <w:spacing w:line="360" w:lineRule="auto"/>
        <w:rPr>
          <w:sz w:val="24"/>
        </w:rPr>
      </w:pPr>
    </w:p>
    <w:p>
      <w:pPr>
        <w:spacing w:line="360" w:lineRule="auto"/>
        <w:rPr>
          <w:b/>
          <w:sz w:val="24"/>
        </w:rPr>
      </w:pPr>
      <w:r>
        <w:rPr>
          <w:rFonts w:hint="eastAsia"/>
          <w:b/>
          <w:sz w:val="24"/>
        </w:rPr>
        <w:t>（四） 交货地点：</w:t>
      </w:r>
    </w:p>
    <w:p>
      <w:pPr>
        <w:spacing w:line="360" w:lineRule="auto"/>
        <w:ind w:firstLine="480" w:firstLineChars="200"/>
        <w:rPr>
          <w:sz w:val="24"/>
        </w:rPr>
      </w:pPr>
      <w:r>
        <w:rPr>
          <w:rFonts w:hint="eastAsia"/>
          <w:sz w:val="24"/>
        </w:rPr>
        <w:t>上海最终用户实验室</w:t>
      </w:r>
    </w:p>
    <w:p>
      <w:pPr>
        <w:spacing w:line="360" w:lineRule="auto"/>
        <w:ind w:firstLine="480" w:firstLineChars="200"/>
        <w:rPr>
          <w:sz w:val="24"/>
        </w:rPr>
      </w:pPr>
    </w:p>
    <w:p>
      <w:pPr>
        <w:spacing w:line="360" w:lineRule="auto"/>
        <w:rPr>
          <w:b/>
          <w:sz w:val="24"/>
        </w:rPr>
      </w:pPr>
      <w:r>
        <w:rPr>
          <w:rFonts w:hint="eastAsia"/>
          <w:b/>
          <w:sz w:val="24"/>
        </w:rPr>
        <w:t>（五）交货日期：</w:t>
      </w:r>
    </w:p>
    <w:p>
      <w:pPr>
        <w:spacing w:line="360" w:lineRule="auto"/>
        <w:rPr>
          <w:sz w:val="24"/>
        </w:rPr>
      </w:pPr>
      <w:r>
        <w:rPr>
          <w:rFonts w:hint="eastAsia" w:ascii="宋体" w:hAnsi="宋体" w:cs="宋体"/>
          <w:sz w:val="24"/>
        </w:rPr>
        <w:t xml:space="preserve">   </w:t>
      </w:r>
      <w:r>
        <w:rPr>
          <w:rFonts w:ascii="宋体" w:hAnsi="宋体" w:cs="宋体"/>
          <w:sz w:val="24"/>
        </w:rPr>
        <w:t xml:space="preserve"> </w:t>
      </w:r>
      <w:r>
        <w:rPr>
          <w:rFonts w:hint="eastAsia" w:ascii="宋体" w:hAnsi="宋体" w:cs="宋体"/>
          <w:sz w:val="24"/>
        </w:rPr>
        <w:t xml:space="preserve">在合同签订后5个月内到货   </w:t>
      </w:r>
    </w:p>
    <w:p>
      <w:pPr>
        <w:widowControl/>
        <w:spacing w:line="360" w:lineRule="atLeast"/>
        <w:rPr>
          <w:rFonts w:ascii="宋体" w:hAnsi="宋体"/>
          <w:b/>
          <w:sz w:val="30"/>
          <w:szCs w:val="30"/>
        </w:rPr>
      </w:pPr>
    </w:p>
    <w:sectPr>
      <w:footerReference r:id="rId5" w:type="first"/>
      <w:headerReference r:id="rId3" w:type="default"/>
      <w:footerReference r:id="rId4" w:type="default"/>
      <w:pgSz w:w="11906" w:h="16838"/>
      <w:pgMar w:top="1418" w:right="1418" w:bottom="1418" w:left="1418" w:header="851" w:footer="992" w:gutter="0"/>
      <w:pgNumType w:start="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font>
  <w:font w:name="Arial Unicode MS">
    <w:altName w:val="宋体"/>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长城仿宋">
    <w:altName w:val="黑体"/>
    <w:panose1 w:val="00000000000000000000"/>
    <w:charset w:val="86"/>
    <w:family w:val="auto"/>
    <w:pitch w:val="default"/>
    <w:sig w:usb0="00000000" w:usb1="00000000" w:usb2="00000010" w:usb3="00000000" w:csb0="00040000" w:csb1="00000000"/>
  </w:font>
  <w:font w:name="Bookman Old Style">
    <w:altName w:val="Segoe Print"/>
    <w:panose1 w:val="02050604050505020204"/>
    <w:charset w:val="00"/>
    <w:family w:val="roman"/>
    <w:pitch w:val="default"/>
    <w:sig w:usb0="00000000" w:usb1="00000000" w:usb2="00000000" w:usb3="00000000" w:csb0="2000009F" w:csb1="DFD70000"/>
  </w:font>
  <w:font w:name="微软雅黑">
    <w:panose1 w:val="020B0503020204020204"/>
    <w:charset w:val="86"/>
    <w:family w:val="swiss"/>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jc w:val="center"/>
    </w:pPr>
    <w:r>
      <w:fldChar w:fldCharType="begin"/>
    </w:r>
    <w:r>
      <w:instrText xml:space="preserve">PAGE   \* MERGEFORMAT</w:instrText>
    </w:r>
    <w:r>
      <w:fldChar w:fldCharType="separate"/>
    </w:r>
    <w:r>
      <w:rPr>
        <w:lang w:val="zh-CN"/>
      </w:rPr>
      <w:t>27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jc w:val="both"/>
    </w:pPr>
    <w:r>
      <w:rPr>
        <w:rFonts w:hint="eastAsia"/>
        <w:i/>
      </w:rPr>
      <w:t>东方国际招标有限责任公司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785B104"/>
    <w:multiLevelType w:val="singleLevel"/>
    <w:tmpl w:val="D785B104"/>
    <w:lvl w:ilvl="0" w:tentative="0">
      <w:start w:val="1"/>
      <w:numFmt w:val="chineseCounting"/>
      <w:suff w:val="nothing"/>
      <w:lvlText w:val="（%1）"/>
      <w:lvlJc w:val="left"/>
      <w:rPr>
        <w:rFonts w:hint="eastAsia"/>
      </w:rPr>
    </w:lvl>
  </w:abstractNum>
  <w:abstractNum w:abstractNumId="1">
    <w:nsid w:val="E01DAEAA"/>
    <w:multiLevelType w:val="singleLevel"/>
    <w:tmpl w:val="E01DAEAA"/>
    <w:lvl w:ilvl="0" w:tentative="0">
      <w:start w:val="4"/>
      <w:numFmt w:val="decimal"/>
      <w:suff w:val="space"/>
      <w:lvlText w:val="%1."/>
      <w:lvlJc w:val="left"/>
    </w:lvl>
  </w:abstractNum>
  <w:abstractNum w:abstractNumId="2">
    <w:nsid w:val="68F84946"/>
    <w:multiLevelType w:val="multilevel"/>
    <w:tmpl w:val="68F84946"/>
    <w:lvl w:ilvl="0" w:tentative="0">
      <w:start w:val="1"/>
      <w:numFmt w:val="decimal"/>
      <w:lvlText w:val="%1）"/>
      <w:lvlJc w:val="left"/>
      <w:pPr>
        <w:tabs>
          <w:tab w:val="left" w:pos="1896"/>
        </w:tabs>
        <w:ind w:left="1896" w:hanging="396"/>
      </w:pPr>
      <w:rPr>
        <w:rFonts w:hint="eastAsia" w:eastAsia="仿宋_GB2312"/>
        <w:b w:val="0"/>
        <w:i w:val="0"/>
        <w:color w:val="auto"/>
      </w:rPr>
    </w:lvl>
    <w:lvl w:ilvl="1" w:tentative="0">
      <w:start w:val="8"/>
      <w:numFmt w:val="japaneseCounting"/>
      <w:lvlText w:val="第%2章"/>
      <w:lvlJc w:val="left"/>
      <w:pPr>
        <w:tabs>
          <w:tab w:val="left" w:pos="1935"/>
        </w:tabs>
        <w:ind w:left="1935" w:hanging="1515"/>
      </w:pPr>
      <w:rPr>
        <w:rFonts w:hint="default"/>
      </w:rPr>
    </w:lvl>
    <w:lvl w:ilvl="2" w:tentative="0">
      <w:start w:val="1"/>
      <w:numFmt w:val="japaneseCounting"/>
      <w:lvlText w:val="%3、"/>
      <w:lvlJc w:val="left"/>
      <w:pPr>
        <w:tabs>
          <w:tab w:val="left" w:pos="1560"/>
        </w:tabs>
        <w:ind w:left="1560" w:hanging="720"/>
      </w:pPr>
      <w:rPr>
        <w:rFonts w:hint="default"/>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FhZGZiNDQ2Mjg1NTQzOGEzMmZiMzAxMzE3MjZiMWMifQ=="/>
  </w:docVars>
  <w:rsids>
    <w:rsidRoot w:val="00FA3835"/>
    <w:rsid w:val="000050A2"/>
    <w:rsid w:val="00027C8D"/>
    <w:rsid w:val="00040005"/>
    <w:rsid w:val="000543E7"/>
    <w:rsid w:val="0006010D"/>
    <w:rsid w:val="000668DC"/>
    <w:rsid w:val="00081ADD"/>
    <w:rsid w:val="000969BB"/>
    <w:rsid w:val="000973D2"/>
    <w:rsid w:val="000B12EC"/>
    <w:rsid w:val="000B636A"/>
    <w:rsid w:val="000C1F98"/>
    <w:rsid w:val="000C325D"/>
    <w:rsid w:val="000C505C"/>
    <w:rsid w:val="000D1A3C"/>
    <w:rsid w:val="000E0B0C"/>
    <w:rsid w:val="000E17D4"/>
    <w:rsid w:val="000E4DA9"/>
    <w:rsid w:val="000F0512"/>
    <w:rsid w:val="000F4571"/>
    <w:rsid w:val="00103352"/>
    <w:rsid w:val="00105333"/>
    <w:rsid w:val="00107AF4"/>
    <w:rsid w:val="001140D0"/>
    <w:rsid w:val="001235CA"/>
    <w:rsid w:val="00137D93"/>
    <w:rsid w:val="001437EA"/>
    <w:rsid w:val="00144505"/>
    <w:rsid w:val="00144DDA"/>
    <w:rsid w:val="0014761F"/>
    <w:rsid w:val="00153F11"/>
    <w:rsid w:val="00154F47"/>
    <w:rsid w:val="00155A34"/>
    <w:rsid w:val="00164E27"/>
    <w:rsid w:val="00174CC9"/>
    <w:rsid w:val="001921CA"/>
    <w:rsid w:val="00194900"/>
    <w:rsid w:val="001A0E56"/>
    <w:rsid w:val="001A6E63"/>
    <w:rsid w:val="001B195C"/>
    <w:rsid w:val="001B62CC"/>
    <w:rsid w:val="001B66E1"/>
    <w:rsid w:val="001B6E57"/>
    <w:rsid w:val="001C2B3A"/>
    <w:rsid w:val="001D7301"/>
    <w:rsid w:val="001E1467"/>
    <w:rsid w:val="001E152C"/>
    <w:rsid w:val="001E3480"/>
    <w:rsid w:val="001F18B7"/>
    <w:rsid w:val="001F1D2B"/>
    <w:rsid w:val="001F5FAD"/>
    <w:rsid w:val="001F79B6"/>
    <w:rsid w:val="002024C7"/>
    <w:rsid w:val="00206639"/>
    <w:rsid w:val="0021259E"/>
    <w:rsid w:val="00213C28"/>
    <w:rsid w:val="00224FE7"/>
    <w:rsid w:val="00233C8A"/>
    <w:rsid w:val="002366BB"/>
    <w:rsid w:val="00240E7B"/>
    <w:rsid w:val="00247ED0"/>
    <w:rsid w:val="00251DB7"/>
    <w:rsid w:val="00275598"/>
    <w:rsid w:val="002761A3"/>
    <w:rsid w:val="0028124D"/>
    <w:rsid w:val="00282A80"/>
    <w:rsid w:val="00282F14"/>
    <w:rsid w:val="00292E0B"/>
    <w:rsid w:val="002B44BD"/>
    <w:rsid w:val="002B6E7A"/>
    <w:rsid w:val="002B7380"/>
    <w:rsid w:val="002D5C47"/>
    <w:rsid w:val="002E03AA"/>
    <w:rsid w:val="002E6A76"/>
    <w:rsid w:val="002F1704"/>
    <w:rsid w:val="002F6FCA"/>
    <w:rsid w:val="002F7EF8"/>
    <w:rsid w:val="00301191"/>
    <w:rsid w:val="00322611"/>
    <w:rsid w:val="003248D5"/>
    <w:rsid w:val="00326D72"/>
    <w:rsid w:val="0033189B"/>
    <w:rsid w:val="003442AE"/>
    <w:rsid w:val="0034443A"/>
    <w:rsid w:val="00346527"/>
    <w:rsid w:val="003474B8"/>
    <w:rsid w:val="00353E66"/>
    <w:rsid w:val="00357C16"/>
    <w:rsid w:val="003637C6"/>
    <w:rsid w:val="003732CC"/>
    <w:rsid w:val="00373B63"/>
    <w:rsid w:val="00374F9A"/>
    <w:rsid w:val="00382C0C"/>
    <w:rsid w:val="00397F24"/>
    <w:rsid w:val="003A298A"/>
    <w:rsid w:val="003B4F45"/>
    <w:rsid w:val="003B6193"/>
    <w:rsid w:val="003C172D"/>
    <w:rsid w:val="003C7092"/>
    <w:rsid w:val="003C785A"/>
    <w:rsid w:val="003D2B81"/>
    <w:rsid w:val="003F5F7A"/>
    <w:rsid w:val="004043A2"/>
    <w:rsid w:val="00404EA5"/>
    <w:rsid w:val="00415144"/>
    <w:rsid w:val="00420D92"/>
    <w:rsid w:val="0042297A"/>
    <w:rsid w:val="004362C7"/>
    <w:rsid w:val="0044106E"/>
    <w:rsid w:val="00446E68"/>
    <w:rsid w:val="00447503"/>
    <w:rsid w:val="0046038A"/>
    <w:rsid w:val="00471176"/>
    <w:rsid w:val="00484FF8"/>
    <w:rsid w:val="004A0EB1"/>
    <w:rsid w:val="004A3B49"/>
    <w:rsid w:val="004A5C14"/>
    <w:rsid w:val="004B1494"/>
    <w:rsid w:val="004B3476"/>
    <w:rsid w:val="004B36B8"/>
    <w:rsid w:val="004C387C"/>
    <w:rsid w:val="004D0AB9"/>
    <w:rsid w:val="004E042A"/>
    <w:rsid w:val="004E4504"/>
    <w:rsid w:val="004F0FDE"/>
    <w:rsid w:val="004F3E07"/>
    <w:rsid w:val="00504FD3"/>
    <w:rsid w:val="00512882"/>
    <w:rsid w:val="005143FF"/>
    <w:rsid w:val="00516FEB"/>
    <w:rsid w:val="005244F5"/>
    <w:rsid w:val="00524665"/>
    <w:rsid w:val="00543C0A"/>
    <w:rsid w:val="0054699B"/>
    <w:rsid w:val="005515EB"/>
    <w:rsid w:val="0055226E"/>
    <w:rsid w:val="00552E7C"/>
    <w:rsid w:val="005601D0"/>
    <w:rsid w:val="005613B2"/>
    <w:rsid w:val="0056304A"/>
    <w:rsid w:val="0057066D"/>
    <w:rsid w:val="00572671"/>
    <w:rsid w:val="00591688"/>
    <w:rsid w:val="005916DF"/>
    <w:rsid w:val="00595627"/>
    <w:rsid w:val="00595D3F"/>
    <w:rsid w:val="00595EAC"/>
    <w:rsid w:val="005A2F5B"/>
    <w:rsid w:val="005A51F3"/>
    <w:rsid w:val="005A52D6"/>
    <w:rsid w:val="005C574A"/>
    <w:rsid w:val="005D09A0"/>
    <w:rsid w:val="005D479D"/>
    <w:rsid w:val="005E416B"/>
    <w:rsid w:val="005E7A21"/>
    <w:rsid w:val="005F24B2"/>
    <w:rsid w:val="0060103A"/>
    <w:rsid w:val="00602911"/>
    <w:rsid w:val="00602A7A"/>
    <w:rsid w:val="006047C9"/>
    <w:rsid w:val="0060509A"/>
    <w:rsid w:val="006125F5"/>
    <w:rsid w:val="00612A9B"/>
    <w:rsid w:val="00614D00"/>
    <w:rsid w:val="0062238C"/>
    <w:rsid w:val="006225E2"/>
    <w:rsid w:val="0062676A"/>
    <w:rsid w:val="00627E6B"/>
    <w:rsid w:val="00640DB1"/>
    <w:rsid w:val="006416E9"/>
    <w:rsid w:val="0064545D"/>
    <w:rsid w:val="00646C82"/>
    <w:rsid w:val="00647CD5"/>
    <w:rsid w:val="00653839"/>
    <w:rsid w:val="006548A6"/>
    <w:rsid w:val="00655478"/>
    <w:rsid w:val="00664D7F"/>
    <w:rsid w:val="006A377B"/>
    <w:rsid w:val="006B0930"/>
    <w:rsid w:val="006C4384"/>
    <w:rsid w:val="006C5135"/>
    <w:rsid w:val="006C546E"/>
    <w:rsid w:val="006D29F2"/>
    <w:rsid w:val="006E124B"/>
    <w:rsid w:val="006E2DE0"/>
    <w:rsid w:val="006E5A8E"/>
    <w:rsid w:val="0070081C"/>
    <w:rsid w:val="0071653B"/>
    <w:rsid w:val="00721985"/>
    <w:rsid w:val="00724C84"/>
    <w:rsid w:val="007252A8"/>
    <w:rsid w:val="00725C0A"/>
    <w:rsid w:val="0073119D"/>
    <w:rsid w:val="0073199C"/>
    <w:rsid w:val="007376B0"/>
    <w:rsid w:val="00740508"/>
    <w:rsid w:val="00743776"/>
    <w:rsid w:val="00751428"/>
    <w:rsid w:val="0075674B"/>
    <w:rsid w:val="00761F2B"/>
    <w:rsid w:val="00763B74"/>
    <w:rsid w:val="007731D0"/>
    <w:rsid w:val="00775B16"/>
    <w:rsid w:val="00785A0A"/>
    <w:rsid w:val="00787CED"/>
    <w:rsid w:val="007967F8"/>
    <w:rsid w:val="007A3772"/>
    <w:rsid w:val="007C2696"/>
    <w:rsid w:val="007C4C31"/>
    <w:rsid w:val="007C5EA5"/>
    <w:rsid w:val="007D381E"/>
    <w:rsid w:val="007D3EE2"/>
    <w:rsid w:val="007E03CA"/>
    <w:rsid w:val="007E6193"/>
    <w:rsid w:val="007F2A55"/>
    <w:rsid w:val="007F2F97"/>
    <w:rsid w:val="007F387D"/>
    <w:rsid w:val="007F7152"/>
    <w:rsid w:val="008203E6"/>
    <w:rsid w:val="00822633"/>
    <w:rsid w:val="00830107"/>
    <w:rsid w:val="00831B02"/>
    <w:rsid w:val="00833174"/>
    <w:rsid w:val="00846609"/>
    <w:rsid w:val="00852958"/>
    <w:rsid w:val="00864F77"/>
    <w:rsid w:val="008661F8"/>
    <w:rsid w:val="008712FA"/>
    <w:rsid w:val="00876AA9"/>
    <w:rsid w:val="00876EFF"/>
    <w:rsid w:val="00883AB2"/>
    <w:rsid w:val="008861B2"/>
    <w:rsid w:val="00896377"/>
    <w:rsid w:val="008A09F5"/>
    <w:rsid w:val="008A4B18"/>
    <w:rsid w:val="008A738C"/>
    <w:rsid w:val="008B2645"/>
    <w:rsid w:val="008C36D3"/>
    <w:rsid w:val="008D0675"/>
    <w:rsid w:val="008D1425"/>
    <w:rsid w:val="008D3BC8"/>
    <w:rsid w:val="008D6F23"/>
    <w:rsid w:val="008E5EB5"/>
    <w:rsid w:val="008F04C7"/>
    <w:rsid w:val="008F21A5"/>
    <w:rsid w:val="008F2440"/>
    <w:rsid w:val="00914619"/>
    <w:rsid w:val="009202C8"/>
    <w:rsid w:val="009246BA"/>
    <w:rsid w:val="00930CDE"/>
    <w:rsid w:val="009331A8"/>
    <w:rsid w:val="00935AA1"/>
    <w:rsid w:val="009451DC"/>
    <w:rsid w:val="009467F2"/>
    <w:rsid w:val="00951046"/>
    <w:rsid w:val="00951A78"/>
    <w:rsid w:val="009542D5"/>
    <w:rsid w:val="0095655E"/>
    <w:rsid w:val="009718ED"/>
    <w:rsid w:val="0097297B"/>
    <w:rsid w:val="0098154C"/>
    <w:rsid w:val="0098253A"/>
    <w:rsid w:val="0098549E"/>
    <w:rsid w:val="009857EF"/>
    <w:rsid w:val="009941D8"/>
    <w:rsid w:val="009A2C18"/>
    <w:rsid w:val="009C0A0B"/>
    <w:rsid w:val="009C14BD"/>
    <w:rsid w:val="009C7908"/>
    <w:rsid w:val="009D1AF8"/>
    <w:rsid w:val="009E1C84"/>
    <w:rsid w:val="009E32D4"/>
    <w:rsid w:val="009E4080"/>
    <w:rsid w:val="009E4DCB"/>
    <w:rsid w:val="009E580F"/>
    <w:rsid w:val="009F5A6A"/>
    <w:rsid w:val="00A0205F"/>
    <w:rsid w:val="00A04E9D"/>
    <w:rsid w:val="00A06893"/>
    <w:rsid w:val="00A21886"/>
    <w:rsid w:val="00A25682"/>
    <w:rsid w:val="00A2638C"/>
    <w:rsid w:val="00A27417"/>
    <w:rsid w:val="00A27AFD"/>
    <w:rsid w:val="00A354A8"/>
    <w:rsid w:val="00A4031E"/>
    <w:rsid w:val="00A44A2B"/>
    <w:rsid w:val="00A46F60"/>
    <w:rsid w:val="00A53234"/>
    <w:rsid w:val="00A57F47"/>
    <w:rsid w:val="00A60EFC"/>
    <w:rsid w:val="00A736F0"/>
    <w:rsid w:val="00AA7A0D"/>
    <w:rsid w:val="00AB113B"/>
    <w:rsid w:val="00AD2FD2"/>
    <w:rsid w:val="00AD41E6"/>
    <w:rsid w:val="00AD4ECF"/>
    <w:rsid w:val="00AD70C8"/>
    <w:rsid w:val="00AF6067"/>
    <w:rsid w:val="00AF6549"/>
    <w:rsid w:val="00B07AAD"/>
    <w:rsid w:val="00B15273"/>
    <w:rsid w:val="00B16887"/>
    <w:rsid w:val="00B1746F"/>
    <w:rsid w:val="00B27A2B"/>
    <w:rsid w:val="00B31F00"/>
    <w:rsid w:val="00B351A2"/>
    <w:rsid w:val="00B41959"/>
    <w:rsid w:val="00B42C18"/>
    <w:rsid w:val="00B43CF7"/>
    <w:rsid w:val="00B44327"/>
    <w:rsid w:val="00B4440B"/>
    <w:rsid w:val="00B53944"/>
    <w:rsid w:val="00B6111B"/>
    <w:rsid w:val="00B61FDD"/>
    <w:rsid w:val="00B75B80"/>
    <w:rsid w:val="00B81149"/>
    <w:rsid w:val="00B8672D"/>
    <w:rsid w:val="00B94FB1"/>
    <w:rsid w:val="00BC7FBC"/>
    <w:rsid w:val="00BD11D6"/>
    <w:rsid w:val="00BD2A3B"/>
    <w:rsid w:val="00BD646D"/>
    <w:rsid w:val="00BD6A33"/>
    <w:rsid w:val="00BD7ED0"/>
    <w:rsid w:val="00BE1987"/>
    <w:rsid w:val="00BE5E06"/>
    <w:rsid w:val="00BE643E"/>
    <w:rsid w:val="00BE7CED"/>
    <w:rsid w:val="00BF59BF"/>
    <w:rsid w:val="00C056B5"/>
    <w:rsid w:val="00C10630"/>
    <w:rsid w:val="00C12939"/>
    <w:rsid w:val="00C14E3B"/>
    <w:rsid w:val="00C23BA4"/>
    <w:rsid w:val="00C241B2"/>
    <w:rsid w:val="00C34485"/>
    <w:rsid w:val="00C40AB3"/>
    <w:rsid w:val="00C43805"/>
    <w:rsid w:val="00C43E24"/>
    <w:rsid w:val="00C45235"/>
    <w:rsid w:val="00C60EF2"/>
    <w:rsid w:val="00C615B2"/>
    <w:rsid w:val="00C62D06"/>
    <w:rsid w:val="00C702F0"/>
    <w:rsid w:val="00C74553"/>
    <w:rsid w:val="00C8112C"/>
    <w:rsid w:val="00C87EF4"/>
    <w:rsid w:val="00CA623E"/>
    <w:rsid w:val="00CA630F"/>
    <w:rsid w:val="00CB4EB2"/>
    <w:rsid w:val="00CB7A41"/>
    <w:rsid w:val="00CC7A0B"/>
    <w:rsid w:val="00CD64CD"/>
    <w:rsid w:val="00CE2041"/>
    <w:rsid w:val="00CE3059"/>
    <w:rsid w:val="00CE4960"/>
    <w:rsid w:val="00CE56FA"/>
    <w:rsid w:val="00CF0912"/>
    <w:rsid w:val="00D0060C"/>
    <w:rsid w:val="00D027B8"/>
    <w:rsid w:val="00D04134"/>
    <w:rsid w:val="00D0571C"/>
    <w:rsid w:val="00D0679B"/>
    <w:rsid w:val="00D11879"/>
    <w:rsid w:val="00D12547"/>
    <w:rsid w:val="00D22D44"/>
    <w:rsid w:val="00D378BA"/>
    <w:rsid w:val="00D40668"/>
    <w:rsid w:val="00D6263A"/>
    <w:rsid w:val="00D778D7"/>
    <w:rsid w:val="00D83934"/>
    <w:rsid w:val="00D861C3"/>
    <w:rsid w:val="00D91A0C"/>
    <w:rsid w:val="00D9239C"/>
    <w:rsid w:val="00D95955"/>
    <w:rsid w:val="00D979AB"/>
    <w:rsid w:val="00DA590C"/>
    <w:rsid w:val="00DA703D"/>
    <w:rsid w:val="00DB54CF"/>
    <w:rsid w:val="00DC1546"/>
    <w:rsid w:val="00DD2172"/>
    <w:rsid w:val="00DD4A09"/>
    <w:rsid w:val="00DD4C25"/>
    <w:rsid w:val="00DD6A1F"/>
    <w:rsid w:val="00DE4C00"/>
    <w:rsid w:val="00DE5C67"/>
    <w:rsid w:val="00DF2449"/>
    <w:rsid w:val="00DF7ACF"/>
    <w:rsid w:val="00E004CA"/>
    <w:rsid w:val="00E03391"/>
    <w:rsid w:val="00E0373B"/>
    <w:rsid w:val="00E07308"/>
    <w:rsid w:val="00E179B5"/>
    <w:rsid w:val="00E26286"/>
    <w:rsid w:val="00E30AC2"/>
    <w:rsid w:val="00E33D84"/>
    <w:rsid w:val="00E34813"/>
    <w:rsid w:val="00E356D2"/>
    <w:rsid w:val="00E401B3"/>
    <w:rsid w:val="00E43B61"/>
    <w:rsid w:val="00E458DA"/>
    <w:rsid w:val="00E506D1"/>
    <w:rsid w:val="00E5687E"/>
    <w:rsid w:val="00E57949"/>
    <w:rsid w:val="00E639CC"/>
    <w:rsid w:val="00E63D5B"/>
    <w:rsid w:val="00E671AD"/>
    <w:rsid w:val="00E83E40"/>
    <w:rsid w:val="00E857B8"/>
    <w:rsid w:val="00E907E5"/>
    <w:rsid w:val="00E943B8"/>
    <w:rsid w:val="00EA11F7"/>
    <w:rsid w:val="00EA20B9"/>
    <w:rsid w:val="00EA4549"/>
    <w:rsid w:val="00EB0420"/>
    <w:rsid w:val="00EB7160"/>
    <w:rsid w:val="00ED0B37"/>
    <w:rsid w:val="00ED22DF"/>
    <w:rsid w:val="00ED4C66"/>
    <w:rsid w:val="00ED6781"/>
    <w:rsid w:val="00EE4BD8"/>
    <w:rsid w:val="00EF5BA0"/>
    <w:rsid w:val="00EF7579"/>
    <w:rsid w:val="00F13600"/>
    <w:rsid w:val="00F15FC0"/>
    <w:rsid w:val="00F17042"/>
    <w:rsid w:val="00F175D1"/>
    <w:rsid w:val="00F21DA9"/>
    <w:rsid w:val="00F22A75"/>
    <w:rsid w:val="00F30C1E"/>
    <w:rsid w:val="00F3185D"/>
    <w:rsid w:val="00F35217"/>
    <w:rsid w:val="00F35C50"/>
    <w:rsid w:val="00F42D68"/>
    <w:rsid w:val="00F436FE"/>
    <w:rsid w:val="00F500D2"/>
    <w:rsid w:val="00F51A9D"/>
    <w:rsid w:val="00F57792"/>
    <w:rsid w:val="00F60048"/>
    <w:rsid w:val="00F6185A"/>
    <w:rsid w:val="00F73FE2"/>
    <w:rsid w:val="00F74944"/>
    <w:rsid w:val="00F8497C"/>
    <w:rsid w:val="00F91E41"/>
    <w:rsid w:val="00FA238D"/>
    <w:rsid w:val="00FA3835"/>
    <w:rsid w:val="00FA6816"/>
    <w:rsid w:val="00FB5D79"/>
    <w:rsid w:val="00FE3D91"/>
    <w:rsid w:val="00FE55D2"/>
    <w:rsid w:val="00FE67AB"/>
    <w:rsid w:val="00FF3F96"/>
    <w:rsid w:val="00FF728E"/>
    <w:rsid w:val="02B33676"/>
    <w:rsid w:val="02FC5C0F"/>
    <w:rsid w:val="03305815"/>
    <w:rsid w:val="0394413F"/>
    <w:rsid w:val="03C43D72"/>
    <w:rsid w:val="043405C3"/>
    <w:rsid w:val="058F34B0"/>
    <w:rsid w:val="05CB79FE"/>
    <w:rsid w:val="08A92ADB"/>
    <w:rsid w:val="08CD39FE"/>
    <w:rsid w:val="0952058D"/>
    <w:rsid w:val="09A45050"/>
    <w:rsid w:val="0A5B05D9"/>
    <w:rsid w:val="0AE0030A"/>
    <w:rsid w:val="0B745622"/>
    <w:rsid w:val="0B927CBA"/>
    <w:rsid w:val="0D7652D0"/>
    <w:rsid w:val="0D9F44AC"/>
    <w:rsid w:val="109704C7"/>
    <w:rsid w:val="10E279BE"/>
    <w:rsid w:val="11140C2B"/>
    <w:rsid w:val="11874827"/>
    <w:rsid w:val="128846F4"/>
    <w:rsid w:val="134D2675"/>
    <w:rsid w:val="13E229A4"/>
    <w:rsid w:val="14560CCE"/>
    <w:rsid w:val="14BF5570"/>
    <w:rsid w:val="15431BC1"/>
    <w:rsid w:val="166515DA"/>
    <w:rsid w:val="177019EC"/>
    <w:rsid w:val="1A3D3083"/>
    <w:rsid w:val="1A492E11"/>
    <w:rsid w:val="1A6B58F9"/>
    <w:rsid w:val="1AD427E9"/>
    <w:rsid w:val="1B9E3D36"/>
    <w:rsid w:val="1BCC16EC"/>
    <w:rsid w:val="1C6E7533"/>
    <w:rsid w:val="1C8F2A04"/>
    <w:rsid w:val="1E166652"/>
    <w:rsid w:val="1E262080"/>
    <w:rsid w:val="1F9B480F"/>
    <w:rsid w:val="20B617A0"/>
    <w:rsid w:val="218B2C39"/>
    <w:rsid w:val="225E469A"/>
    <w:rsid w:val="22760B92"/>
    <w:rsid w:val="232C78EC"/>
    <w:rsid w:val="23FD0ADF"/>
    <w:rsid w:val="241101CF"/>
    <w:rsid w:val="243F7370"/>
    <w:rsid w:val="27595274"/>
    <w:rsid w:val="287942F3"/>
    <w:rsid w:val="289D1DCF"/>
    <w:rsid w:val="2A8E004C"/>
    <w:rsid w:val="2B6F549A"/>
    <w:rsid w:val="2B7462A4"/>
    <w:rsid w:val="2C3E492D"/>
    <w:rsid w:val="2CC47634"/>
    <w:rsid w:val="2D5179CF"/>
    <w:rsid w:val="2EB43A90"/>
    <w:rsid w:val="31A46D01"/>
    <w:rsid w:val="31A73C72"/>
    <w:rsid w:val="31C25657"/>
    <w:rsid w:val="32504E7A"/>
    <w:rsid w:val="327F0D3B"/>
    <w:rsid w:val="33AA6F64"/>
    <w:rsid w:val="33D73958"/>
    <w:rsid w:val="344A3189"/>
    <w:rsid w:val="348A7F93"/>
    <w:rsid w:val="35622F24"/>
    <w:rsid w:val="35C0542C"/>
    <w:rsid w:val="38064FA4"/>
    <w:rsid w:val="38D03AE6"/>
    <w:rsid w:val="395B7E53"/>
    <w:rsid w:val="3AFF33E8"/>
    <w:rsid w:val="3B017285"/>
    <w:rsid w:val="3B355323"/>
    <w:rsid w:val="3C7C6C09"/>
    <w:rsid w:val="3D2E21C6"/>
    <w:rsid w:val="3D476359"/>
    <w:rsid w:val="3D9A658C"/>
    <w:rsid w:val="3DE10046"/>
    <w:rsid w:val="3DEE1D80"/>
    <w:rsid w:val="3E673F1C"/>
    <w:rsid w:val="3F1E513C"/>
    <w:rsid w:val="3F4177F3"/>
    <w:rsid w:val="3F4D61B3"/>
    <w:rsid w:val="40F938F8"/>
    <w:rsid w:val="410773F6"/>
    <w:rsid w:val="41C9151C"/>
    <w:rsid w:val="422A188F"/>
    <w:rsid w:val="42E20287"/>
    <w:rsid w:val="43F14D5A"/>
    <w:rsid w:val="442F62DC"/>
    <w:rsid w:val="463D286F"/>
    <w:rsid w:val="464D6181"/>
    <w:rsid w:val="46DB7A17"/>
    <w:rsid w:val="47A62FF4"/>
    <w:rsid w:val="48333FF5"/>
    <w:rsid w:val="48765EF0"/>
    <w:rsid w:val="48970623"/>
    <w:rsid w:val="49FA5FEB"/>
    <w:rsid w:val="4ABB2073"/>
    <w:rsid w:val="4AE922E8"/>
    <w:rsid w:val="4BA537C9"/>
    <w:rsid w:val="4BD95983"/>
    <w:rsid w:val="4CA65226"/>
    <w:rsid w:val="4CBF67BB"/>
    <w:rsid w:val="4D0A61E8"/>
    <w:rsid w:val="4D570F71"/>
    <w:rsid w:val="4DCE1E25"/>
    <w:rsid w:val="4F866A91"/>
    <w:rsid w:val="514B3CFC"/>
    <w:rsid w:val="5151381D"/>
    <w:rsid w:val="51B42B9C"/>
    <w:rsid w:val="51CD3614"/>
    <w:rsid w:val="52002482"/>
    <w:rsid w:val="524502F2"/>
    <w:rsid w:val="53045A01"/>
    <w:rsid w:val="533F2660"/>
    <w:rsid w:val="53A118D8"/>
    <w:rsid w:val="53FC6986"/>
    <w:rsid w:val="5523329E"/>
    <w:rsid w:val="55BA1450"/>
    <w:rsid w:val="57F153A9"/>
    <w:rsid w:val="585F0652"/>
    <w:rsid w:val="58D82D5C"/>
    <w:rsid w:val="59140AFB"/>
    <w:rsid w:val="599C10B9"/>
    <w:rsid w:val="5A016741"/>
    <w:rsid w:val="5A4F5EDF"/>
    <w:rsid w:val="5DB004C1"/>
    <w:rsid w:val="5DBA7AEB"/>
    <w:rsid w:val="5F034C1A"/>
    <w:rsid w:val="6036685D"/>
    <w:rsid w:val="6132417C"/>
    <w:rsid w:val="635204B0"/>
    <w:rsid w:val="64771010"/>
    <w:rsid w:val="65AA7CF9"/>
    <w:rsid w:val="65B337C6"/>
    <w:rsid w:val="65C842CB"/>
    <w:rsid w:val="6616565A"/>
    <w:rsid w:val="666F3CDC"/>
    <w:rsid w:val="66A279D6"/>
    <w:rsid w:val="66A538E7"/>
    <w:rsid w:val="66C32DAD"/>
    <w:rsid w:val="67D85B6C"/>
    <w:rsid w:val="697547D1"/>
    <w:rsid w:val="6B395D51"/>
    <w:rsid w:val="6C67192F"/>
    <w:rsid w:val="6E135832"/>
    <w:rsid w:val="6ED82518"/>
    <w:rsid w:val="6F135C55"/>
    <w:rsid w:val="6F24211E"/>
    <w:rsid w:val="70585401"/>
    <w:rsid w:val="715916C6"/>
    <w:rsid w:val="71B318FE"/>
    <w:rsid w:val="71C948BD"/>
    <w:rsid w:val="71D91C90"/>
    <w:rsid w:val="720D24B0"/>
    <w:rsid w:val="727A5D81"/>
    <w:rsid w:val="73363C8A"/>
    <w:rsid w:val="734D446A"/>
    <w:rsid w:val="73974727"/>
    <w:rsid w:val="74206C9B"/>
    <w:rsid w:val="77674560"/>
    <w:rsid w:val="77C10136"/>
    <w:rsid w:val="78C830A0"/>
    <w:rsid w:val="7A203290"/>
    <w:rsid w:val="7AEE60A9"/>
    <w:rsid w:val="7B4F73D3"/>
    <w:rsid w:val="7C2C65B9"/>
    <w:rsid w:val="7D941F0B"/>
    <w:rsid w:val="7D9D4043"/>
    <w:rsid w:val="7E42141E"/>
    <w:rsid w:val="7E5002A1"/>
    <w:rsid w:val="7ECA0F5F"/>
    <w:rsid w:val="7EE30C9C"/>
    <w:rsid w:val="7EFE1AFE"/>
    <w:rsid w:val="7F70235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4"/>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1"/>
    <w:qFormat/>
    <w:uiPriority w:val="0"/>
    <w:pPr>
      <w:keepNext/>
      <w:keepLines/>
      <w:spacing w:before="260" w:after="260" w:line="416" w:lineRule="auto"/>
      <w:outlineLvl w:val="2"/>
    </w:pPr>
    <w:rPr>
      <w:b/>
      <w:bCs/>
      <w:sz w:val="32"/>
      <w:szCs w:val="32"/>
    </w:rPr>
  </w:style>
  <w:style w:type="paragraph" w:styleId="6">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7">
    <w:name w:val="heading 5"/>
    <w:basedOn w:val="1"/>
    <w:next w:val="4"/>
    <w:qFormat/>
    <w:uiPriority w:val="0"/>
    <w:pPr>
      <w:keepNext/>
      <w:keepLines/>
      <w:spacing w:before="280" w:after="290" w:line="376" w:lineRule="auto"/>
      <w:outlineLvl w:val="4"/>
    </w:pPr>
    <w:rPr>
      <w:b/>
      <w:sz w:val="28"/>
      <w:szCs w:val="20"/>
    </w:rPr>
  </w:style>
  <w:style w:type="paragraph" w:styleId="8">
    <w:name w:val="heading 6"/>
    <w:basedOn w:val="1"/>
    <w:next w:val="4"/>
    <w:qFormat/>
    <w:uiPriority w:val="0"/>
    <w:pPr>
      <w:keepNext/>
      <w:keepLines/>
      <w:spacing w:before="240" w:after="64" w:line="320" w:lineRule="auto"/>
      <w:outlineLvl w:val="5"/>
    </w:pPr>
    <w:rPr>
      <w:rFonts w:ascii="Arial" w:hAnsi="Arial" w:eastAsia="黑体"/>
      <w:b/>
      <w:sz w:val="24"/>
      <w:szCs w:val="20"/>
    </w:rPr>
  </w:style>
  <w:style w:type="paragraph" w:styleId="9">
    <w:name w:val="heading 7"/>
    <w:basedOn w:val="1"/>
    <w:next w:val="4"/>
    <w:qFormat/>
    <w:uiPriority w:val="0"/>
    <w:pPr>
      <w:keepNext/>
      <w:keepLines/>
      <w:spacing w:before="240" w:after="64" w:line="320" w:lineRule="auto"/>
      <w:outlineLvl w:val="6"/>
    </w:pPr>
    <w:rPr>
      <w:b/>
      <w:sz w:val="24"/>
      <w:szCs w:val="20"/>
    </w:rPr>
  </w:style>
  <w:style w:type="paragraph" w:styleId="10">
    <w:name w:val="heading 8"/>
    <w:basedOn w:val="1"/>
    <w:next w:val="4"/>
    <w:qFormat/>
    <w:uiPriority w:val="0"/>
    <w:pPr>
      <w:keepNext/>
      <w:keepLines/>
      <w:spacing w:before="240" w:after="64" w:line="320" w:lineRule="auto"/>
      <w:outlineLvl w:val="7"/>
    </w:pPr>
    <w:rPr>
      <w:rFonts w:ascii="Arial" w:hAnsi="Arial" w:eastAsia="黑体"/>
      <w:sz w:val="24"/>
      <w:szCs w:val="20"/>
    </w:rPr>
  </w:style>
  <w:style w:type="paragraph" w:styleId="11">
    <w:name w:val="heading 9"/>
    <w:basedOn w:val="1"/>
    <w:next w:val="4"/>
    <w:qFormat/>
    <w:uiPriority w:val="0"/>
    <w:pPr>
      <w:keepNext/>
      <w:keepLines/>
      <w:spacing w:before="240" w:after="64" w:line="320" w:lineRule="auto"/>
      <w:outlineLvl w:val="8"/>
    </w:pPr>
    <w:rPr>
      <w:rFonts w:ascii="Arial" w:hAnsi="Arial" w:eastAsia="黑体"/>
      <w:szCs w:val="20"/>
    </w:rPr>
  </w:style>
  <w:style w:type="character" w:default="1" w:styleId="29">
    <w:name w:val="Default Paragraph Font"/>
    <w:semiHidden/>
    <w:unhideWhenUsed/>
    <w:qFormat/>
    <w:uiPriority w:val="1"/>
  </w:style>
  <w:style w:type="table" w:default="1" w:styleId="27">
    <w:name w:val="Normal Table"/>
    <w:semiHidden/>
    <w:unhideWhenUsed/>
    <w:qFormat/>
    <w:uiPriority w:val="99"/>
    <w:tblPr>
      <w:tblCellMar>
        <w:top w:w="0" w:type="dxa"/>
        <w:left w:w="108" w:type="dxa"/>
        <w:bottom w:w="0" w:type="dxa"/>
        <w:right w:w="108" w:type="dxa"/>
      </w:tblCellMar>
    </w:tblPr>
  </w:style>
  <w:style w:type="paragraph" w:styleId="4">
    <w:name w:val="Normal Indent"/>
    <w:basedOn w:val="1"/>
    <w:next w:val="1"/>
    <w:qFormat/>
    <w:uiPriority w:val="0"/>
    <w:pPr>
      <w:autoSpaceDE w:val="0"/>
      <w:autoSpaceDN w:val="0"/>
      <w:adjustRightInd w:val="0"/>
      <w:ind w:firstLine="420"/>
      <w:jc w:val="left"/>
    </w:pPr>
    <w:rPr>
      <w:rFonts w:ascii="宋体"/>
      <w:kern w:val="0"/>
      <w:sz w:val="24"/>
      <w:szCs w:val="20"/>
    </w:rPr>
  </w:style>
  <w:style w:type="paragraph" w:styleId="12">
    <w:name w:val="Document Map"/>
    <w:basedOn w:val="1"/>
    <w:semiHidden/>
    <w:qFormat/>
    <w:uiPriority w:val="0"/>
    <w:pPr>
      <w:shd w:val="clear" w:color="auto" w:fill="000080"/>
    </w:pPr>
  </w:style>
  <w:style w:type="paragraph" w:styleId="13">
    <w:name w:val="annotation text"/>
    <w:basedOn w:val="1"/>
    <w:link w:val="44"/>
    <w:qFormat/>
    <w:uiPriority w:val="0"/>
    <w:pPr>
      <w:jc w:val="left"/>
    </w:pPr>
  </w:style>
  <w:style w:type="paragraph" w:styleId="14">
    <w:name w:val="Body Text 3"/>
    <w:basedOn w:val="1"/>
    <w:qFormat/>
    <w:uiPriority w:val="0"/>
    <w:pPr>
      <w:widowControl/>
      <w:ind w:right="720"/>
      <w:jc w:val="left"/>
    </w:pPr>
    <w:rPr>
      <w:kern w:val="0"/>
      <w:sz w:val="20"/>
      <w:szCs w:val="20"/>
      <w:lang w:eastAsia="en-US"/>
    </w:rPr>
  </w:style>
  <w:style w:type="paragraph" w:styleId="15">
    <w:name w:val="Body Text"/>
    <w:basedOn w:val="1"/>
    <w:qFormat/>
    <w:uiPriority w:val="0"/>
    <w:pPr>
      <w:tabs>
        <w:tab w:val="left" w:pos="567"/>
      </w:tabs>
      <w:spacing w:before="120" w:line="22" w:lineRule="atLeast"/>
    </w:pPr>
    <w:rPr>
      <w:rFonts w:ascii="宋体" w:hAnsi="宋体"/>
      <w:sz w:val="24"/>
    </w:rPr>
  </w:style>
  <w:style w:type="paragraph" w:styleId="16">
    <w:name w:val="Body Text Indent"/>
    <w:basedOn w:val="1"/>
    <w:qFormat/>
    <w:uiPriority w:val="0"/>
    <w:pPr>
      <w:spacing w:after="120"/>
      <w:ind w:left="420" w:leftChars="200"/>
    </w:pPr>
  </w:style>
  <w:style w:type="paragraph" w:styleId="17">
    <w:name w:val="Plain Text"/>
    <w:basedOn w:val="1"/>
    <w:link w:val="35"/>
    <w:qFormat/>
    <w:uiPriority w:val="0"/>
    <w:rPr>
      <w:rFonts w:ascii="宋体" w:hAnsi="Courier New"/>
      <w:szCs w:val="20"/>
    </w:rPr>
  </w:style>
  <w:style w:type="paragraph" w:styleId="18">
    <w:name w:val="Date"/>
    <w:basedOn w:val="1"/>
    <w:next w:val="1"/>
    <w:link w:val="36"/>
    <w:qFormat/>
    <w:uiPriority w:val="0"/>
    <w:rPr>
      <w:szCs w:val="20"/>
    </w:rPr>
  </w:style>
  <w:style w:type="paragraph" w:styleId="19">
    <w:name w:val="Body Text Indent 2"/>
    <w:basedOn w:val="1"/>
    <w:qFormat/>
    <w:uiPriority w:val="0"/>
    <w:pPr>
      <w:ind w:firstLine="480" w:firstLineChars="200"/>
    </w:pPr>
    <w:rPr>
      <w:rFonts w:ascii="仿宋_GB2312" w:eastAsia="仿宋_GB2312"/>
      <w:sz w:val="24"/>
    </w:rPr>
  </w:style>
  <w:style w:type="paragraph" w:styleId="20">
    <w:name w:val="Balloon Text"/>
    <w:basedOn w:val="1"/>
    <w:semiHidden/>
    <w:qFormat/>
    <w:uiPriority w:val="0"/>
    <w:rPr>
      <w:sz w:val="18"/>
      <w:szCs w:val="18"/>
    </w:rPr>
  </w:style>
  <w:style w:type="paragraph" w:styleId="21">
    <w:name w:val="footer"/>
    <w:basedOn w:val="1"/>
    <w:qFormat/>
    <w:uiPriority w:val="0"/>
    <w:pPr>
      <w:tabs>
        <w:tab w:val="center" w:pos="4153"/>
        <w:tab w:val="right" w:pos="8306"/>
      </w:tabs>
      <w:snapToGrid w:val="0"/>
      <w:jc w:val="left"/>
    </w:pPr>
    <w:rPr>
      <w:sz w:val="18"/>
      <w:szCs w:val="18"/>
    </w:rPr>
  </w:style>
  <w:style w:type="paragraph" w:styleId="22">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23">
    <w:name w:val="Body Text 2"/>
    <w:basedOn w:val="1"/>
    <w:qFormat/>
    <w:uiPriority w:val="0"/>
    <w:pPr>
      <w:widowControl/>
    </w:pPr>
    <w:rPr>
      <w:kern w:val="0"/>
      <w:sz w:val="20"/>
      <w:szCs w:val="20"/>
      <w:lang w:eastAsia="en-US"/>
    </w:rPr>
  </w:style>
  <w:style w:type="paragraph" w:styleId="24">
    <w:name w:val="Normal (Web)"/>
    <w:basedOn w:val="1"/>
    <w:qFormat/>
    <w:uiPriority w:val="99"/>
    <w:pPr>
      <w:widowControl/>
      <w:spacing w:before="100" w:beforeAutospacing="1" w:after="100" w:afterAutospacing="1"/>
      <w:jc w:val="left"/>
    </w:pPr>
    <w:rPr>
      <w:rFonts w:ascii="Arial Unicode MS" w:hAnsi="Arial Unicode MS" w:eastAsia="Arial Unicode MS" w:cs="Arial Unicode MS"/>
      <w:kern w:val="0"/>
      <w:sz w:val="24"/>
    </w:rPr>
  </w:style>
  <w:style w:type="paragraph" w:styleId="25">
    <w:name w:val="Title"/>
    <w:basedOn w:val="1"/>
    <w:qFormat/>
    <w:uiPriority w:val="0"/>
    <w:pPr>
      <w:jc w:val="center"/>
    </w:pPr>
    <w:rPr>
      <w:sz w:val="30"/>
    </w:rPr>
  </w:style>
  <w:style w:type="paragraph" w:styleId="26">
    <w:name w:val="annotation subject"/>
    <w:basedOn w:val="13"/>
    <w:next w:val="13"/>
    <w:link w:val="45"/>
    <w:qFormat/>
    <w:uiPriority w:val="0"/>
    <w:rPr>
      <w:b/>
      <w:bCs/>
    </w:rPr>
  </w:style>
  <w:style w:type="table" w:styleId="28">
    <w:name w:val="Table Grid"/>
    <w:basedOn w:val="2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0">
    <w:name w:val="Strong"/>
    <w:qFormat/>
    <w:uiPriority w:val="22"/>
    <w:rPr>
      <w:b/>
      <w:bCs/>
    </w:rPr>
  </w:style>
  <w:style w:type="character" w:styleId="31">
    <w:name w:val="page number"/>
    <w:qFormat/>
    <w:uiPriority w:val="0"/>
  </w:style>
  <w:style w:type="character" w:styleId="32">
    <w:name w:val="Emphasis"/>
    <w:qFormat/>
    <w:uiPriority w:val="20"/>
    <w:rPr>
      <w:i/>
      <w:iCs/>
    </w:rPr>
  </w:style>
  <w:style w:type="character" w:styleId="33">
    <w:name w:val="Hyperlink"/>
    <w:qFormat/>
    <w:uiPriority w:val="0"/>
    <w:rPr>
      <w:color w:val="0000FF"/>
      <w:u w:val="single"/>
    </w:rPr>
  </w:style>
  <w:style w:type="character" w:styleId="34">
    <w:name w:val="annotation reference"/>
    <w:basedOn w:val="29"/>
    <w:qFormat/>
    <w:uiPriority w:val="0"/>
    <w:rPr>
      <w:sz w:val="21"/>
      <w:szCs w:val="21"/>
    </w:rPr>
  </w:style>
  <w:style w:type="character" w:customStyle="1" w:styleId="35">
    <w:name w:val="纯文本 字符"/>
    <w:link w:val="17"/>
    <w:qFormat/>
    <w:uiPriority w:val="0"/>
    <w:rPr>
      <w:rFonts w:ascii="宋体" w:hAnsi="Courier New"/>
      <w:kern w:val="2"/>
      <w:sz w:val="21"/>
    </w:rPr>
  </w:style>
  <w:style w:type="character" w:customStyle="1" w:styleId="36">
    <w:name w:val="日期 字符"/>
    <w:link w:val="18"/>
    <w:qFormat/>
    <w:uiPriority w:val="0"/>
    <w:rPr>
      <w:rFonts w:eastAsia="宋体"/>
      <w:kern w:val="2"/>
      <w:sz w:val="21"/>
      <w:lang w:val="en-US" w:eastAsia="zh-CN" w:bidi="ar-SA"/>
    </w:rPr>
  </w:style>
  <w:style w:type="character" w:customStyle="1" w:styleId="37">
    <w:name w:val="Char"/>
    <w:qFormat/>
    <w:uiPriority w:val="0"/>
    <w:rPr>
      <w:rFonts w:ascii="宋体" w:hAnsi="Courier New" w:eastAsia="宋体"/>
      <w:kern w:val="2"/>
      <w:sz w:val="21"/>
      <w:lang w:val="en-US" w:eastAsia="zh-CN" w:bidi="ar-SA"/>
    </w:rPr>
  </w:style>
  <w:style w:type="paragraph" w:customStyle="1" w:styleId="38">
    <w:name w:val="Char1"/>
    <w:basedOn w:val="1"/>
    <w:qFormat/>
    <w:uiPriority w:val="0"/>
    <w:rPr>
      <w:rFonts w:ascii="Tahoma" w:hAnsi="Tahoma"/>
      <w:sz w:val="24"/>
      <w:szCs w:val="20"/>
    </w:rPr>
  </w:style>
  <w:style w:type="paragraph" w:customStyle="1" w:styleId="39">
    <w:name w:val="彩色列表 - 强调文字颜色 11"/>
    <w:basedOn w:val="1"/>
    <w:qFormat/>
    <w:uiPriority w:val="34"/>
    <w:pPr>
      <w:ind w:firstLine="420" w:firstLineChars="200"/>
    </w:pPr>
    <w:rPr>
      <w:rFonts w:ascii="Calibri" w:hAnsi="Calibri"/>
      <w:szCs w:val="22"/>
    </w:rPr>
  </w:style>
  <w:style w:type="paragraph" w:customStyle="1" w:styleId="40">
    <w:name w:val="正文文本 21"/>
    <w:basedOn w:val="1"/>
    <w:qFormat/>
    <w:uiPriority w:val="0"/>
    <w:pPr>
      <w:adjustRightInd w:val="0"/>
      <w:spacing w:before="120" w:line="360" w:lineRule="auto"/>
      <w:ind w:firstLine="480"/>
      <w:textAlignment w:val="baseline"/>
    </w:pPr>
    <w:rPr>
      <w:sz w:val="24"/>
      <w:szCs w:val="20"/>
    </w:rPr>
  </w:style>
  <w:style w:type="paragraph" w:customStyle="1" w:styleId="41">
    <w:name w:val="文档正文"/>
    <w:basedOn w:val="1"/>
    <w:qFormat/>
    <w:uiPriority w:val="0"/>
    <w:pPr>
      <w:adjustRightInd w:val="0"/>
      <w:spacing w:line="480" w:lineRule="atLeast"/>
      <w:ind w:firstLine="567"/>
      <w:textAlignment w:val="baseline"/>
    </w:pPr>
    <w:rPr>
      <w:rFonts w:ascii="长城仿宋"/>
      <w:kern w:val="0"/>
      <w:sz w:val="24"/>
      <w:szCs w:val="20"/>
    </w:rPr>
  </w:style>
  <w:style w:type="paragraph" w:customStyle="1" w:styleId="42">
    <w:name w:val="正文文本缩进 21"/>
    <w:basedOn w:val="1"/>
    <w:qFormat/>
    <w:uiPriority w:val="0"/>
    <w:pPr>
      <w:adjustRightInd w:val="0"/>
      <w:spacing w:before="120"/>
      <w:ind w:firstLine="420"/>
      <w:textAlignment w:val="baseline"/>
    </w:pPr>
    <w:rPr>
      <w:sz w:val="24"/>
      <w:szCs w:val="20"/>
    </w:rPr>
  </w:style>
  <w:style w:type="paragraph" w:styleId="43">
    <w:name w:val="List Paragraph"/>
    <w:basedOn w:val="1"/>
    <w:unhideWhenUsed/>
    <w:qFormat/>
    <w:uiPriority w:val="34"/>
    <w:pPr>
      <w:ind w:firstLine="420" w:firstLineChars="200"/>
    </w:pPr>
  </w:style>
  <w:style w:type="character" w:customStyle="1" w:styleId="44">
    <w:name w:val="批注文字 字符"/>
    <w:basedOn w:val="29"/>
    <w:link w:val="13"/>
    <w:qFormat/>
    <w:uiPriority w:val="0"/>
    <w:rPr>
      <w:kern w:val="2"/>
      <w:sz w:val="21"/>
      <w:szCs w:val="24"/>
    </w:rPr>
  </w:style>
  <w:style w:type="character" w:customStyle="1" w:styleId="45">
    <w:name w:val="批注主题 字符"/>
    <w:basedOn w:val="44"/>
    <w:link w:val="26"/>
    <w:qFormat/>
    <w:uiPriority w:val="0"/>
    <w:rPr>
      <w:kern w:val="2"/>
      <w:sz w:val="21"/>
      <w:szCs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Lenovo</Company>
  <Pages>30</Pages>
  <Words>14426</Words>
  <Characters>15865</Characters>
  <Lines>120</Lines>
  <Paragraphs>34</Paragraphs>
  <TotalTime>0</TotalTime>
  <ScaleCrop>false</ScaleCrop>
  <LinksUpToDate>false</LinksUpToDate>
  <CharactersWithSpaces>16295</CharactersWithSpaces>
  <Application>WPS Office_12.1.0.15990_F1E327BC-269C-435d-A152-05C5408002CA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2023-10-20T06:56:00Z</dcterms:created>
  <dc:creator>caowuning</dc:creator>
  <cp:lastModifiedBy>Administrator</cp:lastModifiedBy>
  <cp:lastPrinted>2023-10-11T04:45:00Z</cp:lastPrinted>
  <dcterms:modified xsi:type="dcterms:W3CDTF">2023-12-08T03:18:40Z</dcterms:modified>
  <dc:title>北 京 市 政 府 采 购</dc:title>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2052-12.1.0.15990</vt:lpwstr>
  </property>
  <property fmtid="{D5CDD505-2E9C-101B-9397-08002B2CF9AE}" pid="3" name="ICV">
    <vt:lpwstr>A2A727C69DB24B16A0B5EAAB0D93A5C4_13</vt:lpwstr>
  </property>
</Properties>
</file>