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115FB">
      <w:pPr>
        <w:pStyle w:val="2"/>
        <w:spacing w:before="0" w:after="0" w:line="360" w:lineRule="auto"/>
        <w:rPr>
          <w:rFonts w:hint="eastAsia" w:ascii="宋体" w:hAnsi="宋体" w:cs="宋体"/>
          <w:kern w:val="2"/>
          <w:sz w:val="32"/>
          <w:highlight w:val="none"/>
          <w:lang w:eastAsia="zh-CN"/>
        </w:rPr>
      </w:pPr>
      <w:bookmarkStart w:id="0" w:name="_Toc17481"/>
      <w:bookmarkStart w:id="1" w:name="_Toc10112"/>
      <w:bookmarkStart w:id="2" w:name="_Toc1983"/>
      <w:bookmarkStart w:id="3" w:name="_Toc28000"/>
      <w:bookmarkStart w:id="4" w:name="_Toc26795"/>
      <w:bookmarkStart w:id="5" w:name="_Toc27970"/>
      <w:bookmarkStart w:id="6" w:name="_Toc88807231"/>
      <w:bookmarkStart w:id="37" w:name="_GoBack"/>
      <w:bookmarkEnd w:id="37"/>
      <w:r>
        <w:rPr>
          <w:rFonts w:hint="eastAsia" w:ascii="宋体" w:hAnsi="宋体" w:cs="宋体"/>
          <w:kern w:val="2"/>
          <w:sz w:val="32"/>
          <w:highlight w:val="none"/>
          <w:lang w:eastAsia="zh-CN"/>
        </w:rPr>
        <w:t>中国海洋大学液质联用仪、泽塔电位和粒度分析仪等设备</w:t>
      </w:r>
    </w:p>
    <w:p w14:paraId="021B224D">
      <w:pPr>
        <w:pStyle w:val="2"/>
        <w:spacing w:before="0" w:after="0" w:line="360" w:lineRule="auto"/>
        <w:rPr>
          <w:rFonts w:hint="eastAsia" w:ascii="宋体" w:hAnsi="宋体" w:cs="宋体"/>
          <w:kern w:val="2"/>
          <w:sz w:val="32"/>
          <w:highlight w:val="none"/>
        </w:rPr>
      </w:pPr>
      <w:r>
        <w:rPr>
          <w:rFonts w:hint="eastAsia" w:ascii="宋体" w:hAnsi="宋体" w:cs="宋体"/>
          <w:kern w:val="2"/>
          <w:sz w:val="32"/>
          <w:highlight w:val="none"/>
          <w:lang w:eastAsia="zh-CN"/>
        </w:rPr>
        <w:t>采购项目</w:t>
      </w:r>
      <w:r>
        <w:rPr>
          <w:rFonts w:hint="eastAsia" w:ascii="宋体" w:hAnsi="宋体" w:cs="宋体"/>
          <w:kern w:val="2"/>
          <w:sz w:val="32"/>
          <w:highlight w:val="none"/>
          <w:lang w:val="en-US" w:eastAsia="zh-CN"/>
        </w:rPr>
        <w:t>公开</w:t>
      </w:r>
      <w:r>
        <w:rPr>
          <w:rFonts w:hint="eastAsia" w:ascii="宋体" w:hAnsi="宋体" w:cs="宋体"/>
          <w:kern w:val="2"/>
          <w:sz w:val="32"/>
          <w:highlight w:val="none"/>
        </w:rPr>
        <w:t>招标公告</w:t>
      </w:r>
      <w:bookmarkEnd w:id="0"/>
      <w:bookmarkEnd w:id="1"/>
      <w:bookmarkEnd w:id="2"/>
      <w:bookmarkEnd w:id="3"/>
      <w:bookmarkEnd w:id="4"/>
      <w:bookmarkEnd w:id="5"/>
      <w:bookmarkEnd w:id="6"/>
    </w:p>
    <w:p w14:paraId="00EAB136">
      <w:pPr>
        <w:jc w:val="center"/>
        <w:rPr>
          <w:rFonts w:hint="eastAsia" w:ascii="宋体" w:hAnsi="宋体" w:cs="宋体"/>
          <w:b/>
          <w:sz w:val="28"/>
          <w:szCs w:val="28"/>
          <w:highlight w:val="none"/>
        </w:rPr>
      </w:pPr>
    </w:p>
    <w:p w14:paraId="00D82A75">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rPr>
      </w:pPr>
      <w:bookmarkStart w:id="7" w:name="_Toc35393790"/>
      <w:bookmarkStart w:id="8" w:name="_Toc28359002"/>
      <w:bookmarkStart w:id="9" w:name="_Toc35393621"/>
      <w:bookmarkStart w:id="10" w:name="_Toc28359079"/>
      <w:bookmarkStart w:id="11" w:name="_Hlk24379207"/>
      <w:r>
        <w:rPr>
          <w:rFonts w:hint="eastAsia" w:ascii="宋体" w:hAnsi="宋体" w:cs="宋体"/>
          <w:bCs/>
          <w:sz w:val="24"/>
          <w:highlight w:val="none"/>
        </w:rPr>
        <w:fldChar w:fldCharType="begin"/>
      </w:r>
      <w:r>
        <w:rPr>
          <w:rFonts w:hint="eastAsia" w:ascii="宋体" w:hAnsi="宋体" w:cs="宋体"/>
          <w:bCs/>
          <w:sz w:val="24"/>
          <w:highlight w:val="none"/>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highlight w:val="none"/>
        </w:rPr>
        <w:fldChar w:fldCharType="separate"/>
      </w:r>
      <w:r>
        <w:rPr>
          <w:rFonts w:hint="eastAsia" w:ascii="宋体" w:hAnsi="宋体" w:cs="宋体"/>
          <w:bCs/>
          <w:sz w:val="24"/>
          <w:highlight w:val="none"/>
        </w:rPr>
        <w:t>受</w:t>
      </w:r>
      <w:r>
        <w:rPr>
          <w:rFonts w:hint="eastAsia" w:ascii="宋体" w:hAnsi="宋体" w:cs="宋体"/>
          <w:bCs/>
          <w:sz w:val="24"/>
          <w:highlight w:val="none"/>
          <w:u w:val="single"/>
        </w:rPr>
        <w:t>中国海洋大学</w:t>
      </w:r>
      <w:r>
        <w:rPr>
          <w:rFonts w:hint="eastAsia" w:ascii="宋体" w:hAnsi="宋体" w:cs="宋体"/>
          <w:bCs/>
          <w:sz w:val="24"/>
          <w:highlight w:val="none"/>
        </w:rPr>
        <w:t>委托，</w:t>
      </w:r>
      <w:r>
        <w:rPr>
          <w:rFonts w:hint="eastAsia" w:ascii="宋体" w:hAnsi="宋体" w:cs="宋体"/>
          <w:bCs/>
          <w:sz w:val="24"/>
          <w:highlight w:val="none"/>
          <w:u w:val="single"/>
        </w:rPr>
        <w:t>海逸恒安项目管理有限公司</w:t>
      </w:r>
      <w:r>
        <w:rPr>
          <w:rFonts w:hint="eastAsia" w:ascii="宋体" w:hAnsi="宋体" w:cs="宋体"/>
          <w:bCs/>
          <w:sz w:val="24"/>
          <w:highlight w:val="none"/>
        </w:rPr>
        <w:t>对</w:t>
      </w:r>
      <w:r>
        <w:rPr>
          <w:rFonts w:hint="eastAsia" w:ascii="宋体" w:hAnsi="宋体" w:cs="宋体"/>
          <w:bCs/>
          <w:sz w:val="24"/>
          <w:highlight w:val="none"/>
          <w:u w:val="single"/>
          <w:lang w:eastAsia="zh-CN"/>
        </w:rPr>
        <w:t>中国海洋大学液质联用仪、泽塔电位和粒度分析仪等设备采购项目</w:t>
      </w:r>
      <w:r>
        <w:rPr>
          <w:rFonts w:hint="eastAsia" w:ascii="宋体" w:hAnsi="宋体" w:cs="宋体"/>
          <w:bCs/>
          <w:sz w:val="24"/>
          <w:highlight w:val="none"/>
        </w:rPr>
        <w:t>采用</w:t>
      </w:r>
      <w:r>
        <w:rPr>
          <w:rFonts w:hint="eastAsia" w:ascii="宋体" w:hAnsi="宋体" w:cs="宋体"/>
          <w:bCs/>
          <w:sz w:val="24"/>
          <w:highlight w:val="none"/>
          <w:u w:val="single"/>
        </w:rPr>
        <w:t>公开招标</w:t>
      </w:r>
      <w:r>
        <w:rPr>
          <w:rFonts w:hint="eastAsia" w:ascii="宋体" w:hAnsi="宋体" w:cs="宋体"/>
          <w:bCs/>
          <w:sz w:val="24"/>
          <w:highlight w:val="none"/>
        </w:rPr>
        <w:t>进行采购，欢迎潜在投标人前来竞标。请潜在投标人在</w:t>
      </w:r>
      <w:r>
        <w:rPr>
          <w:rFonts w:hint="eastAsia" w:ascii="宋体" w:hAnsi="宋体" w:cs="宋体"/>
          <w:bCs/>
          <w:sz w:val="24"/>
          <w:highlight w:val="none"/>
          <w:u w:val="single"/>
        </w:rPr>
        <w:t>&lt;panghaosheng@sdhyha.com&gt;</w:t>
      </w:r>
      <w:r>
        <w:rPr>
          <w:rFonts w:hint="eastAsia" w:ascii="宋体" w:hAnsi="宋体" w:cs="宋体"/>
          <w:bCs/>
          <w:sz w:val="24"/>
          <w:highlight w:val="none"/>
        </w:rPr>
        <w:t>获取招标文件，并于</w:t>
      </w:r>
      <w:r>
        <w:rPr>
          <w:rFonts w:hint="eastAsia" w:ascii="宋体" w:hAnsi="宋体" w:cs="宋体"/>
          <w:bCs/>
          <w:sz w:val="24"/>
          <w:highlight w:val="none"/>
          <w:u w:val="single"/>
        </w:rPr>
        <w:t>202</w:t>
      </w:r>
      <w:r>
        <w:rPr>
          <w:rFonts w:hint="eastAsia" w:ascii="宋体" w:hAnsi="宋体" w:cs="宋体"/>
          <w:bCs/>
          <w:sz w:val="24"/>
          <w:highlight w:val="none"/>
          <w:u w:val="single"/>
          <w:lang w:val="en-US" w:eastAsia="zh-CN"/>
        </w:rPr>
        <w:t>5</w:t>
      </w:r>
      <w:r>
        <w:rPr>
          <w:rFonts w:hint="eastAsia" w:ascii="宋体" w:hAnsi="宋体" w:cs="宋体"/>
          <w:bCs/>
          <w:sz w:val="24"/>
          <w:highlight w:val="none"/>
          <w:u w:val="single"/>
        </w:rPr>
        <w:t>年</w:t>
      </w:r>
      <w:r>
        <w:rPr>
          <w:rFonts w:hint="eastAsia" w:ascii="宋体" w:hAnsi="宋体" w:cs="宋体"/>
          <w:bCs/>
          <w:sz w:val="24"/>
          <w:highlight w:val="none"/>
        </w:rPr>
        <w:fldChar w:fldCharType="end"/>
      </w:r>
      <w:r>
        <w:rPr>
          <w:rFonts w:hint="eastAsia" w:ascii="宋体" w:hAnsi="宋体" w:cs="宋体"/>
          <w:bCs/>
          <w:sz w:val="24"/>
          <w:highlight w:val="none"/>
          <w:u w:val="single"/>
          <w:lang w:val="en-US" w:eastAsia="zh-CN"/>
        </w:rPr>
        <w:t>10</w:t>
      </w:r>
      <w:r>
        <w:rPr>
          <w:rFonts w:hint="eastAsia" w:ascii="宋体" w:hAnsi="宋体" w:cs="宋体"/>
          <w:bCs/>
          <w:sz w:val="24"/>
          <w:highlight w:val="none"/>
          <w:u w:val="single"/>
        </w:rPr>
        <w:t>月</w:t>
      </w:r>
      <w:r>
        <w:rPr>
          <w:rFonts w:hint="eastAsia" w:ascii="宋体" w:hAnsi="宋体" w:cs="宋体"/>
          <w:bCs/>
          <w:sz w:val="24"/>
          <w:highlight w:val="none"/>
          <w:u w:val="single"/>
          <w:lang w:val="en-US" w:eastAsia="zh-CN"/>
        </w:rPr>
        <w:t>24</w:t>
      </w:r>
      <w:r>
        <w:rPr>
          <w:rFonts w:hint="eastAsia" w:ascii="宋体" w:hAnsi="宋体" w:cs="宋体"/>
          <w:bCs/>
          <w:sz w:val="24"/>
          <w:highlight w:val="none"/>
          <w:u w:val="single"/>
        </w:rPr>
        <w:t>日</w:t>
      </w:r>
      <w:r>
        <w:rPr>
          <w:rFonts w:hint="eastAsia" w:ascii="宋体" w:hAnsi="宋体" w:cs="宋体"/>
          <w:bCs/>
          <w:sz w:val="24"/>
          <w:highlight w:val="none"/>
          <w:u w:val="single"/>
          <w:lang w:val="en-US" w:eastAsia="zh-CN"/>
        </w:rPr>
        <w:t>09</w:t>
      </w:r>
      <w:r>
        <w:rPr>
          <w:rFonts w:hint="eastAsia" w:ascii="宋体" w:hAnsi="宋体" w:cs="宋体"/>
          <w:bCs/>
          <w:sz w:val="24"/>
          <w:highlight w:val="none"/>
          <w:u w:val="single"/>
        </w:rPr>
        <w:t>点</w:t>
      </w:r>
      <w:r>
        <w:rPr>
          <w:rFonts w:hint="eastAsia" w:ascii="宋体" w:hAnsi="宋体" w:cs="宋体"/>
          <w:bCs/>
          <w:sz w:val="24"/>
          <w:highlight w:val="none"/>
          <w:u w:val="single"/>
          <w:lang w:val="en-US" w:eastAsia="zh-CN"/>
        </w:rPr>
        <w:t>00</w:t>
      </w:r>
      <w:r>
        <w:rPr>
          <w:rFonts w:hint="eastAsia" w:ascii="宋体" w:hAnsi="宋体" w:cs="宋体"/>
          <w:bCs/>
          <w:sz w:val="24"/>
          <w:highlight w:val="none"/>
          <w:u w:val="single"/>
        </w:rPr>
        <w:t>分（北京时间）</w:t>
      </w:r>
      <w:r>
        <w:rPr>
          <w:rFonts w:hint="eastAsia" w:ascii="宋体" w:hAnsi="宋体" w:cs="宋体"/>
          <w:bCs/>
          <w:sz w:val="24"/>
          <w:highlight w:val="none"/>
        </w:rPr>
        <w:t>前提交投标文件</w:t>
      </w:r>
      <w:r>
        <w:rPr>
          <w:rFonts w:hint="eastAsia" w:ascii="宋体" w:hAnsi="宋体" w:cs="宋体"/>
          <w:sz w:val="24"/>
          <w:highlight w:val="none"/>
        </w:rPr>
        <w:t>。</w:t>
      </w:r>
    </w:p>
    <w:p w14:paraId="3B545A6E">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cs="宋体"/>
          <w:b/>
          <w:bCs/>
          <w:sz w:val="24"/>
          <w:highlight w:val="none"/>
        </w:rPr>
      </w:pPr>
      <w:r>
        <w:rPr>
          <w:rFonts w:hint="eastAsia" w:ascii="宋体" w:hAnsi="宋体" w:cs="宋体"/>
          <w:b/>
          <w:bCs/>
          <w:sz w:val="24"/>
          <w:highlight w:val="none"/>
        </w:rPr>
        <w:t>一、项目基本情况</w:t>
      </w:r>
      <w:bookmarkEnd w:id="7"/>
      <w:bookmarkEnd w:id="8"/>
      <w:bookmarkEnd w:id="9"/>
      <w:bookmarkEnd w:id="10"/>
    </w:p>
    <w:bookmarkEnd w:id="11"/>
    <w:p w14:paraId="27A0AF1E">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1.项目编号</w:t>
      </w:r>
      <w:r>
        <w:rPr>
          <w:rFonts w:hint="eastAsia" w:ascii="宋体" w:hAnsi="宋体" w:cs="宋体"/>
          <w:sz w:val="24"/>
          <w:highlight w:val="none"/>
          <w:lang w:eastAsia="zh-CN"/>
        </w:rPr>
        <w:t>：HYHAQD2025-0585</w:t>
      </w:r>
    </w:p>
    <w:p w14:paraId="6250C4A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2.项目名称：中国海洋大学液质联用仪、泽塔电位和粒度分析仪等设备采购项目</w:t>
      </w:r>
    </w:p>
    <w:p w14:paraId="505E3463">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3.预算金额及最高限价：人民币</w:t>
      </w:r>
      <w:r>
        <w:rPr>
          <w:rFonts w:hint="eastAsia" w:ascii="宋体" w:hAnsi="宋体" w:eastAsia="宋体" w:cs="宋体"/>
          <w:sz w:val="24"/>
          <w:highlight w:val="none"/>
          <w:lang w:val="en-US" w:eastAsia="zh-CN"/>
        </w:rPr>
        <w:t>888.00</w:t>
      </w:r>
      <w:r>
        <w:rPr>
          <w:rFonts w:hint="eastAsia" w:ascii="宋体" w:hAnsi="宋体" w:eastAsia="宋体" w:cs="宋体"/>
          <w:sz w:val="24"/>
          <w:highlight w:val="none"/>
          <w:lang w:eastAsia="zh-CN"/>
        </w:rPr>
        <w:t>万元。其中：第一包：</w:t>
      </w:r>
      <w:r>
        <w:rPr>
          <w:rFonts w:hint="eastAsia" w:ascii="宋体" w:hAnsi="宋体" w:eastAsia="宋体" w:cs="宋体"/>
          <w:sz w:val="24"/>
          <w:highlight w:val="none"/>
          <w:lang w:val="en-US" w:eastAsia="zh-CN"/>
        </w:rPr>
        <w:t>458.00</w:t>
      </w:r>
      <w:r>
        <w:rPr>
          <w:rFonts w:hint="eastAsia" w:ascii="宋体" w:hAnsi="宋体" w:eastAsia="宋体" w:cs="宋体"/>
          <w:sz w:val="24"/>
          <w:highlight w:val="none"/>
          <w:lang w:eastAsia="zh-CN"/>
        </w:rPr>
        <w:t>万元，第二包：</w:t>
      </w:r>
      <w:r>
        <w:rPr>
          <w:rFonts w:hint="eastAsia" w:ascii="宋体" w:hAnsi="宋体" w:eastAsia="宋体" w:cs="宋体"/>
          <w:sz w:val="24"/>
          <w:lang w:val="en-US" w:eastAsia="zh-CN"/>
        </w:rPr>
        <w:t>430</w:t>
      </w:r>
      <w:r>
        <w:rPr>
          <w:rFonts w:hint="eastAsia" w:ascii="宋体" w:hAnsi="宋体" w:eastAsia="宋体" w:cs="宋体"/>
          <w:sz w:val="24"/>
        </w:rPr>
        <w:t>.00</w:t>
      </w:r>
      <w:r>
        <w:rPr>
          <w:rFonts w:hint="eastAsia" w:ascii="宋体" w:hAnsi="宋体" w:eastAsia="宋体" w:cs="宋体"/>
          <w:sz w:val="24"/>
          <w:highlight w:val="none"/>
          <w:lang w:eastAsia="zh-CN"/>
        </w:rPr>
        <w:t>万元。</w:t>
      </w:r>
    </w:p>
    <w:p w14:paraId="3C7E2376">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4.采购需求</w:t>
      </w:r>
      <w:r>
        <w:rPr>
          <w:rFonts w:hint="eastAsia" w:ascii="宋体" w:hAnsi="宋体" w:cs="宋体"/>
          <w:sz w:val="24"/>
          <w:highlight w:val="none"/>
          <w:lang w:eastAsia="zh-CN"/>
        </w:rPr>
        <w:t>：</w:t>
      </w:r>
    </w:p>
    <w:tbl>
      <w:tblPr>
        <w:tblStyle w:val="4"/>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5422"/>
        <w:gridCol w:w="1186"/>
        <w:gridCol w:w="2351"/>
      </w:tblGrid>
      <w:tr w14:paraId="28F5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00" w:type="dxa"/>
            <w:noWrap w:val="0"/>
            <w:vAlign w:val="center"/>
          </w:tcPr>
          <w:p w14:paraId="36E69DE3">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包号</w:t>
            </w:r>
          </w:p>
        </w:tc>
        <w:tc>
          <w:tcPr>
            <w:tcW w:w="5422" w:type="dxa"/>
            <w:noWrap w:val="0"/>
            <w:vAlign w:val="center"/>
          </w:tcPr>
          <w:p w14:paraId="5A41C9C8">
            <w:pPr>
              <w:keepNext w:val="0"/>
              <w:keepLines w:val="0"/>
              <w:pageBreakBefore w:val="0"/>
              <w:widowControl/>
              <w:kinsoku/>
              <w:wordWrap/>
              <w:overflowPunct/>
              <w:topLinePunct w:val="0"/>
              <w:autoSpaceDE/>
              <w:autoSpaceDN/>
              <w:bidi w:val="0"/>
              <w:adjustRightInd/>
              <w:snapToGrid w:val="0"/>
              <w:spacing w:line="36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货物名称</w:t>
            </w:r>
          </w:p>
        </w:tc>
        <w:tc>
          <w:tcPr>
            <w:tcW w:w="1186" w:type="dxa"/>
            <w:noWrap w:val="0"/>
            <w:vAlign w:val="center"/>
          </w:tcPr>
          <w:p w14:paraId="2B385CF0">
            <w:pPr>
              <w:keepNext w:val="0"/>
              <w:keepLines w:val="0"/>
              <w:pageBreakBefore w:val="0"/>
              <w:widowControl/>
              <w:kinsoku/>
              <w:wordWrap/>
              <w:overflowPunct/>
              <w:topLinePunct w:val="0"/>
              <w:autoSpaceDE/>
              <w:autoSpaceDN/>
              <w:bidi w:val="0"/>
              <w:adjustRightInd/>
              <w:snapToGrid w:val="0"/>
              <w:spacing w:line="36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p w14:paraId="62561C14">
            <w:pPr>
              <w:keepNext w:val="0"/>
              <w:keepLines w:val="0"/>
              <w:pageBreakBefore w:val="0"/>
              <w:widowControl/>
              <w:kinsoku/>
              <w:wordWrap/>
              <w:overflowPunct/>
              <w:topLinePunct w:val="0"/>
              <w:autoSpaceDE/>
              <w:autoSpaceDN/>
              <w:bidi w:val="0"/>
              <w:adjustRightInd/>
              <w:snapToGrid w:val="0"/>
              <w:spacing w:line="36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台/套）</w:t>
            </w:r>
          </w:p>
        </w:tc>
        <w:tc>
          <w:tcPr>
            <w:tcW w:w="2351" w:type="dxa"/>
            <w:noWrap w:val="0"/>
            <w:vAlign w:val="center"/>
          </w:tcPr>
          <w:p w14:paraId="34B88E70">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tc>
      </w:tr>
      <w:tr w14:paraId="6A01E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00" w:type="dxa"/>
            <w:vMerge w:val="restart"/>
            <w:noWrap w:val="0"/>
            <w:vAlign w:val="center"/>
          </w:tcPr>
          <w:p w14:paraId="69892FBB">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5422" w:type="dxa"/>
            <w:noWrap w:val="0"/>
            <w:vAlign w:val="center"/>
          </w:tcPr>
          <w:p w14:paraId="33DE8B21">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rPr>
            </w:pPr>
            <w:r>
              <w:rPr>
                <w:rFonts w:hint="eastAsia" w:ascii="宋体" w:hAnsi="宋体" w:eastAsia="宋体" w:cs="宋体"/>
                <w:sz w:val="24"/>
                <w:highlight w:val="none"/>
              </w:rPr>
              <w:t>大景深显微分析系统</w:t>
            </w:r>
          </w:p>
        </w:tc>
        <w:tc>
          <w:tcPr>
            <w:tcW w:w="1186" w:type="dxa"/>
            <w:noWrap w:val="0"/>
            <w:vAlign w:val="center"/>
          </w:tcPr>
          <w:p w14:paraId="0075661D">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1" w:type="dxa"/>
            <w:vMerge w:val="restart"/>
            <w:noWrap w:val="0"/>
            <w:vAlign w:val="center"/>
          </w:tcPr>
          <w:p w14:paraId="6514D652">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p w14:paraId="502DACBD">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详见招标公告附件。</w:t>
            </w:r>
          </w:p>
        </w:tc>
      </w:tr>
      <w:tr w14:paraId="11B9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00" w:type="dxa"/>
            <w:vMerge w:val="continue"/>
            <w:noWrap w:val="0"/>
            <w:vAlign w:val="center"/>
          </w:tcPr>
          <w:p w14:paraId="22F556C6">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p>
        </w:tc>
        <w:tc>
          <w:tcPr>
            <w:tcW w:w="5422" w:type="dxa"/>
            <w:noWrap w:val="0"/>
            <w:vAlign w:val="center"/>
          </w:tcPr>
          <w:p w14:paraId="77BE47CB">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流式细胞仪</w:t>
            </w:r>
          </w:p>
        </w:tc>
        <w:tc>
          <w:tcPr>
            <w:tcW w:w="1186" w:type="dxa"/>
            <w:noWrap w:val="0"/>
            <w:vAlign w:val="center"/>
          </w:tcPr>
          <w:p w14:paraId="0CA37D83">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2351" w:type="dxa"/>
            <w:vMerge w:val="continue"/>
            <w:noWrap w:val="0"/>
            <w:vAlign w:val="center"/>
          </w:tcPr>
          <w:p w14:paraId="55B4A933">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6A63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00" w:type="dxa"/>
            <w:vMerge w:val="continue"/>
            <w:noWrap w:val="0"/>
            <w:vAlign w:val="center"/>
          </w:tcPr>
          <w:p w14:paraId="35E9CEE7">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p>
        </w:tc>
        <w:tc>
          <w:tcPr>
            <w:tcW w:w="5422" w:type="dxa"/>
            <w:noWrap w:val="0"/>
            <w:vAlign w:val="center"/>
          </w:tcPr>
          <w:p w14:paraId="783E806B">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地质雷达天线</w:t>
            </w:r>
          </w:p>
        </w:tc>
        <w:tc>
          <w:tcPr>
            <w:tcW w:w="1186" w:type="dxa"/>
            <w:noWrap w:val="0"/>
            <w:vAlign w:val="center"/>
          </w:tcPr>
          <w:p w14:paraId="2D7D226F">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2351" w:type="dxa"/>
            <w:vMerge w:val="continue"/>
            <w:noWrap w:val="0"/>
            <w:vAlign w:val="center"/>
          </w:tcPr>
          <w:p w14:paraId="4F7F8195">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24CF1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00" w:type="dxa"/>
            <w:vMerge w:val="restart"/>
            <w:noWrap w:val="0"/>
            <w:vAlign w:val="center"/>
          </w:tcPr>
          <w:p w14:paraId="5B79D064">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5422" w:type="dxa"/>
            <w:noWrap w:val="0"/>
            <w:vAlign w:val="center"/>
          </w:tcPr>
          <w:p w14:paraId="2081D627">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液质联用仪</w:t>
            </w:r>
          </w:p>
        </w:tc>
        <w:tc>
          <w:tcPr>
            <w:tcW w:w="1186" w:type="dxa"/>
            <w:noWrap w:val="0"/>
            <w:vAlign w:val="center"/>
          </w:tcPr>
          <w:p w14:paraId="78286BA7">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2351" w:type="dxa"/>
            <w:vMerge w:val="continue"/>
            <w:noWrap w:val="0"/>
            <w:vAlign w:val="center"/>
          </w:tcPr>
          <w:p w14:paraId="1B73060D">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7D95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00" w:type="dxa"/>
            <w:vMerge w:val="continue"/>
            <w:noWrap w:val="0"/>
            <w:vAlign w:val="center"/>
          </w:tcPr>
          <w:p w14:paraId="7A1651F9">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p>
        </w:tc>
        <w:tc>
          <w:tcPr>
            <w:tcW w:w="5422" w:type="dxa"/>
            <w:noWrap w:val="0"/>
            <w:vAlign w:val="center"/>
          </w:tcPr>
          <w:p w14:paraId="275EAF9E">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泽塔电位和粒度分析仪</w:t>
            </w:r>
          </w:p>
        </w:tc>
        <w:tc>
          <w:tcPr>
            <w:tcW w:w="1186" w:type="dxa"/>
            <w:noWrap w:val="0"/>
            <w:vAlign w:val="center"/>
          </w:tcPr>
          <w:p w14:paraId="2F86B1CE">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2351" w:type="dxa"/>
            <w:vMerge w:val="continue"/>
            <w:noWrap w:val="0"/>
            <w:vAlign w:val="center"/>
          </w:tcPr>
          <w:p w14:paraId="5C54C1CA">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bl>
    <w:p w14:paraId="31BD372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single"/>
        </w:rPr>
      </w:pPr>
      <w:r>
        <w:rPr>
          <w:rFonts w:hint="eastAsia" w:ascii="宋体" w:hAnsi="宋体" w:cs="宋体"/>
          <w:sz w:val="24"/>
          <w:highlight w:val="none"/>
        </w:rPr>
        <w:t>5.合同履行期限</w:t>
      </w:r>
      <w:r>
        <w:rPr>
          <w:rFonts w:hint="eastAsia" w:ascii="宋体" w:hAnsi="宋体" w:cs="宋体"/>
          <w:sz w:val="24"/>
          <w:highlight w:val="none"/>
          <w:lang w:eastAsia="zh-CN"/>
        </w:rPr>
        <w:t>：</w:t>
      </w:r>
      <w:r>
        <w:rPr>
          <w:rFonts w:hint="eastAsia" w:ascii="宋体" w:hAnsi="宋体" w:cs="宋体"/>
          <w:sz w:val="24"/>
          <w:highlight w:val="none"/>
        </w:rPr>
        <w:t>合同签订后开始履行，至项目完成（质保期满）为止。</w:t>
      </w:r>
    </w:p>
    <w:p w14:paraId="027DC66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6.本项目不接受联合体投标。</w:t>
      </w:r>
    </w:p>
    <w:p w14:paraId="208AFFEA">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eastAsia="宋体" w:cs="宋体"/>
          <w:b/>
          <w:bCs/>
          <w:sz w:val="24"/>
          <w:highlight w:val="none"/>
          <w:lang w:eastAsia="zh-CN"/>
        </w:rPr>
      </w:pPr>
      <w:bookmarkStart w:id="12" w:name="_Toc28359003"/>
      <w:bookmarkStart w:id="13" w:name="_Toc28359080"/>
      <w:bookmarkStart w:id="14" w:name="_Toc35393622"/>
      <w:bookmarkStart w:id="15" w:name="_Toc35393791"/>
      <w:r>
        <w:rPr>
          <w:rFonts w:hint="eastAsia" w:ascii="宋体" w:hAnsi="宋体" w:cs="宋体"/>
          <w:b/>
          <w:bCs/>
          <w:sz w:val="24"/>
          <w:highlight w:val="none"/>
        </w:rPr>
        <w:t>二、申请人的资格要求</w:t>
      </w:r>
      <w:bookmarkEnd w:id="12"/>
      <w:bookmarkEnd w:id="13"/>
      <w:bookmarkEnd w:id="14"/>
      <w:bookmarkEnd w:id="15"/>
    </w:p>
    <w:p w14:paraId="3D4712F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bookmarkStart w:id="16" w:name="_Toc28359081"/>
      <w:bookmarkStart w:id="17" w:name="_Toc28359004"/>
      <w:r>
        <w:rPr>
          <w:rFonts w:hint="eastAsia" w:ascii="宋体" w:hAnsi="宋体" w:cs="宋体"/>
          <w:sz w:val="24"/>
          <w:highlight w:val="none"/>
        </w:rPr>
        <w:t>1.满足《中华人民共和国政府采购法》第二十二条规定；</w:t>
      </w:r>
    </w:p>
    <w:p w14:paraId="3954A1F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2.落实政府采购政策需满足的资格要求</w:t>
      </w:r>
      <w:r>
        <w:rPr>
          <w:rFonts w:hint="eastAsia" w:ascii="宋体" w:hAnsi="宋体" w:cs="宋体"/>
          <w:sz w:val="24"/>
          <w:highlight w:val="none"/>
          <w:lang w:eastAsia="zh-CN"/>
        </w:rPr>
        <w:t>：</w:t>
      </w:r>
      <w:r>
        <w:rPr>
          <w:rFonts w:hint="eastAsia" w:ascii="宋体" w:hAnsi="宋体" w:cs="宋体"/>
          <w:sz w:val="24"/>
          <w:highlight w:val="none"/>
          <w:lang w:val="en-US" w:eastAsia="zh-CN"/>
        </w:rPr>
        <w:t>无</w:t>
      </w:r>
      <w:r>
        <w:rPr>
          <w:rFonts w:hint="eastAsia" w:ascii="宋体" w:hAnsi="宋体" w:cs="宋体"/>
          <w:sz w:val="24"/>
          <w:highlight w:val="none"/>
        </w:rPr>
        <w:t>；</w:t>
      </w:r>
    </w:p>
    <w:p w14:paraId="67B0680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lang w:eastAsia="zh-CN"/>
        </w:rPr>
      </w:pPr>
      <w:r>
        <w:rPr>
          <w:rFonts w:hint="eastAsia" w:ascii="宋体" w:hAnsi="宋体" w:cs="宋体"/>
          <w:sz w:val="24"/>
          <w:highlight w:val="none"/>
        </w:rPr>
        <w:t>3.本项目的特定资格要求</w:t>
      </w:r>
      <w:r>
        <w:rPr>
          <w:rFonts w:hint="eastAsia" w:ascii="宋体" w:hAnsi="宋体" w:cs="宋体"/>
          <w:sz w:val="24"/>
          <w:highlight w:val="none"/>
          <w:lang w:eastAsia="zh-CN"/>
        </w:rPr>
        <w:t>：</w:t>
      </w:r>
    </w:p>
    <w:p w14:paraId="704165F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0E51270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（2）在“信用中国”（www.creditchina.gov.cn）、“中国政府采购网”（www.ccgp.gov.cn）等网站中被列入失信被执行人、重大税收违法案件当事人名单、政府采购严重违法失信行为记录名单的</w:t>
      </w:r>
      <w:bookmarkStart w:id="18" w:name="_Hlk88808398"/>
      <w:r>
        <w:rPr>
          <w:rFonts w:hint="eastAsia" w:ascii="宋体" w:hAnsi="宋体" w:cs="宋体"/>
          <w:sz w:val="24"/>
          <w:highlight w:val="none"/>
        </w:rPr>
        <w:t>投标人</w:t>
      </w:r>
      <w:bookmarkEnd w:id="18"/>
      <w:r>
        <w:rPr>
          <w:rFonts w:hint="eastAsia" w:ascii="宋体" w:hAnsi="宋体" w:cs="宋体"/>
          <w:sz w:val="24"/>
          <w:highlight w:val="none"/>
        </w:rPr>
        <w:t>，不得参加本次政府采购活动；</w:t>
      </w:r>
    </w:p>
    <w:p w14:paraId="6ED0961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（3）单位负责人为同一人或者存在直接控股、管理关系的不同投标人，不得参加同一合同项下（同一标包）的政府采购活动；</w:t>
      </w:r>
    </w:p>
    <w:p w14:paraId="29B934C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（4）为采购项目提供过整体设计、规范编制或者项目管理、监理、检测等服务的投标人及其附属机构，不得再参加该采购项目的其他采购活动。</w:t>
      </w:r>
    </w:p>
    <w:p w14:paraId="1D458D16">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19" w:name="_Toc35393792"/>
      <w:bookmarkStart w:id="20" w:name="_Toc35393623"/>
      <w:r>
        <w:rPr>
          <w:rFonts w:hint="eastAsia" w:ascii="宋体" w:hAnsi="宋体" w:cs="宋体"/>
          <w:b/>
          <w:bCs/>
          <w:sz w:val="24"/>
          <w:highlight w:val="none"/>
        </w:rPr>
        <w:t>三、获取招标文件</w:t>
      </w:r>
      <w:bookmarkEnd w:id="16"/>
      <w:bookmarkEnd w:id="17"/>
      <w:bookmarkEnd w:id="19"/>
      <w:bookmarkEnd w:id="20"/>
    </w:p>
    <w:p w14:paraId="3046D71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bookmarkStart w:id="21" w:name="_Toc28359005"/>
      <w:bookmarkStart w:id="22" w:name="_Toc28359082"/>
      <w:bookmarkStart w:id="23" w:name="_Toc35393624"/>
      <w:bookmarkStart w:id="24" w:name="_Toc35393793"/>
      <w:r>
        <w:rPr>
          <w:rFonts w:hint="eastAsia" w:ascii="宋体" w:hAnsi="宋体" w:cs="宋体"/>
          <w:sz w:val="24"/>
        </w:rPr>
        <w:t>1.本项目采用网上获取方式（扫码填报信息+邮箱发送资料）：</w:t>
      </w:r>
    </w:p>
    <w:p w14:paraId="16FE5D8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（1）扫码填报信息：投标人扫描下方二维码，选取所要参与的项目点击“我要缴费”，根据提示完善投标人信息后保存提交（经办人选择逄昊晟）。</w:t>
      </w:r>
    </w:p>
    <w:p w14:paraId="5D17601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（2）投标人缴纳标书费。</w:t>
      </w:r>
    </w:p>
    <w:p w14:paraId="3026178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（3）投标人将法定代表人授权委托书原件扫描件和法定代表人身份证原件扫描件和授权代理人身份证原件扫描件、标书费汇款凭证的扫描件</w:t>
      </w:r>
      <w:r>
        <w:rPr>
          <w:rFonts w:hint="eastAsia" w:ascii="宋体" w:hAnsi="宋体" w:cs="宋体"/>
          <w:sz w:val="24"/>
          <w:lang w:val="en-US" w:eastAsia="zh-CN"/>
        </w:rPr>
        <w:t>发送至</w:t>
      </w:r>
      <w:r>
        <w:rPr>
          <w:rFonts w:hint="eastAsia" w:ascii="宋体" w:hAnsi="宋体" w:cs="宋体"/>
          <w:sz w:val="24"/>
        </w:rPr>
        <w:t>邮箱&lt;panghaosheng@sdhyha.com&gt;，如法定代表人办理获取招标文件，提供法定代表人身份证明原件扫描件和法定代表人身份证原件扫描件。</w:t>
      </w:r>
    </w:p>
    <w:p w14:paraId="4FDF8568">
      <w:pPr>
        <w:keepNext w:val="0"/>
        <w:keepLines w:val="0"/>
        <w:pageBreakBefore w:val="0"/>
        <w:kinsoku/>
        <w:wordWrap/>
        <w:overflowPunct/>
        <w:topLinePunct w:val="0"/>
        <w:autoSpaceDE/>
        <w:autoSpaceDN/>
        <w:bidi w:val="0"/>
        <w:adjustRightInd/>
        <w:spacing w:line="360" w:lineRule="auto"/>
        <w:ind w:left="0" w:leftChars="0" w:firstLine="480" w:firstLineChars="200"/>
        <w:jc w:val="center"/>
        <w:rPr>
          <w:rFonts w:hint="eastAsia" w:ascii="宋体" w:hAnsi="宋体" w:cs="宋体"/>
          <w:sz w:val="24"/>
        </w:rPr>
      </w:pPr>
      <w:r>
        <w:rPr>
          <w:rFonts w:hint="eastAsia" w:ascii="宋体" w:hAnsi="宋体" w:cs="宋体"/>
          <w:sz w:val="24"/>
        </w:rPr>
        <w:drawing>
          <wp:inline distT="0" distB="0" distL="114300" distR="114300">
            <wp:extent cx="1465580" cy="1465580"/>
            <wp:effectExtent l="0" t="0" r="1270" b="1270"/>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465580" cy="1465580"/>
                    </a:xfrm>
                    <a:prstGeom prst="rect">
                      <a:avLst/>
                    </a:prstGeom>
                    <a:noFill/>
                    <a:ln>
                      <a:noFill/>
                    </a:ln>
                  </pic:spPr>
                </pic:pic>
              </a:graphicData>
            </a:graphic>
          </wp:inline>
        </w:drawing>
      </w:r>
    </w:p>
    <w:p w14:paraId="1E0C73B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2.获取招标文件时间：2025年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30</w:t>
      </w:r>
      <w:r>
        <w:rPr>
          <w:rFonts w:hint="eastAsia" w:ascii="宋体" w:hAnsi="宋体" w:cs="宋体"/>
          <w:sz w:val="24"/>
          <w:highlight w:val="none"/>
        </w:rPr>
        <w:t>日-2025年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13</w:t>
      </w:r>
      <w:r>
        <w:rPr>
          <w:rFonts w:hint="eastAsia" w:ascii="宋体" w:hAnsi="宋体" w:cs="宋体"/>
          <w:sz w:val="24"/>
          <w:highlight w:val="none"/>
        </w:rPr>
        <w:t>日，每天上午8时30分至下午16时30分。逾期获取招标文件者不予受理，未办理获取招标文件手续者不接受其投标。</w:t>
      </w:r>
    </w:p>
    <w:p w14:paraId="20EA4860">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3.招标文件售价人民币300元/份，售后不退。</w:t>
      </w:r>
    </w:p>
    <w:p w14:paraId="44C6E490">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4.账户信息：</w:t>
      </w:r>
    </w:p>
    <w:p w14:paraId="29441B3E">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开户名称：海逸恒安项目管理有限公司青岛事业部；</w:t>
      </w:r>
    </w:p>
    <w:p w14:paraId="680352B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开户银行：中信银行股份有限公司青岛崂山支行；</w:t>
      </w:r>
    </w:p>
    <w:p w14:paraId="1A116E4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账号：8110601012601757923。</w:t>
      </w:r>
    </w:p>
    <w:p w14:paraId="7972781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注：</w:t>
      </w:r>
    </w:p>
    <w:p w14:paraId="7A24F3A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①本项目实行资格后审，获取招标文件成功不代表资格后审的通过。</w:t>
      </w:r>
    </w:p>
    <w:p w14:paraId="249920F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②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14:paraId="156B7B71">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四、提交投标文件</w:t>
      </w:r>
      <w:bookmarkEnd w:id="21"/>
      <w:bookmarkEnd w:id="22"/>
      <w:r>
        <w:rPr>
          <w:rFonts w:hint="eastAsia" w:ascii="宋体" w:hAnsi="宋体" w:cs="宋体"/>
          <w:b/>
          <w:bCs/>
          <w:sz w:val="24"/>
          <w:highlight w:val="none"/>
        </w:rPr>
        <w:t>截止时间、开标时间和地点</w:t>
      </w:r>
      <w:bookmarkEnd w:id="23"/>
      <w:bookmarkEnd w:id="24"/>
    </w:p>
    <w:p w14:paraId="3EA87E1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bookmarkStart w:id="25" w:name="_Toc35393794"/>
      <w:bookmarkStart w:id="26" w:name="_Toc28359084"/>
      <w:bookmarkStart w:id="27" w:name="_Toc35393625"/>
      <w:bookmarkStart w:id="28" w:name="_Toc28359007"/>
      <w:r>
        <w:rPr>
          <w:rFonts w:hint="eastAsia" w:ascii="宋体" w:hAnsi="宋体" w:cs="宋体"/>
          <w:sz w:val="24"/>
          <w:highlight w:val="none"/>
        </w:rPr>
        <w:t>1.提交投标文件截止时间</w:t>
      </w:r>
      <w:r>
        <w:rPr>
          <w:rFonts w:hint="eastAsia" w:ascii="宋体" w:hAnsi="宋体" w:cs="宋体"/>
          <w:sz w:val="24"/>
          <w:highlight w:val="none"/>
          <w:lang w:eastAsia="zh-CN"/>
        </w:rPr>
        <w:t>：</w:t>
      </w: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24</w:t>
      </w:r>
      <w:r>
        <w:rPr>
          <w:rFonts w:hint="eastAsia" w:ascii="宋体" w:hAnsi="宋体" w:cs="宋体"/>
          <w:sz w:val="24"/>
          <w:highlight w:val="none"/>
        </w:rPr>
        <w:t>日</w:t>
      </w:r>
      <w:r>
        <w:rPr>
          <w:rFonts w:hint="eastAsia" w:ascii="宋体" w:hAnsi="宋体" w:cs="宋体"/>
          <w:sz w:val="24"/>
          <w:highlight w:val="none"/>
          <w:lang w:val="en-US" w:eastAsia="zh-CN"/>
        </w:rPr>
        <w:t>09</w:t>
      </w:r>
      <w:r>
        <w:rPr>
          <w:rFonts w:hint="eastAsia" w:ascii="宋体" w:hAnsi="宋体" w:cs="宋体"/>
          <w:sz w:val="24"/>
          <w:highlight w:val="none"/>
        </w:rPr>
        <w:t>点</w:t>
      </w:r>
      <w:r>
        <w:rPr>
          <w:rFonts w:hint="eastAsia" w:ascii="宋体" w:hAnsi="宋体" w:cs="宋体"/>
          <w:sz w:val="24"/>
          <w:highlight w:val="none"/>
          <w:lang w:val="en-US" w:eastAsia="zh-CN"/>
        </w:rPr>
        <w:t>00</w:t>
      </w:r>
      <w:r>
        <w:rPr>
          <w:rFonts w:hint="eastAsia" w:ascii="宋体" w:hAnsi="宋体" w:cs="宋体"/>
          <w:sz w:val="24"/>
          <w:highlight w:val="none"/>
        </w:rPr>
        <w:t>分（北京时间）。</w:t>
      </w:r>
    </w:p>
    <w:p w14:paraId="0D338F3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2.开标时间</w:t>
      </w:r>
      <w:r>
        <w:rPr>
          <w:rFonts w:hint="eastAsia" w:ascii="宋体" w:hAnsi="宋体" w:cs="宋体"/>
          <w:sz w:val="24"/>
          <w:highlight w:val="none"/>
          <w:lang w:eastAsia="zh-CN"/>
        </w:rPr>
        <w:t>：</w:t>
      </w: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24</w:t>
      </w:r>
      <w:r>
        <w:rPr>
          <w:rFonts w:hint="eastAsia" w:ascii="宋体" w:hAnsi="宋体" w:cs="宋体"/>
          <w:sz w:val="24"/>
          <w:highlight w:val="none"/>
        </w:rPr>
        <w:t>日</w:t>
      </w:r>
      <w:r>
        <w:rPr>
          <w:rFonts w:hint="eastAsia" w:ascii="宋体" w:hAnsi="宋体" w:cs="宋体"/>
          <w:sz w:val="24"/>
          <w:highlight w:val="none"/>
          <w:lang w:val="en-US" w:eastAsia="zh-CN"/>
        </w:rPr>
        <w:t>09</w:t>
      </w:r>
      <w:r>
        <w:rPr>
          <w:rFonts w:hint="eastAsia" w:ascii="宋体" w:hAnsi="宋体" w:cs="宋体"/>
          <w:sz w:val="24"/>
          <w:highlight w:val="none"/>
        </w:rPr>
        <w:t>点</w:t>
      </w:r>
      <w:r>
        <w:rPr>
          <w:rFonts w:hint="eastAsia" w:ascii="宋体" w:hAnsi="宋体" w:cs="宋体"/>
          <w:sz w:val="24"/>
          <w:highlight w:val="none"/>
          <w:lang w:val="en-US" w:eastAsia="zh-CN"/>
        </w:rPr>
        <w:t>00</w:t>
      </w:r>
      <w:r>
        <w:rPr>
          <w:rFonts w:hint="eastAsia" w:ascii="宋体" w:hAnsi="宋体" w:cs="宋体"/>
          <w:sz w:val="24"/>
          <w:highlight w:val="none"/>
        </w:rPr>
        <w:t>分（北京时间）。</w:t>
      </w:r>
    </w:p>
    <w:p w14:paraId="0E4F9F1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3.地点</w:t>
      </w:r>
      <w:r>
        <w:rPr>
          <w:rFonts w:hint="eastAsia" w:ascii="宋体" w:hAnsi="宋体" w:cs="宋体"/>
          <w:sz w:val="24"/>
          <w:highlight w:val="none"/>
          <w:lang w:eastAsia="zh-CN"/>
        </w:rPr>
        <w:t>：</w:t>
      </w:r>
      <w:r>
        <w:rPr>
          <w:rFonts w:hint="eastAsia" w:ascii="宋体" w:hAnsi="宋体" w:cs="宋体"/>
          <w:sz w:val="24"/>
          <w:highlight w:val="none"/>
        </w:rPr>
        <w:t>山东省青岛市崂山区香岭路1号北大资源博雅3号楼22层2204会议室。</w:t>
      </w:r>
    </w:p>
    <w:p w14:paraId="085532A5">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五、公告发布媒介</w:t>
      </w:r>
    </w:p>
    <w:p w14:paraId="0B5307A0">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本项目招标公告在“中国政府采购网”和“中国海洋大学采购与招标管理中心网站”发布。</w:t>
      </w:r>
    </w:p>
    <w:p w14:paraId="06338CDA">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六、公告期限</w:t>
      </w:r>
      <w:bookmarkEnd w:id="25"/>
      <w:bookmarkEnd w:id="26"/>
      <w:bookmarkEnd w:id="27"/>
      <w:bookmarkEnd w:id="28"/>
    </w:p>
    <w:p w14:paraId="1FF416A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bookmarkStart w:id="29" w:name="_Toc35393626"/>
      <w:bookmarkStart w:id="30" w:name="_Toc35393795"/>
      <w:r>
        <w:rPr>
          <w:rFonts w:hint="eastAsia" w:ascii="宋体" w:hAnsi="宋体" w:cs="宋体"/>
          <w:sz w:val="24"/>
          <w:highlight w:val="none"/>
        </w:rPr>
        <w:t>自本公告发布之日起5个工作日。</w:t>
      </w:r>
    </w:p>
    <w:p w14:paraId="07DCFF87">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七、其他补充事宜</w:t>
      </w:r>
      <w:bookmarkEnd w:id="29"/>
      <w:bookmarkEnd w:id="30"/>
    </w:p>
    <w:p w14:paraId="573DF309">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sz w:val="24"/>
          <w:highlight w:val="none"/>
        </w:rPr>
      </w:pPr>
      <w:r>
        <w:rPr>
          <w:rFonts w:hint="eastAsia" w:ascii="宋体" w:hAnsi="宋体" w:cs="宋体"/>
          <w:b/>
          <w:bCs/>
          <w:snapToGrid w:val="0"/>
          <w:kern w:val="0"/>
          <w:sz w:val="24"/>
          <w:highlight w:val="none"/>
        </w:rPr>
        <w:t>采购项目需要落实的政府采购政策</w:t>
      </w:r>
    </w:p>
    <w:p w14:paraId="5F628F1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（一）中小微型企业政府采购政策</w:t>
      </w:r>
    </w:p>
    <w:p w14:paraId="1FA541F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（二）监狱企业政府采购政策</w:t>
      </w:r>
    </w:p>
    <w:p w14:paraId="5F78ECD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（三）促进残疾人就业政府采购政策</w:t>
      </w:r>
    </w:p>
    <w:p w14:paraId="4AB202B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（四）节能、环保产品政府采购政策</w:t>
      </w:r>
    </w:p>
    <w:p w14:paraId="04A875B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详见招标文件。</w:t>
      </w:r>
    </w:p>
    <w:p w14:paraId="0EF56176">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31" w:name="_Toc28359085"/>
      <w:bookmarkStart w:id="32" w:name="_Toc35393627"/>
      <w:bookmarkStart w:id="33" w:name="_Toc28359008"/>
      <w:bookmarkStart w:id="34" w:name="_Toc35393796"/>
      <w:r>
        <w:rPr>
          <w:rFonts w:hint="eastAsia" w:ascii="宋体" w:hAnsi="宋体" w:cs="宋体"/>
          <w:b/>
          <w:bCs/>
          <w:sz w:val="24"/>
          <w:highlight w:val="none"/>
        </w:rPr>
        <w:t>八、对本次招标提出询问，请按以下方式联系。</w:t>
      </w:r>
      <w:bookmarkEnd w:id="31"/>
      <w:bookmarkEnd w:id="32"/>
      <w:bookmarkEnd w:id="33"/>
      <w:bookmarkEnd w:id="34"/>
    </w:p>
    <w:p w14:paraId="098653C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1.采购人信息</w:t>
      </w:r>
    </w:p>
    <w:p w14:paraId="6FAEBE6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中国海洋大学</w:t>
      </w:r>
    </w:p>
    <w:p w14:paraId="0CBF9E8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山东省青岛市崂山区松岭路238号</w:t>
      </w:r>
    </w:p>
    <w:p w14:paraId="409468F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bookmarkStart w:id="35" w:name="_Toc28359086"/>
      <w:bookmarkStart w:id="36" w:name="_Toc28359009"/>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崔老师</w:t>
      </w:r>
    </w:p>
    <w:p w14:paraId="58FA5DFE">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0532-66781979</w:t>
      </w:r>
    </w:p>
    <w:p w14:paraId="4937D05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"mailto:zhaobiaozx@ouc.edu.cn"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zhaobiaozx@ouc.edu.cn</w:t>
      </w:r>
      <w:r>
        <w:rPr>
          <w:rFonts w:hint="eastAsia" w:ascii="宋体" w:hAnsi="宋体" w:eastAsia="宋体" w:cs="宋体"/>
          <w:sz w:val="24"/>
          <w:highlight w:val="none"/>
        </w:rPr>
        <w:fldChar w:fldCharType="end"/>
      </w:r>
    </w:p>
    <w:p w14:paraId="36E52E0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2.采购代理机构信息</w:t>
      </w:r>
      <w:bookmarkEnd w:id="35"/>
      <w:bookmarkEnd w:id="36"/>
    </w:p>
    <w:p w14:paraId="4A349A3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海逸恒安项目管理有限公司</w:t>
      </w:r>
    </w:p>
    <w:p w14:paraId="336EBA3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山东省青岛市崂山区香岭路1号北大资源博雅3号楼22层2203室</w:t>
      </w:r>
    </w:p>
    <w:p w14:paraId="437FCC6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逄昊晟、曹丽娜</w:t>
      </w:r>
    </w:p>
    <w:p w14:paraId="5223DA9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0532-85761207</w:t>
      </w:r>
    </w:p>
    <w:p w14:paraId="66344B4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"mailto:panghaosheng@sdhyha.com"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panghaosheng@sdhyha.com</w:t>
      </w:r>
      <w:r>
        <w:rPr>
          <w:rFonts w:hint="eastAsia" w:ascii="宋体" w:hAnsi="宋体" w:eastAsia="宋体" w:cs="宋体"/>
          <w:sz w:val="24"/>
          <w:highlight w:val="none"/>
        </w:rPr>
        <w:fldChar w:fldCharType="end"/>
      </w:r>
    </w:p>
    <w:p w14:paraId="0E91636E">
      <w:pPr>
        <w:keepNext w:val="0"/>
        <w:keepLines w:val="0"/>
        <w:pageBreakBefore w:val="0"/>
        <w:widowControl/>
        <w:kinsoku/>
        <w:wordWrap/>
        <w:overflowPunct/>
        <w:topLinePunct w:val="0"/>
        <w:autoSpaceDE/>
        <w:autoSpaceDN/>
        <w:bidi w:val="0"/>
        <w:adjustRightInd/>
        <w:spacing w:line="360" w:lineRule="auto"/>
        <w:ind w:left="0" w:leftChars="0" w:firstLine="720" w:firstLineChars="300"/>
        <w:jc w:val="right"/>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29</w:t>
      </w:r>
      <w:r>
        <w:rPr>
          <w:rFonts w:hint="eastAsia" w:ascii="宋体" w:hAnsi="宋体" w:cs="宋体"/>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CC50CD"/>
    <w:rsid w:val="20515562"/>
    <w:rsid w:val="55B13850"/>
    <w:rsid w:val="66E61CB6"/>
    <w:rsid w:val="6D4B25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1717</Words>
  <Characters>2002</Characters>
  <Lines>0</Lines>
  <Paragraphs>0</Paragraphs>
  <TotalTime>0</TotalTime>
  <ScaleCrop>false</ScaleCrop>
  <LinksUpToDate>false</LinksUpToDate>
  <CharactersWithSpaces>2002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2025-09-29T08:19:00Z</dcterms:created>
  <dc:creator>admin</dc:creator>
  <cp:lastModifiedBy>清</cp:lastModifiedBy>
  <dcterms:modified xsi:type="dcterms:W3CDTF">2025-09-30T02:23:36Z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16A024D686FC4CF5B72DC8224E256C87_13</vt:lpwstr>
  </property>
</Properties>
</file>