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jc w:val="center"/>
        <w:rPr>
          <w:rFonts w:hint="eastAsia" w:ascii="宋体" w:hAnsi="宋体"/>
          <w:b/>
          <w:sz w:val="24"/>
        </w:rPr>
      </w:pPr>
      <w:bookmarkStart w:id="0" w:name="_GoBack"/>
      <w:bookmarkEnd w:id="0"/>
    </w:p>
    <w:p>
      <w:pPr>
        <w:adjustRightInd w:val="0"/>
        <w:snapToGrid w:val="0"/>
        <w:jc w:val="center"/>
        <w:rPr>
          <w:rFonts w:hint="eastAsia" w:ascii="宋体" w:hAnsi="宋体"/>
          <w:b/>
          <w:sz w:val="24"/>
        </w:rPr>
      </w:pPr>
    </w:p>
    <w:p>
      <w:pPr>
        <w:adjustRightInd w:val="0"/>
        <w:snapToGrid w:val="0"/>
        <w:jc w:val="center"/>
        <w:rPr>
          <w:rFonts w:hint="eastAsia" w:ascii="宋体" w:hAnsi="宋体"/>
          <w:b/>
          <w:sz w:val="24"/>
        </w:rPr>
      </w:pPr>
    </w:p>
    <w:p>
      <w:pPr>
        <w:adjustRightInd w:val="0"/>
        <w:snapToGrid w:val="0"/>
        <w:jc w:val="center"/>
        <w:rPr>
          <w:rFonts w:hint="eastAsia" w:ascii="宋体" w:hAnsi="宋体"/>
          <w:b/>
          <w:sz w:val="24"/>
        </w:rPr>
      </w:pPr>
    </w:p>
    <w:p>
      <w:pPr>
        <w:adjustRightInd w:val="0"/>
        <w:snapToGrid w:val="0"/>
        <w:jc w:val="center"/>
        <w:rPr>
          <w:rFonts w:hint="eastAsia" w:ascii="宋体" w:hAnsi="宋体"/>
          <w:b/>
          <w:sz w:val="24"/>
        </w:rPr>
      </w:pPr>
    </w:p>
    <w:p>
      <w:pPr>
        <w:adjustRightInd w:val="0"/>
        <w:snapToGrid w:val="0"/>
        <w:jc w:val="center"/>
        <w:rPr>
          <w:rFonts w:hint="eastAsia" w:ascii="宋体" w:hAnsi="宋体"/>
          <w:b/>
          <w:sz w:val="24"/>
        </w:rPr>
      </w:pPr>
    </w:p>
    <w:p>
      <w:pPr>
        <w:adjustRightInd w:val="0"/>
        <w:snapToGrid w:val="0"/>
        <w:jc w:val="center"/>
        <w:rPr>
          <w:rFonts w:hint="eastAsia" w:ascii="宋体" w:hAnsi="宋体"/>
          <w:b/>
          <w:sz w:val="24"/>
        </w:rPr>
      </w:pPr>
    </w:p>
    <w:p>
      <w:pPr>
        <w:adjustRightInd w:val="0"/>
        <w:snapToGrid w:val="0"/>
        <w:jc w:val="center"/>
        <w:rPr>
          <w:rFonts w:hint="eastAsia" w:ascii="宋体" w:hAnsi="宋体"/>
          <w:b/>
          <w:sz w:val="24"/>
        </w:rPr>
      </w:pPr>
    </w:p>
    <w:p>
      <w:pPr>
        <w:adjustRightInd w:val="0"/>
        <w:snapToGrid w:val="0"/>
        <w:jc w:val="center"/>
        <w:rPr>
          <w:rFonts w:hint="eastAsia" w:ascii="宋体" w:hAnsi="宋体"/>
          <w:b/>
          <w:sz w:val="24"/>
        </w:rPr>
      </w:pPr>
    </w:p>
    <w:p>
      <w:pPr>
        <w:adjustRightInd w:val="0"/>
        <w:snapToGrid w:val="0"/>
        <w:jc w:val="center"/>
        <w:rPr>
          <w:rFonts w:hint="eastAsia" w:ascii="宋体" w:hAnsi="宋体"/>
          <w:b/>
          <w:sz w:val="24"/>
        </w:rPr>
      </w:pPr>
    </w:p>
    <w:p>
      <w:pPr>
        <w:adjustRightInd w:val="0"/>
        <w:snapToGrid w:val="0"/>
        <w:jc w:val="center"/>
        <w:rPr>
          <w:rFonts w:hint="eastAsia" w:ascii="宋体" w:hAnsi="宋体"/>
          <w:b/>
          <w:sz w:val="24"/>
        </w:rPr>
      </w:pPr>
    </w:p>
    <w:p>
      <w:pPr>
        <w:adjustRightInd w:val="0"/>
        <w:snapToGrid w:val="0"/>
        <w:jc w:val="center"/>
        <w:rPr>
          <w:rFonts w:hint="eastAsia" w:ascii="宋体" w:hAnsi="宋体"/>
          <w:b/>
          <w:sz w:val="24"/>
        </w:rPr>
      </w:pPr>
    </w:p>
    <w:p>
      <w:pPr>
        <w:adjustRightInd w:val="0"/>
        <w:snapToGrid w:val="0"/>
        <w:spacing w:before="936" w:beforeLines="300"/>
        <w:jc w:val="center"/>
        <w:rPr>
          <w:rFonts w:hint="eastAsia" w:ascii="黑体" w:eastAsia="黑体"/>
          <w:b/>
          <w:kern w:val="44"/>
          <w:sz w:val="48"/>
          <w:szCs w:val="20"/>
        </w:rPr>
      </w:pPr>
      <w:r>
        <w:rPr>
          <w:rFonts w:hint="eastAsia" w:ascii="黑体" w:eastAsia="黑体"/>
          <w:b/>
          <w:kern w:val="44"/>
          <w:sz w:val="48"/>
          <w:szCs w:val="20"/>
        </w:rPr>
        <w:t>第八部分  采购需求</w:t>
      </w:r>
      <w:r>
        <w:rPr>
          <w:rFonts w:ascii="黑体" w:eastAsia="黑体"/>
          <w:b/>
          <w:kern w:val="44"/>
          <w:sz w:val="48"/>
          <w:szCs w:val="20"/>
        </w:rPr>
        <w:br w:type="page"/>
      </w:r>
    </w:p>
    <w:p>
      <w:pPr>
        <w:numPr>
          <w:ilvl w:val="2"/>
          <w:numId w:val="1"/>
        </w:numPr>
        <w:adjustRightInd w:val="0"/>
        <w:snapToGrid w:val="0"/>
        <w:jc w:val="center"/>
        <w:rPr>
          <w:rFonts w:hint="eastAsia" w:ascii="宋体" w:hAnsi="宋体"/>
          <w:b/>
          <w:sz w:val="30"/>
          <w:szCs w:val="30"/>
        </w:rPr>
      </w:pPr>
      <w:r>
        <w:rPr>
          <w:rFonts w:hint="eastAsia" w:ascii="宋体" w:hAnsi="宋体"/>
          <w:b/>
          <w:sz w:val="30"/>
          <w:szCs w:val="30"/>
        </w:rPr>
        <w:t>货物需求一览表</w:t>
      </w:r>
    </w:p>
    <w:p>
      <w:pPr>
        <w:adjustRightInd w:val="0"/>
        <w:snapToGrid w:val="0"/>
        <w:jc w:val="center"/>
        <w:rPr>
          <w:rFonts w:hint="eastAsia" w:ascii="宋体" w:hAnsi="宋体"/>
          <w:b/>
          <w:sz w:val="30"/>
          <w:szCs w:val="30"/>
        </w:rPr>
      </w:pPr>
    </w:p>
    <w:tbl>
      <w:tblPr>
        <w:tblStyle w:val="5"/>
        <w:tblW w:w="964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762"/>
        <w:gridCol w:w="2640"/>
        <w:gridCol w:w="635"/>
        <w:gridCol w:w="1320"/>
        <w:gridCol w:w="1765"/>
        <w:gridCol w:w="2520"/>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02" w:hRule="atLeast"/>
          <w:jc w:val="center"/>
        </w:trPr>
        <w:tc>
          <w:tcPr>
            <w:tcW w:w="762" w:type="dxa"/>
            <w:noWrap w:val="0"/>
            <w:vAlign w:val="center"/>
          </w:tcPr>
          <w:p>
            <w:pPr>
              <w:jc w:val="center"/>
              <w:rPr>
                <w:rFonts w:ascii="宋体" w:hAnsi="Bookman Old Style"/>
                <w:sz w:val="24"/>
              </w:rPr>
            </w:pPr>
            <w:r>
              <w:rPr>
                <w:rFonts w:hint="eastAsia" w:ascii="宋体" w:hAnsi="Bookman Old Style"/>
                <w:sz w:val="24"/>
              </w:rPr>
              <w:t>包号</w:t>
            </w:r>
          </w:p>
        </w:tc>
        <w:tc>
          <w:tcPr>
            <w:tcW w:w="2640" w:type="dxa"/>
            <w:noWrap w:val="0"/>
            <w:vAlign w:val="center"/>
          </w:tcPr>
          <w:p>
            <w:pPr>
              <w:jc w:val="center"/>
              <w:rPr>
                <w:rFonts w:ascii="宋体" w:hAnsi="Bookman Old Style"/>
                <w:sz w:val="24"/>
              </w:rPr>
            </w:pPr>
            <w:r>
              <w:rPr>
                <w:rFonts w:hint="eastAsia" w:ascii="宋体" w:hAnsi="Bookman Old Style"/>
                <w:sz w:val="24"/>
              </w:rPr>
              <w:t>货物名称</w:t>
            </w:r>
          </w:p>
        </w:tc>
        <w:tc>
          <w:tcPr>
            <w:tcW w:w="635" w:type="dxa"/>
            <w:noWrap w:val="0"/>
            <w:vAlign w:val="center"/>
          </w:tcPr>
          <w:p>
            <w:pPr>
              <w:jc w:val="center"/>
              <w:rPr>
                <w:rFonts w:ascii="宋体" w:hAnsi="Bookman Old Style"/>
                <w:sz w:val="24"/>
              </w:rPr>
            </w:pPr>
            <w:r>
              <w:rPr>
                <w:rFonts w:hint="eastAsia" w:ascii="宋体" w:hAnsi="Bookman Old Style"/>
                <w:sz w:val="24"/>
              </w:rPr>
              <w:t>数量</w:t>
            </w:r>
          </w:p>
        </w:tc>
        <w:tc>
          <w:tcPr>
            <w:tcW w:w="1320" w:type="dxa"/>
            <w:noWrap w:val="0"/>
            <w:vAlign w:val="center"/>
          </w:tcPr>
          <w:p>
            <w:pPr>
              <w:jc w:val="center"/>
              <w:rPr>
                <w:rFonts w:ascii="宋体" w:hAnsi="Bookman Old Style"/>
                <w:sz w:val="24"/>
              </w:rPr>
            </w:pPr>
            <w:r>
              <w:rPr>
                <w:rFonts w:hint="eastAsia" w:ascii="宋体" w:hAnsi="Bookman Old Style"/>
                <w:sz w:val="24"/>
              </w:rPr>
              <w:t>交货期</w:t>
            </w:r>
          </w:p>
        </w:tc>
        <w:tc>
          <w:tcPr>
            <w:tcW w:w="1765" w:type="dxa"/>
            <w:noWrap w:val="0"/>
            <w:vAlign w:val="center"/>
          </w:tcPr>
          <w:p>
            <w:pPr>
              <w:jc w:val="center"/>
              <w:rPr>
                <w:rFonts w:hint="eastAsia" w:ascii="宋体" w:hAnsi="Bookman Old Style"/>
                <w:sz w:val="24"/>
              </w:rPr>
            </w:pPr>
            <w:r>
              <w:rPr>
                <w:rFonts w:hint="eastAsia" w:ascii="宋体" w:hAnsi="Bookman Old Style"/>
                <w:sz w:val="24"/>
              </w:rPr>
              <w:t>指定到货港</w:t>
            </w:r>
          </w:p>
        </w:tc>
        <w:tc>
          <w:tcPr>
            <w:tcW w:w="2520" w:type="dxa"/>
            <w:noWrap w:val="0"/>
            <w:vAlign w:val="center"/>
          </w:tcPr>
          <w:p>
            <w:pPr>
              <w:jc w:val="center"/>
              <w:rPr>
                <w:rFonts w:ascii="宋体" w:hAnsi="Bookman Old Style"/>
                <w:sz w:val="24"/>
                <w:shd w:val="pct10" w:color="auto" w:fill="FFFFFF"/>
              </w:rPr>
            </w:pPr>
            <w:r>
              <w:rPr>
                <w:rFonts w:hint="eastAsia" w:ascii="宋体" w:hAnsi="Bookman Old Style"/>
                <w:sz w:val="24"/>
              </w:rPr>
              <w:t>项目现场（交货地点）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3" w:hRule="atLeast"/>
          <w:jc w:val="center"/>
        </w:trPr>
        <w:tc>
          <w:tcPr>
            <w:tcW w:w="762" w:type="dxa"/>
            <w:noWrap w:val="0"/>
            <w:vAlign w:val="center"/>
          </w:tcPr>
          <w:p>
            <w:pPr>
              <w:jc w:val="center"/>
              <w:rPr>
                <w:rFonts w:hint="eastAsia" w:ascii="宋体"/>
                <w:sz w:val="24"/>
              </w:rPr>
            </w:pPr>
            <w:r>
              <w:rPr>
                <w:rFonts w:hint="eastAsia" w:ascii="宋体"/>
                <w:sz w:val="24"/>
              </w:rPr>
              <w:t>1</w:t>
            </w:r>
          </w:p>
        </w:tc>
        <w:tc>
          <w:tcPr>
            <w:tcW w:w="2640" w:type="dxa"/>
            <w:noWrap w:val="0"/>
            <w:vAlign w:val="center"/>
          </w:tcPr>
          <w:p>
            <w:pPr>
              <w:jc w:val="center"/>
              <w:rPr>
                <w:rFonts w:hint="eastAsia" w:ascii="Bookman Old Style" w:hAnsi="Bookman Old Style"/>
                <w:sz w:val="24"/>
              </w:rPr>
            </w:pPr>
            <w:r>
              <w:rPr>
                <w:rFonts w:hint="eastAsia" w:ascii="Bookman Old Style" w:hAnsi="Bookman Old Style"/>
                <w:sz w:val="24"/>
              </w:rPr>
              <w:t>单晶X射线衍射仪</w:t>
            </w:r>
          </w:p>
        </w:tc>
        <w:tc>
          <w:tcPr>
            <w:tcW w:w="635" w:type="dxa"/>
            <w:noWrap w:val="0"/>
            <w:vAlign w:val="center"/>
          </w:tcPr>
          <w:p>
            <w:pPr>
              <w:jc w:val="center"/>
              <w:rPr>
                <w:rFonts w:hint="eastAsia" w:ascii="宋体" w:hAnsi="Bookman Old Style"/>
                <w:sz w:val="24"/>
              </w:rPr>
            </w:pPr>
            <w:r>
              <w:rPr>
                <w:rFonts w:hint="eastAsia" w:ascii="宋体" w:hAnsi="Bookman Old Style"/>
                <w:sz w:val="24"/>
              </w:rPr>
              <w:t>1套</w:t>
            </w:r>
          </w:p>
        </w:tc>
        <w:tc>
          <w:tcPr>
            <w:tcW w:w="5605" w:type="dxa"/>
            <w:gridSpan w:val="3"/>
            <w:noWrap w:val="0"/>
            <w:vAlign w:val="center"/>
          </w:tcPr>
          <w:p>
            <w:pPr>
              <w:jc w:val="center"/>
              <w:rPr>
                <w:rFonts w:ascii="宋体" w:hAnsi="Bookman Old Style"/>
                <w:sz w:val="24"/>
              </w:rPr>
            </w:pPr>
            <w:r>
              <w:rPr>
                <w:rFonts w:hint="eastAsia" w:ascii="宋体" w:hAnsi="Bookman Old Style"/>
                <w:sz w:val="24"/>
              </w:rPr>
              <w:t>详见采购需求</w:t>
            </w:r>
          </w:p>
        </w:tc>
      </w:tr>
    </w:tbl>
    <w:p>
      <w:pPr>
        <w:adjustRightInd w:val="0"/>
        <w:snapToGrid w:val="0"/>
        <w:jc w:val="center"/>
        <w:rPr>
          <w:rFonts w:hint="eastAsia" w:ascii="宋体" w:hAnsi="宋体"/>
          <w:b/>
          <w:sz w:val="30"/>
          <w:szCs w:val="30"/>
        </w:rPr>
      </w:pPr>
    </w:p>
    <w:p>
      <w:pPr>
        <w:adjustRightInd w:val="0"/>
        <w:snapToGrid w:val="0"/>
        <w:jc w:val="center"/>
        <w:rPr>
          <w:rFonts w:hint="eastAsia" w:ascii="宋体" w:hAnsi="宋体"/>
          <w:b/>
          <w:sz w:val="30"/>
          <w:szCs w:val="30"/>
        </w:rPr>
      </w:pPr>
    </w:p>
    <w:p>
      <w:pPr>
        <w:adjustRightInd w:val="0"/>
        <w:snapToGrid w:val="0"/>
        <w:jc w:val="center"/>
        <w:rPr>
          <w:rFonts w:hint="eastAsia" w:ascii="宋体" w:hAnsi="宋体"/>
          <w:b/>
          <w:sz w:val="30"/>
          <w:szCs w:val="30"/>
        </w:rPr>
      </w:pPr>
    </w:p>
    <w:p>
      <w:pPr>
        <w:rPr>
          <w:rFonts w:hint="eastAsia" w:ascii="Bookman Old Style" w:hAnsi="Bookman Old Style"/>
          <w:sz w:val="24"/>
        </w:rPr>
      </w:pPr>
      <w:r>
        <w:rPr>
          <w:rFonts w:hint="eastAsia"/>
          <w:sz w:val="24"/>
        </w:rPr>
        <w:t>注：投标人须对上述投标内容中完整的一包或几包进行投标，</w:t>
      </w:r>
      <w:r>
        <w:rPr>
          <w:rFonts w:hint="eastAsia" w:ascii="Bookman Old Style" w:hAnsi="Bookman Old Style"/>
          <w:sz w:val="24"/>
        </w:rPr>
        <w:t>不完整的投标将视为非响应性投标予以拒绝。</w:t>
      </w:r>
    </w:p>
    <w:p>
      <w:pPr>
        <w:adjustRightInd w:val="0"/>
        <w:snapToGrid w:val="0"/>
        <w:rPr>
          <w:rFonts w:hint="eastAsia" w:ascii="宋体" w:hAnsi="宋体"/>
          <w:szCs w:val="21"/>
        </w:rPr>
      </w:pPr>
    </w:p>
    <w:p>
      <w:pPr>
        <w:adjustRightInd w:val="0"/>
        <w:snapToGrid w:val="0"/>
        <w:rPr>
          <w:rFonts w:hint="eastAsia" w:ascii="宋体" w:hAnsi="宋体"/>
          <w:szCs w:val="21"/>
        </w:rPr>
      </w:pPr>
    </w:p>
    <w:p>
      <w:pPr>
        <w:adjustRightInd w:val="0"/>
        <w:snapToGrid w:val="0"/>
        <w:rPr>
          <w:rFonts w:hint="eastAsia" w:ascii="宋体" w:hAnsi="宋体"/>
          <w:szCs w:val="21"/>
        </w:rPr>
      </w:pPr>
    </w:p>
    <w:p>
      <w:pPr>
        <w:adjustRightInd w:val="0"/>
        <w:snapToGrid w:val="0"/>
        <w:rPr>
          <w:rFonts w:hint="eastAsia" w:ascii="宋体" w:hAnsi="宋体"/>
          <w:szCs w:val="21"/>
        </w:rPr>
      </w:pPr>
    </w:p>
    <w:p>
      <w:pPr>
        <w:adjustRightInd w:val="0"/>
        <w:snapToGrid w:val="0"/>
        <w:rPr>
          <w:rFonts w:hint="eastAsia" w:ascii="宋体" w:hAnsi="宋体"/>
          <w:szCs w:val="21"/>
        </w:rPr>
      </w:pPr>
    </w:p>
    <w:p>
      <w:pPr>
        <w:adjustRightInd w:val="0"/>
        <w:snapToGrid w:val="0"/>
        <w:rPr>
          <w:rFonts w:hint="eastAsia" w:ascii="宋体" w:hAnsi="宋体"/>
          <w:szCs w:val="21"/>
        </w:rPr>
      </w:pPr>
    </w:p>
    <w:p>
      <w:pPr>
        <w:adjustRightInd w:val="0"/>
        <w:snapToGrid w:val="0"/>
        <w:rPr>
          <w:rFonts w:hint="eastAsia" w:ascii="宋体" w:hAnsi="宋体"/>
          <w:szCs w:val="21"/>
        </w:rPr>
      </w:pPr>
    </w:p>
    <w:p>
      <w:pPr>
        <w:adjustRightInd w:val="0"/>
        <w:snapToGrid w:val="0"/>
        <w:rPr>
          <w:rFonts w:hint="eastAsia" w:ascii="宋体" w:hAnsi="宋体"/>
          <w:szCs w:val="21"/>
        </w:rPr>
      </w:pPr>
    </w:p>
    <w:p>
      <w:pPr>
        <w:adjustRightInd w:val="0"/>
        <w:snapToGrid w:val="0"/>
        <w:rPr>
          <w:rFonts w:hint="eastAsia" w:ascii="宋体" w:hAnsi="宋体"/>
          <w:szCs w:val="21"/>
        </w:rPr>
      </w:pPr>
    </w:p>
    <w:p>
      <w:pPr>
        <w:adjustRightInd w:val="0"/>
        <w:snapToGrid w:val="0"/>
        <w:rPr>
          <w:rFonts w:hint="eastAsia" w:ascii="宋体" w:hAnsi="宋体"/>
          <w:szCs w:val="21"/>
        </w:rPr>
      </w:pPr>
    </w:p>
    <w:p>
      <w:pPr>
        <w:adjustRightInd w:val="0"/>
        <w:snapToGrid w:val="0"/>
        <w:rPr>
          <w:rFonts w:hint="eastAsia" w:ascii="宋体" w:hAnsi="宋体"/>
          <w:szCs w:val="21"/>
        </w:rPr>
      </w:pPr>
    </w:p>
    <w:p>
      <w:pPr>
        <w:adjustRightInd w:val="0"/>
        <w:snapToGrid w:val="0"/>
        <w:rPr>
          <w:rFonts w:hint="eastAsia" w:ascii="宋体" w:hAnsi="宋体"/>
          <w:szCs w:val="21"/>
        </w:rPr>
      </w:pPr>
    </w:p>
    <w:p>
      <w:pPr>
        <w:tabs>
          <w:tab w:val="left" w:pos="720"/>
        </w:tabs>
        <w:adjustRightInd w:val="0"/>
        <w:snapToGrid w:val="0"/>
        <w:jc w:val="center"/>
        <w:rPr>
          <w:rFonts w:hint="eastAsia" w:hAnsi="宋体"/>
          <w:b/>
          <w:sz w:val="24"/>
        </w:rPr>
      </w:pPr>
      <w:r>
        <w:rPr>
          <w:rFonts w:ascii="宋体" w:hAnsi="宋体"/>
          <w:b/>
          <w:sz w:val="30"/>
          <w:szCs w:val="30"/>
        </w:rPr>
        <w:br w:type="page"/>
      </w:r>
      <w:r>
        <w:rPr>
          <w:rFonts w:hint="eastAsia" w:ascii="宋体" w:hAnsi="宋体"/>
          <w:b/>
          <w:sz w:val="30"/>
          <w:szCs w:val="30"/>
        </w:rPr>
        <w:t>二、总则</w:t>
      </w:r>
    </w:p>
    <w:p>
      <w:pPr>
        <w:spacing w:before="156" w:beforeLines="50" w:after="156" w:afterLines="50" w:line="360" w:lineRule="auto"/>
        <w:ind w:left="601" w:hanging="601"/>
        <w:rPr>
          <w:rFonts w:ascii="宋体" w:hAnsi="宋体"/>
          <w:b/>
          <w:sz w:val="28"/>
        </w:rPr>
      </w:pPr>
      <w:r>
        <w:rPr>
          <w:rFonts w:ascii="宋体" w:hAnsi="宋体"/>
          <w:b/>
          <w:sz w:val="28"/>
        </w:rPr>
        <w:t>1</w:t>
      </w:r>
      <w:r>
        <w:rPr>
          <w:rFonts w:hint="eastAsia" w:ascii="宋体" w:hAnsi="宋体"/>
          <w:b/>
          <w:sz w:val="28"/>
        </w:rPr>
        <w:t>、投标要求</w:t>
      </w:r>
    </w:p>
    <w:p>
      <w:pPr>
        <w:spacing w:line="360" w:lineRule="auto"/>
        <w:ind w:left="554" w:hanging="554" w:hangingChars="231"/>
        <w:rPr>
          <w:rFonts w:hint="eastAsia" w:ascii="宋体" w:hAnsi="宋体"/>
          <w:sz w:val="24"/>
        </w:rPr>
      </w:pPr>
      <w:r>
        <w:rPr>
          <w:rFonts w:ascii="宋体" w:hAnsi="宋体"/>
          <w:sz w:val="24"/>
        </w:rPr>
        <w:t xml:space="preserve">1.1 </w:t>
      </w:r>
      <w:r>
        <w:rPr>
          <w:rFonts w:hint="eastAsia" w:ascii="宋体" w:hAnsi="宋体"/>
          <w:sz w:val="24"/>
        </w:rPr>
        <w:t xml:space="preserve"> 投标人在准备投标书时，务必在所提供的商品的技术规格文件中，标明型号、商标名称、目录号。</w:t>
      </w:r>
    </w:p>
    <w:p>
      <w:pPr>
        <w:spacing w:line="360" w:lineRule="auto"/>
        <w:ind w:left="554" w:hanging="554" w:hangingChars="231"/>
        <w:rPr>
          <w:rFonts w:hint="eastAsia" w:ascii="宋体" w:hAnsi="宋体"/>
          <w:sz w:val="24"/>
        </w:rPr>
      </w:pPr>
      <w:r>
        <w:rPr>
          <w:rFonts w:hint="eastAsia" w:ascii="宋体" w:hAnsi="宋体"/>
          <w:sz w:val="24"/>
        </w:rPr>
        <w:t>1.2  投标人提供的货物须是成熟的全新的产品，其技术规格应符合招标文件的要求。如与招标文件的技术规格有偏差，应提供技术规格偏差的量值或说明（偏离表）。如投标人有意隐瞒对规格要求的偏差或在开标后提出新的偏差，买方有权扣留其投标保证金或/并拒绝其投标。</w:t>
      </w:r>
    </w:p>
    <w:p>
      <w:pPr>
        <w:spacing w:line="360" w:lineRule="auto"/>
        <w:ind w:left="554" w:hanging="554" w:hangingChars="231"/>
        <w:rPr>
          <w:rFonts w:hint="eastAsia" w:ascii="宋体"/>
          <w:sz w:val="24"/>
        </w:rPr>
      </w:pPr>
      <w:r>
        <w:rPr>
          <w:rFonts w:hint="eastAsia" w:ascii="宋体" w:hAnsi="宋体"/>
          <w:sz w:val="24"/>
        </w:rPr>
        <w:t xml:space="preserve">1.3  </w:t>
      </w:r>
      <w:r>
        <w:rPr>
          <w:rFonts w:hint="eastAsia"/>
          <w:sz w:val="24"/>
        </w:rPr>
        <w:t>投标人提供的</w:t>
      </w:r>
      <w:r>
        <w:rPr>
          <w:rFonts w:hint="eastAsia" w:ascii="宋体"/>
          <w:sz w:val="24"/>
        </w:rPr>
        <w:t>产品</w:t>
      </w:r>
      <w:r>
        <w:rPr>
          <w:rFonts w:hint="eastAsia"/>
          <w:sz w:val="24"/>
        </w:rPr>
        <w:t>样本，必须是“原件”而非复印件，</w:t>
      </w:r>
      <w:r>
        <w:rPr>
          <w:rFonts w:hint="eastAsia" w:ascii="宋体"/>
          <w:sz w:val="24"/>
        </w:rPr>
        <w:t>图表、简图、电路图以及印刷电路板图等都应</w:t>
      </w:r>
      <w:r>
        <w:rPr>
          <w:rFonts w:hint="eastAsia"/>
          <w:sz w:val="24"/>
        </w:rPr>
        <w:t>清晰易读。买方有权</w:t>
      </w:r>
      <w:r>
        <w:rPr>
          <w:rFonts w:hint="eastAsia" w:ascii="宋体"/>
          <w:sz w:val="24"/>
        </w:rPr>
        <w:t>不付任何附加费用</w:t>
      </w:r>
      <w:r>
        <w:rPr>
          <w:rFonts w:hint="eastAsia"/>
          <w:sz w:val="24"/>
        </w:rPr>
        <w:t>复制这些资料</w:t>
      </w:r>
      <w:r>
        <w:rPr>
          <w:rFonts w:hint="eastAsia" w:ascii="宋体"/>
          <w:sz w:val="24"/>
        </w:rPr>
        <w:t>以供参考。</w:t>
      </w:r>
    </w:p>
    <w:p>
      <w:pPr>
        <w:spacing w:line="360" w:lineRule="auto"/>
        <w:ind w:left="554" w:hanging="554" w:hangingChars="231"/>
        <w:rPr>
          <w:rFonts w:hint="eastAsia" w:ascii="宋体"/>
          <w:sz w:val="24"/>
        </w:rPr>
      </w:pPr>
      <w:r>
        <w:rPr>
          <w:rFonts w:hint="eastAsia" w:ascii="宋体"/>
          <w:sz w:val="24"/>
        </w:rPr>
        <w:t>1.4  投标人的投标产品应符合国家有关部门规定的相应技术、节能、安全和环保标准；如国家有关部门对投标人的投标产品有强制性规定或要求的，则投标人的投标产品必须符合相应规定或要求。</w:t>
      </w:r>
    </w:p>
    <w:p>
      <w:pPr>
        <w:spacing w:before="156" w:beforeLines="50" w:after="156" w:afterLines="50" w:line="360" w:lineRule="auto"/>
        <w:ind w:left="601" w:hanging="601"/>
        <w:rPr>
          <w:rFonts w:ascii="宋体" w:hAnsi="宋体"/>
          <w:b/>
          <w:sz w:val="28"/>
        </w:rPr>
      </w:pPr>
      <w:r>
        <w:rPr>
          <w:rFonts w:hint="eastAsia" w:ascii="宋体" w:hAnsi="宋体"/>
          <w:b/>
          <w:sz w:val="28"/>
        </w:rPr>
        <w:t>2、评标标准</w:t>
      </w:r>
    </w:p>
    <w:p>
      <w:pPr>
        <w:spacing w:line="360" w:lineRule="auto"/>
        <w:ind w:left="554" w:hanging="554" w:hangingChars="231"/>
        <w:rPr>
          <w:rFonts w:hint="eastAsia" w:ascii="宋体"/>
          <w:sz w:val="24"/>
        </w:rPr>
      </w:pPr>
      <w:r>
        <w:rPr>
          <w:rFonts w:ascii="宋体" w:hAnsi="宋体"/>
          <w:sz w:val="24"/>
        </w:rPr>
        <w:t>2.</w:t>
      </w:r>
      <w:r>
        <w:rPr>
          <w:rFonts w:hint="eastAsia" w:ascii="宋体" w:hAnsi="宋体"/>
          <w:sz w:val="24"/>
        </w:rPr>
        <w:t xml:space="preserve">1  </w:t>
      </w:r>
      <w:r>
        <w:rPr>
          <w:rFonts w:hint="eastAsia"/>
          <w:sz w:val="24"/>
        </w:rPr>
        <w:t>除招标文件中指定的附件和专用工具外，</w:t>
      </w:r>
      <w:r>
        <w:rPr>
          <w:rFonts w:hint="eastAsia" w:ascii="宋体"/>
          <w:sz w:val="24"/>
        </w:rPr>
        <w:t>投标人应提供仪器设备的正常运行和常规保养所需的全套标准附件、专用工具</w:t>
      </w:r>
      <w:r>
        <w:rPr>
          <w:rFonts w:hint="eastAsia"/>
          <w:sz w:val="24"/>
        </w:rPr>
        <w:t>和消耗品</w:t>
      </w:r>
      <w:r>
        <w:rPr>
          <w:rFonts w:hint="eastAsia" w:ascii="宋体"/>
          <w:sz w:val="24"/>
        </w:rPr>
        <w:t>。投标人在投标书中需列出这些附件和工具的数量和单价的清单，这些附件和工具的报价的总值需计入投标价中。</w:t>
      </w:r>
    </w:p>
    <w:p>
      <w:pPr>
        <w:spacing w:line="360" w:lineRule="auto"/>
        <w:ind w:left="554" w:hanging="554" w:hangingChars="231"/>
        <w:rPr>
          <w:rFonts w:hint="eastAsia"/>
          <w:sz w:val="24"/>
        </w:rPr>
      </w:pPr>
      <w:r>
        <w:rPr>
          <w:rFonts w:hint="eastAsia" w:ascii="宋体" w:hAnsi="宋体"/>
          <w:sz w:val="24"/>
        </w:rPr>
        <w:t xml:space="preserve">2.2  </w:t>
      </w:r>
      <w:r>
        <w:rPr>
          <w:rFonts w:hint="eastAsia"/>
          <w:sz w:val="24"/>
        </w:rPr>
        <w:t>对于标书</w:t>
      </w:r>
      <w:r>
        <w:rPr>
          <w:rFonts w:hint="eastAsia" w:ascii="宋体"/>
          <w:sz w:val="24"/>
        </w:rPr>
        <w:t>技术规范中已列</w:t>
      </w:r>
      <w:r>
        <w:rPr>
          <w:rFonts w:hint="eastAsia"/>
          <w:sz w:val="24"/>
        </w:rPr>
        <w:t>出的作为查询选件的附件、零配件、专用工具和消耗品，投标书中</w:t>
      </w:r>
      <w:r>
        <w:rPr>
          <w:rFonts w:hint="eastAsia" w:ascii="宋体"/>
          <w:sz w:val="24"/>
        </w:rPr>
        <w:t>应列明其数量、单价、总价供买方参考。投标人也可推荐买方没有要求的附件或专用工具作为选件，并列明其数量、单价、总价供买方参考。选件价格不计入评标价中。</w:t>
      </w:r>
      <w:r>
        <w:rPr>
          <w:rFonts w:hint="eastAsia"/>
          <w:sz w:val="24"/>
        </w:rPr>
        <w:t>选件一旦为用户接受，其费用将加入合同价中。</w:t>
      </w:r>
    </w:p>
    <w:p>
      <w:pPr>
        <w:spacing w:line="360" w:lineRule="auto"/>
        <w:ind w:left="554" w:hanging="554" w:hangingChars="231"/>
        <w:rPr>
          <w:rFonts w:hint="eastAsia" w:ascii="宋体" w:hAnsi="宋体"/>
          <w:sz w:val="24"/>
        </w:rPr>
      </w:pPr>
      <w:r>
        <w:rPr>
          <w:rFonts w:hint="eastAsia" w:ascii="宋体" w:hAnsi="宋体"/>
          <w:sz w:val="24"/>
        </w:rPr>
        <w:t>2.3  为便于用户进行接收仪器的准备工作，卖方应在合同生效后</w:t>
      </w:r>
      <w:r>
        <w:rPr>
          <w:rFonts w:hint="eastAsia" w:ascii="宋体" w:hAnsi="宋体"/>
          <w:b/>
          <w:sz w:val="24"/>
        </w:rPr>
        <w:t>60</w:t>
      </w:r>
      <w:r>
        <w:rPr>
          <w:rFonts w:hint="eastAsia" w:ascii="宋体" w:hAnsi="宋体"/>
          <w:sz w:val="24"/>
        </w:rPr>
        <w:t>天内向用户提供一套完整的使用说明书、操作手册、维修及安装说明等文件。另一套完整上述资料应在交货时随货包装提供给用户，这些费用应计入投标价中。</w:t>
      </w:r>
    </w:p>
    <w:p>
      <w:pPr>
        <w:spacing w:line="360" w:lineRule="auto"/>
        <w:ind w:left="554" w:hanging="554" w:hangingChars="231"/>
        <w:rPr>
          <w:rFonts w:hint="eastAsia" w:ascii="宋体" w:hAnsi="宋体"/>
          <w:sz w:val="24"/>
        </w:rPr>
      </w:pPr>
      <w:r>
        <w:rPr>
          <w:rFonts w:hint="eastAsia" w:ascii="宋体" w:hAnsi="宋体"/>
          <w:sz w:val="24"/>
        </w:rPr>
        <w:t>2</w:t>
      </w:r>
      <w:r>
        <w:rPr>
          <w:rFonts w:ascii="宋体" w:hAnsi="宋体"/>
          <w:sz w:val="24"/>
        </w:rPr>
        <w:t>.</w:t>
      </w:r>
      <w:r>
        <w:rPr>
          <w:rFonts w:hint="eastAsia" w:ascii="宋体" w:hAnsi="宋体"/>
          <w:sz w:val="24"/>
        </w:rPr>
        <w:t>4</w:t>
      </w:r>
      <w:r>
        <w:rPr>
          <w:rFonts w:ascii="宋体" w:hAnsi="宋体"/>
          <w:sz w:val="24"/>
        </w:rPr>
        <w:t xml:space="preserve"> </w:t>
      </w:r>
      <w:r>
        <w:rPr>
          <w:rFonts w:hint="eastAsia" w:ascii="宋体" w:hAnsi="宋体"/>
          <w:sz w:val="24"/>
        </w:rPr>
        <w:t xml:space="preserve"> 关于设备的安装调试，如果有必要的安装准备条件，卖方应在合同生效后一个月内向买方提出详细的要求或计划。安装调试的费用应计入投标价中，并应单独列出，供评标使用。</w:t>
      </w:r>
    </w:p>
    <w:p>
      <w:pPr>
        <w:spacing w:line="360" w:lineRule="auto"/>
        <w:ind w:left="554" w:hanging="554" w:hangingChars="231"/>
        <w:rPr>
          <w:rFonts w:ascii="宋体" w:hAnsi="宋体"/>
          <w:sz w:val="24"/>
        </w:rPr>
      </w:pPr>
      <w:r>
        <w:rPr>
          <w:rFonts w:ascii="宋体" w:hAnsi="宋体"/>
          <w:sz w:val="24"/>
        </w:rPr>
        <w:t>2.</w:t>
      </w:r>
      <w:r>
        <w:rPr>
          <w:rFonts w:hint="eastAsia" w:ascii="宋体" w:hAnsi="宋体"/>
          <w:sz w:val="24"/>
        </w:rPr>
        <w:t>5  制造厂家提供的培训指的是涉及货物的基本原理、操作使用和保养维修等有关内容的培训。培训教员的培训费、旅费、食宿费等费用和培训场地费及培训资料费均应由卖方支付。</w:t>
      </w:r>
    </w:p>
    <w:p>
      <w:pPr>
        <w:spacing w:before="156" w:beforeLines="50" w:after="156" w:afterLines="50" w:line="360" w:lineRule="auto"/>
        <w:ind w:left="601" w:hanging="601"/>
        <w:rPr>
          <w:rFonts w:hint="eastAsia" w:ascii="宋体" w:hAnsi="宋体"/>
          <w:b/>
          <w:sz w:val="28"/>
        </w:rPr>
      </w:pPr>
      <w:r>
        <w:rPr>
          <w:rFonts w:hint="eastAsia" w:ascii="宋体" w:hAnsi="宋体"/>
          <w:b/>
          <w:sz w:val="28"/>
        </w:rPr>
        <w:t>3、工作条件</w:t>
      </w:r>
    </w:p>
    <w:p>
      <w:pPr>
        <w:spacing w:after="312" w:afterLines="100" w:line="360" w:lineRule="auto"/>
        <w:rPr>
          <w:rFonts w:hint="eastAsia" w:ascii="宋体" w:hAnsi="宋体"/>
          <w:sz w:val="24"/>
        </w:rPr>
      </w:pPr>
      <w:r>
        <w:rPr>
          <w:rFonts w:hint="eastAsia" w:ascii="宋体" w:hAnsi="宋体"/>
          <w:sz w:val="24"/>
        </w:rPr>
        <w:t>除非在技术规格中另有说明，所有仪器、设备和系统都应符合下列要求：</w:t>
      </w:r>
      <w:r>
        <w:rPr>
          <w:rFonts w:ascii="宋体" w:hAnsi="宋体"/>
          <w:sz w:val="24"/>
        </w:rPr>
        <w:t xml:space="preserve"> </w:t>
      </w:r>
    </w:p>
    <w:p>
      <w:pPr>
        <w:spacing w:line="360" w:lineRule="auto"/>
        <w:ind w:left="554" w:hanging="554" w:hangingChars="231"/>
        <w:rPr>
          <w:rFonts w:hint="eastAsia" w:ascii="宋体" w:hAnsi="宋体"/>
          <w:sz w:val="24"/>
        </w:rPr>
      </w:pPr>
      <w:r>
        <w:rPr>
          <w:rFonts w:hint="eastAsia" w:ascii="宋体" w:hAnsi="宋体"/>
          <w:sz w:val="24"/>
        </w:rPr>
        <w:t>3.1  适于在气温为摄氏</w:t>
      </w:r>
      <w:r>
        <w:rPr>
          <w:rFonts w:ascii="宋体" w:hAnsi="宋体"/>
          <w:b/>
          <w:sz w:val="24"/>
        </w:rPr>
        <w:t>-40</w:t>
      </w:r>
      <w:r>
        <w:rPr>
          <w:rFonts w:hint="eastAsia" w:ascii="宋体" w:hAnsi="宋体"/>
          <w:b/>
          <w:sz w:val="24"/>
        </w:rPr>
        <w:t>℃～＋</w:t>
      </w:r>
      <w:r>
        <w:rPr>
          <w:rFonts w:ascii="宋体" w:hAnsi="宋体"/>
          <w:b/>
          <w:sz w:val="24"/>
        </w:rPr>
        <w:t>50</w:t>
      </w:r>
      <w:r>
        <w:rPr>
          <w:rFonts w:hint="eastAsia" w:ascii="宋体" w:hAnsi="宋体"/>
          <w:b/>
          <w:sz w:val="24"/>
        </w:rPr>
        <w:t>℃</w:t>
      </w:r>
      <w:r>
        <w:rPr>
          <w:rFonts w:hint="eastAsia" w:ascii="宋体" w:hAnsi="宋体"/>
          <w:sz w:val="24"/>
        </w:rPr>
        <w:t>和相对湿度为</w:t>
      </w:r>
      <w:r>
        <w:rPr>
          <w:rFonts w:ascii="宋体" w:hAnsi="宋体"/>
          <w:b/>
          <w:sz w:val="24"/>
        </w:rPr>
        <w:t>90</w:t>
      </w:r>
      <w:r>
        <w:rPr>
          <w:rFonts w:hint="eastAsia" w:ascii="宋体" w:hAnsi="宋体"/>
          <w:b/>
          <w:sz w:val="24"/>
        </w:rPr>
        <w:t>％</w:t>
      </w:r>
      <w:r>
        <w:rPr>
          <w:rFonts w:hint="eastAsia" w:ascii="宋体" w:hAnsi="宋体"/>
          <w:sz w:val="24"/>
        </w:rPr>
        <w:t>的环境条件下运输和贮存。</w:t>
      </w:r>
    </w:p>
    <w:p>
      <w:pPr>
        <w:spacing w:line="360" w:lineRule="auto"/>
        <w:ind w:left="554" w:hanging="554" w:hangingChars="231"/>
        <w:rPr>
          <w:rFonts w:hint="eastAsia" w:ascii="宋体" w:hAnsi="宋体"/>
          <w:sz w:val="24"/>
        </w:rPr>
      </w:pPr>
      <w:r>
        <w:rPr>
          <w:rFonts w:hint="eastAsia" w:ascii="宋体" w:hAnsi="宋体"/>
          <w:sz w:val="24"/>
        </w:rPr>
        <w:t>3.2  适于在电源</w:t>
      </w:r>
      <w:r>
        <w:rPr>
          <w:rFonts w:ascii="宋体" w:hAnsi="宋体"/>
          <w:b/>
          <w:sz w:val="24"/>
        </w:rPr>
        <w:t>220V</w:t>
      </w:r>
      <w:r>
        <w:rPr>
          <w:rFonts w:hint="eastAsia" w:ascii="宋体" w:hAnsi="宋体"/>
          <w:b/>
          <w:sz w:val="24"/>
        </w:rPr>
        <w:t>（</w:t>
      </w:r>
      <w:r>
        <w:rPr>
          <w:rFonts w:ascii="宋体" w:hAnsi="宋体"/>
          <w:b/>
          <w:sz w:val="24"/>
        </w:rPr>
        <w:sym w:font="Symbol" w:char="F0B1"/>
      </w:r>
      <w:r>
        <w:rPr>
          <w:rFonts w:ascii="宋体" w:hAnsi="宋体"/>
          <w:b/>
          <w:sz w:val="24"/>
        </w:rPr>
        <w:t>10</w:t>
      </w:r>
      <w:r>
        <w:rPr>
          <w:rFonts w:hint="eastAsia" w:ascii="宋体" w:hAnsi="宋体"/>
          <w:b/>
          <w:sz w:val="24"/>
        </w:rPr>
        <w:t>％）</w:t>
      </w:r>
      <w:r>
        <w:rPr>
          <w:rFonts w:ascii="宋体" w:hAnsi="宋体"/>
          <w:b/>
          <w:sz w:val="24"/>
        </w:rPr>
        <w:t>/50Hz</w:t>
      </w:r>
      <w:r>
        <w:rPr>
          <w:rFonts w:hint="eastAsia" w:ascii="宋体" w:hAnsi="宋体"/>
          <w:sz w:val="24"/>
        </w:rPr>
        <w:t>、气温摄氏</w:t>
      </w:r>
      <w:r>
        <w:rPr>
          <w:rFonts w:hint="eastAsia" w:ascii="宋体" w:hAnsi="宋体"/>
          <w:b/>
          <w:sz w:val="24"/>
        </w:rPr>
        <w:t>+1</w:t>
      </w:r>
      <w:r>
        <w:rPr>
          <w:rFonts w:ascii="宋体" w:hAnsi="宋体"/>
          <w:b/>
          <w:sz w:val="24"/>
        </w:rPr>
        <w:t>5</w:t>
      </w:r>
      <w:r>
        <w:rPr>
          <w:rFonts w:hint="eastAsia" w:ascii="宋体" w:hAnsi="宋体"/>
          <w:b/>
          <w:sz w:val="24"/>
        </w:rPr>
        <w:t>℃～＋3</w:t>
      </w:r>
      <w:r>
        <w:rPr>
          <w:rFonts w:ascii="宋体" w:hAnsi="宋体"/>
          <w:b/>
          <w:sz w:val="24"/>
        </w:rPr>
        <w:t>0</w:t>
      </w:r>
      <w:r>
        <w:rPr>
          <w:rFonts w:hint="eastAsia" w:ascii="宋体" w:hAnsi="宋体"/>
          <w:b/>
          <w:sz w:val="24"/>
        </w:rPr>
        <w:t>℃</w:t>
      </w:r>
      <w:r>
        <w:rPr>
          <w:rFonts w:hint="eastAsia" w:ascii="宋体" w:hAnsi="宋体"/>
          <w:sz w:val="24"/>
        </w:rPr>
        <w:t>和相对湿度小于</w:t>
      </w:r>
      <w:r>
        <w:rPr>
          <w:rFonts w:ascii="宋体" w:hAnsi="宋体"/>
          <w:b/>
          <w:sz w:val="24"/>
        </w:rPr>
        <w:t>8</w:t>
      </w:r>
      <w:r>
        <w:rPr>
          <w:rFonts w:hint="eastAsia" w:ascii="宋体" w:hAnsi="宋体"/>
          <w:b/>
          <w:sz w:val="24"/>
        </w:rPr>
        <w:t>0％</w:t>
      </w:r>
      <w:r>
        <w:rPr>
          <w:rFonts w:hint="eastAsia" w:ascii="宋体" w:hAnsi="宋体"/>
          <w:sz w:val="24"/>
        </w:rPr>
        <w:t>的环境条件下运行。</w:t>
      </w:r>
      <w:r>
        <w:rPr>
          <w:rFonts w:hint="eastAsia" w:ascii="宋体" w:hAnsi="宋体"/>
          <w:b/>
          <w:sz w:val="24"/>
        </w:rPr>
        <w:t>能够连续正常工作。</w:t>
      </w:r>
    </w:p>
    <w:p>
      <w:pPr>
        <w:spacing w:line="360" w:lineRule="auto"/>
        <w:ind w:left="554" w:hanging="554" w:hangingChars="231"/>
        <w:rPr>
          <w:rFonts w:hint="eastAsia" w:ascii="宋体" w:hAnsi="宋体"/>
          <w:sz w:val="24"/>
        </w:rPr>
      </w:pPr>
      <w:r>
        <w:rPr>
          <w:rFonts w:hint="eastAsia" w:ascii="宋体" w:hAnsi="宋体"/>
          <w:sz w:val="24"/>
        </w:rPr>
        <w:t>3.3  配置符合中国有关标准要求的插头，如果没有这样的插头，则需</w:t>
      </w:r>
      <w:r>
        <w:rPr>
          <w:rFonts w:hint="eastAsia" w:ascii="宋体"/>
          <w:sz w:val="24"/>
        </w:rPr>
        <w:t>提供适当的转</w:t>
      </w:r>
      <w:r>
        <w:rPr>
          <w:rFonts w:hint="eastAsia" w:ascii="宋体" w:hAnsi="宋体"/>
          <w:sz w:val="24"/>
        </w:rPr>
        <w:t>换插座。</w:t>
      </w:r>
    </w:p>
    <w:p>
      <w:pPr>
        <w:spacing w:line="360" w:lineRule="auto"/>
        <w:ind w:left="554" w:hanging="554" w:hangingChars="231"/>
        <w:rPr>
          <w:rFonts w:hint="eastAsia" w:ascii="宋体" w:hAnsi="宋体"/>
          <w:sz w:val="24"/>
        </w:rPr>
      </w:pPr>
      <w:r>
        <w:rPr>
          <w:rFonts w:hint="eastAsia" w:ascii="宋体" w:hAnsi="宋体"/>
          <w:sz w:val="24"/>
        </w:rPr>
        <w:t>3.4  如产品达不到上述要求，投标人应注明其偏差。如仪器设备需要特殊工作条件（如水、电源、磁场强度、温度、湿度、动强度等）投标人应在投标书中加以说明。</w:t>
      </w:r>
    </w:p>
    <w:p>
      <w:pPr>
        <w:rPr>
          <w:rFonts w:hint="eastAsia" w:eastAsia="黑体"/>
          <w:b/>
          <w:bCs/>
          <w:kern w:val="44"/>
          <w:sz w:val="24"/>
        </w:rPr>
      </w:pPr>
    </w:p>
    <w:p>
      <w:pPr>
        <w:spacing w:before="156" w:beforeLines="50" w:after="156" w:afterLines="50" w:line="360" w:lineRule="auto"/>
        <w:ind w:left="601" w:hanging="601"/>
        <w:rPr>
          <w:rFonts w:hint="eastAsia" w:ascii="宋体" w:hAnsi="宋体"/>
          <w:b/>
          <w:sz w:val="28"/>
        </w:rPr>
      </w:pPr>
      <w:r>
        <w:rPr>
          <w:rFonts w:hint="eastAsia" w:ascii="宋体" w:hAnsi="宋体"/>
          <w:b/>
          <w:sz w:val="28"/>
        </w:rPr>
        <w:t>4、验收标准</w:t>
      </w:r>
    </w:p>
    <w:p>
      <w:pPr>
        <w:spacing w:after="312" w:afterLines="100" w:line="360" w:lineRule="auto"/>
        <w:rPr>
          <w:rFonts w:hint="eastAsia" w:ascii="宋体" w:hAnsi="宋体"/>
          <w:sz w:val="24"/>
        </w:rPr>
      </w:pPr>
      <w:r>
        <w:rPr>
          <w:rFonts w:hint="eastAsia" w:ascii="宋体" w:hAnsi="宋体"/>
          <w:sz w:val="24"/>
        </w:rPr>
        <w:t>除非在技术规格中另有说明，所有仪器、设备和系统按下列要求进行验收：</w:t>
      </w:r>
      <w:r>
        <w:rPr>
          <w:rFonts w:ascii="宋体" w:hAnsi="宋体"/>
          <w:sz w:val="24"/>
        </w:rPr>
        <w:t xml:space="preserve"> </w:t>
      </w:r>
    </w:p>
    <w:p>
      <w:pPr>
        <w:spacing w:line="360" w:lineRule="auto"/>
        <w:ind w:left="554" w:hanging="554" w:hangingChars="231"/>
        <w:rPr>
          <w:rFonts w:hint="eastAsia" w:ascii="宋体" w:hAnsi="宋体"/>
          <w:sz w:val="24"/>
        </w:rPr>
      </w:pPr>
      <w:r>
        <w:rPr>
          <w:rFonts w:hint="eastAsia" w:ascii="宋体" w:hAnsi="宋体"/>
          <w:sz w:val="24"/>
        </w:rPr>
        <w:t>4.1  仪器设备运抵安装现场后，买方将与卖方共同开箱验收</w:t>
      </w:r>
      <w:r>
        <w:rPr>
          <w:rFonts w:ascii="宋体" w:hAnsi="宋体"/>
          <w:sz w:val="24"/>
        </w:rPr>
        <w:t xml:space="preserve">, </w:t>
      </w:r>
      <w:r>
        <w:rPr>
          <w:rFonts w:hint="eastAsia" w:ascii="宋体" w:hAnsi="宋体"/>
          <w:sz w:val="24"/>
        </w:rPr>
        <w:t>如卖方届时不派人来</w:t>
      </w:r>
      <w:r>
        <w:rPr>
          <w:rFonts w:ascii="宋体" w:hAnsi="宋体"/>
          <w:sz w:val="24"/>
        </w:rPr>
        <w:t xml:space="preserve">, </w:t>
      </w:r>
      <w:r>
        <w:rPr>
          <w:rFonts w:hint="eastAsia" w:ascii="宋体" w:hAnsi="宋体"/>
          <w:sz w:val="24"/>
        </w:rPr>
        <w:t>则验收结果应以买方的验收报告为最终验收结果。验收时发现短缺、破损</w:t>
      </w:r>
      <w:r>
        <w:rPr>
          <w:rFonts w:ascii="宋体" w:hAnsi="宋体"/>
          <w:sz w:val="24"/>
        </w:rPr>
        <w:t xml:space="preserve">, </w:t>
      </w:r>
      <w:r>
        <w:rPr>
          <w:rFonts w:hint="eastAsia" w:ascii="宋体" w:hAnsi="宋体"/>
          <w:sz w:val="24"/>
        </w:rPr>
        <w:t>买方有权要求卖方负责更换。</w:t>
      </w:r>
    </w:p>
    <w:p>
      <w:pPr>
        <w:spacing w:line="360" w:lineRule="auto"/>
        <w:ind w:left="554" w:hanging="554" w:hangingChars="231"/>
        <w:rPr>
          <w:rFonts w:hint="eastAsia" w:ascii="宋体" w:hAnsi="宋体"/>
          <w:sz w:val="24"/>
        </w:rPr>
      </w:pPr>
      <w:r>
        <w:rPr>
          <w:rFonts w:hint="eastAsia" w:ascii="宋体" w:hAnsi="宋体"/>
          <w:sz w:val="24"/>
        </w:rPr>
        <w:t xml:space="preserve">4.2  </w:t>
      </w:r>
      <w:r>
        <w:rPr>
          <w:rFonts w:hint="eastAsia"/>
          <w:sz w:val="24"/>
        </w:rPr>
        <w:t>验收标准以中标人提供的投标文件中所列的指标为准（该指标应不低于招标文件所要求的指标）。任何虚假指标响应一经发现即作废标，卖方必须承担由此给买方带来的一切经济损失和其它相关责任。</w:t>
      </w:r>
    </w:p>
    <w:p>
      <w:pPr>
        <w:spacing w:line="360" w:lineRule="auto"/>
        <w:ind w:left="554" w:hanging="554" w:hangingChars="231"/>
        <w:rPr>
          <w:rFonts w:hint="eastAsia" w:ascii="宋体" w:hAnsi="宋体"/>
          <w:sz w:val="24"/>
        </w:rPr>
      </w:pPr>
      <w:r>
        <w:rPr>
          <w:rFonts w:hint="eastAsia" w:ascii="宋体" w:hAnsi="宋体"/>
          <w:sz w:val="24"/>
        </w:rPr>
        <w:t xml:space="preserve">4.3  </w:t>
      </w:r>
      <w:r>
        <w:rPr>
          <w:rFonts w:ascii="宋体" w:hAnsi="宋体"/>
          <w:sz w:val="24"/>
        </w:rPr>
        <w:t>验收由采购人、中标人及相关人员依国家有关标准、合同及有关附件要求进行，验收完毕由采购人及中标人在验收报告上签名。</w:t>
      </w:r>
    </w:p>
    <w:p>
      <w:pPr>
        <w:pStyle w:val="2"/>
        <w:spacing w:line="360" w:lineRule="auto"/>
        <w:ind w:left="410" w:hanging="410" w:hangingChars="170"/>
        <w:rPr>
          <w:rFonts w:hint="eastAsia" w:hAnsi="宋体"/>
          <w:b/>
          <w:sz w:val="24"/>
          <w:szCs w:val="24"/>
        </w:rPr>
      </w:pPr>
    </w:p>
    <w:p>
      <w:pPr>
        <w:pStyle w:val="2"/>
        <w:spacing w:line="360" w:lineRule="auto"/>
        <w:ind w:left="410" w:hanging="410" w:hangingChars="170"/>
        <w:rPr>
          <w:rFonts w:hint="eastAsia" w:hAnsi="宋体"/>
          <w:b/>
          <w:sz w:val="24"/>
          <w:szCs w:val="24"/>
        </w:rPr>
      </w:pPr>
      <w:r>
        <w:rPr>
          <w:rFonts w:hint="eastAsia" w:hAnsi="宋体"/>
          <w:b/>
          <w:sz w:val="24"/>
          <w:szCs w:val="24"/>
        </w:rPr>
        <w:t>5、本技术规格书中标注“*”号的为实质性要求，不满足其投标将被拒绝。</w:t>
      </w:r>
    </w:p>
    <w:p>
      <w:pPr>
        <w:pStyle w:val="2"/>
        <w:spacing w:line="360" w:lineRule="auto"/>
        <w:rPr>
          <w:rFonts w:hint="eastAsia" w:hAnsi="宋体"/>
          <w:b/>
          <w:sz w:val="24"/>
          <w:szCs w:val="24"/>
        </w:rPr>
      </w:pPr>
    </w:p>
    <w:p>
      <w:pPr>
        <w:pStyle w:val="2"/>
        <w:spacing w:line="360" w:lineRule="auto"/>
        <w:rPr>
          <w:rFonts w:hint="eastAsia" w:hAnsi="宋体"/>
          <w:b/>
          <w:sz w:val="28"/>
        </w:rPr>
      </w:pPr>
      <w:r>
        <w:rPr>
          <w:rFonts w:hint="eastAsia" w:hAnsi="宋体"/>
          <w:b/>
          <w:sz w:val="24"/>
          <w:szCs w:val="24"/>
        </w:rPr>
        <w:t>6、如在具体技术规格中有本总则不一致之处，以具体技术规格中的要求为准。</w:t>
      </w:r>
      <w:r>
        <w:rPr>
          <w:rFonts w:hAnsi="宋体"/>
          <w:b/>
          <w:sz w:val="28"/>
        </w:rPr>
        <w:br w:type="page"/>
      </w:r>
      <w:r>
        <w:rPr>
          <w:rFonts w:hint="eastAsia" w:hAnsi="宋体"/>
          <w:b/>
          <w:sz w:val="28"/>
        </w:rPr>
        <w:t>三、具体技术规格</w:t>
      </w:r>
    </w:p>
    <w:p>
      <w:pPr>
        <w:rPr>
          <w:rFonts w:hint="eastAsia"/>
          <w:sz w:val="24"/>
        </w:rPr>
      </w:pPr>
    </w:p>
    <w:p>
      <w:pPr>
        <w:jc w:val="center"/>
        <w:rPr>
          <w:rFonts w:hint="eastAsia"/>
          <w:b/>
          <w:sz w:val="24"/>
        </w:rPr>
      </w:pPr>
      <w:r>
        <w:rPr>
          <w:rFonts w:hint="eastAsia"/>
          <w:b/>
          <w:sz w:val="24"/>
        </w:rPr>
        <w:t>第1包 单晶X射线衍射仪</w:t>
      </w:r>
    </w:p>
    <w:p>
      <w:pPr>
        <w:rPr>
          <w:rFonts w:hint="eastAsia"/>
          <w:b/>
          <w:sz w:val="24"/>
        </w:rPr>
      </w:pPr>
    </w:p>
    <w:p>
      <w:pPr>
        <w:rPr>
          <w:rFonts w:hint="eastAsia"/>
          <w:b/>
          <w:sz w:val="24"/>
        </w:rPr>
      </w:pPr>
    </w:p>
    <w:p>
      <w:pPr>
        <w:numPr>
          <w:ilvl w:val="0"/>
          <w:numId w:val="2"/>
        </w:numPr>
        <w:rPr>
          <w:rFonts w:hint="eastAsia" w:ascii="宋体" w:hAnsi="宋体" w:cs="宋体"/>
          <w:b/>
          <w:sz w:val="24"/>
        </w:rPr>
      </w:pPr>
      <w:r>
        <w:rPr>
          <w:rFonts w:hint="eastAsia" w:ascii="宋体" w:hAnsi="宋体" w:cs="宋体"/>
          <w:b/>
          <w:sz w:val="24"/>
        </w:rPr>
        <w:t>技术要求：</w:t>
      </w:r>
    </w:p>
    <w:p>
      <w:pPr>
        <w:rPr>
          <w:rFonts w:hint="eastAsia" w:ascii="宋体" w:hAnsi="宋体" w:cs="宋体"/>
          <w:b/>
          <w:sz w:val="24"/>
        </w:rPr>
      </w:pPr>
    </w:p>
    <w:p>
      <w:pPr>
        <w:numPr>
          <w:ilvl w:val="0"/>
          <w:numId w:val="3"/>
        </w:numPr>
        <w:spacing w:line="360" w:lineRule="auto"/>
        <w:rPr>
          <w:rFonts w:hint="eastAsia" w:ascii="宋体" w:hAnsi="宋体" w:cs="宋体"/>
          <w:b/>
          <w:sz w:val="24"/>
        </w:rPr>
      </w:pPr>
      <w:r>
        <w:rPr>
          <w:rFonts w:hint="eastAsia" w:ascii="宋体" w:hAnsi="宋体" w:cs="宋体"/>
          <w:b/>
          <w:sz w:val="24"/>
        </w:rPr>
        <w:t>工作条件：</w:t>
      </w:r>
    </w:p>
    <w:p>
      <w:pPr>
        <w:spacing w:line="360" w:lineRule="auto"/>
        <w:rPr>
          <w:rFonts w:hint="eastAsia" w:ascii="宋体" w:hAnsi="宋体" w:cs="宋体"/>
          <w:sz w:val="24"/>
        </w:rPr>
      </w:pPr>
      <w:r>
        <w:rPr>
          <w:rFonts w:hint="eastAsia" w:ascii="宋体" w:hAnsi="宋体" w:cs="宋体"/>
          <w:sz w:val="24"/>
        </w:rPr>
        <w:t>1)工作电压：AC 220V(±15%)，50Hz，单相或AC 380V(±15%)，50Hz，三相</w:t>
      </w:r>
    </w:p>
    <w:p>
      <w:pPr>
        <w:spacing w:line="360" w:lineRule="auto"/>
        <w:rPr>
          <w:rFonts w:hint="eastAsia" w:ascii="宋体" w:hAnsi="宋体" w:cs="宋体"/>
          <w:sz w:val="24"/>
        </w:rPr>
      </w:pPr>
      <w:r>
        <w:rPr>
          <w:rFonts w:hint="eastAsia" w:ascii="宋体" w:hAnsi="宋体" w:cs="宋体"/>
          <w:sz w:val="24"/>
        </w:rPr>
        <w:t>2)环境温度：18～28℃</w:t>
      </w:r>
    </w:p>
    <w:p>
      <w:pPr>
        <w:spacing w:line="360" w:lineRule="auto"/>
        <w:rPr>
          <w:rFonts w:hint="eastAsia" w:ascii="宋体" w:hAnsi="宋体" w:cs="宋体"/>
          <w:sz w:val="24"/>
        </w:rPr>
      </w:pPr>
      <w:r>
        <w:rPr>
          <w:rFonts w:hint="eastAsia" w:ascii="宋体" w:hAnsi="宋体" w:cs="宋体"/>
          <w:sz w:val="24"/>
        </w:rPr>
        <w:t>3)相对湿度：20%～80%</w:t>
      </w:r>
    </w:p>
    <w:p>
      <w:pPr>
        <w:spacing w:line="360" w:lineRule="auto"/>
        <w:rPr>
          <w:rFonts w:hint="eastAsia" w:ascii="宋体" w:hAnsi="宋体" w:cs="宋体"/>
          <w:sz w:val="24"/>
        </w:rPr>
      </w:pPr>
      <w:r>
        <w:rPr>
          <w:rFonts w:hint="eastAsia" w:ascii="宋体" w:hAnsi="宋体" w:cs="宋体"/>
          <w:sz w:val="24"/>
        </w:rPr>
        <w:t>4)仪器运行的持久性：可连续运行</w:t>
      </w:r>
    </w:p>
    <w:p>
      <w:pPr>
        <w:spacing w:line="360" w:lineRule="auto"/>
        <w:rPr>
          <w:rFonts w:hint="eastAsia" w:ascii="宋体" w:hAnsi="宋体" w:cs="宋体"/>
          <w:sz w:val="24"/>
        </w:rPr>
      </w:pPr>
    </w:p>
    <w:p>
      <w:pPr>
        <w:numPr>
          <w:ilvl w:val="0"/>
          <w:numId w:val="3"/>
        </w:numPr>
        <w:spacing w:line="360" w:lineRule="auto"/>
        <w:rPr>
          <w:rFonts w:hint="eastAsia" w:ascii="宋体" w:hAnsi="宋体" w:cs="宋体"/>
          <w:b/>
          <w:sz w:val="24"/>
        </w:rPr>
      </w:pPr>
      <w:r>
        <w:rPr>
          <w:rFonts w:hint="eastAsia" w:ascii="宋体" w:hAnsi="宋体" w:cs="宋体"/>
          <w:b/>
          <w:sz w:val="24"/>
        </w:rPr>
        <w:t>设备用途：</w:t>
      </w:r>
    </w:p>
    <w:p>
      <w:pPr>
        <w:spacing w:line="360" w:lineRule="auto"/>
        <w:ind w:firstLine="420" w:firstLineChars="0"/>
        <w:jc w:val="left"/>
        <w:rPr>
          <w:rFonts w:hint="eastAsia" w:ascii="宋体" w:hAnsi="宋体" w:cs="宋体"/>
          <w:sz w:val="24"/>
        </w:rPr>
      </w:pPr>
      <w:r>
        <w:rPr>
          <w:rFonts w:hint="eastAsia" w:ascii="宋体" w:hAnsi="宋体" w:cs="宋体"/>
          <w:sz w:val="24"/>
        </w:rPr>
        <w:t>用于化学、材料科学和生物物理和生物化学研究领域，无机小分子、有机小分子以及有机大分子的晶体结构解析、得到晶体的微观结构，可获得样品的晶胞参数、键长、键角、构象、氢键分子间堆积作用等信息。</w:t>
      </w:r>
    </w:p>
    <w:p>
      <w:pPr>
        <w:spacing w:line="360" w:lineRule="auto"/>
        <w:ind w:firstLine="420" w:firstLineChars="0"/>
        <w:jc w:val="left"/>
        <w:rPr>
          <w:rFonts w:hint="eastAsia" w:ascii="宋体" w:hAnsi="宋体" w:cs="宋体"/>
          <w:sz w:val="24"/>
          <w:lang w:val="en-AU"/>
        </w:rPr>
      </w:pPr>
    </w:p>
    <w:p>
      <w:pPr>
        <w:numPr>
          <w:ilvl w:val="0"/>
          <w:numId w:val="3"/>
        </w:numPr>
        <w:spacing w:line="360" w:lineRule="auto"/>
        <w:rPr>
          <w:rFonts w:hint="eastAsia" w:ascii="宋体" w:hAnsi="宋体" w:cs="宋体"/>
          <w:b/>
          <w:sz w:val="24"/>
        </w:rPr>
      </w:pPr>
      <w:r>
        <w:rPr>
          <w:rFonts w:hint="eastAsia" w:ascii="宋体" w:hAnsi="宋体" w:cs="宋体"/>
          <w:b/>
          <w:sz w:val="24"/>
        </w:rPr>
        <w:t>技术规格：</w:t>
      </w:r>
    </w:p>
    <w:p>
      <w:pPr>
        <w:spacing w:line="360" w:lineRule="auto"/>
        <w:jc w:val="left"/>
        <w:rPr>
          <w:rFonts w:hint="eastAsia" w:ascii="宋体" w:hAnsi="宋体" w:cs="宋体"/>
          <w:sz w:val="24"/>
        </w:rPr>
      </w:pPr>
      <w:r>
        <w:rPr>
          <w:rFonts w:hint="eastAsia" w:ascii="宋体" w:hAnsi="宋体" w:cs="宋体"/>
          <w:sz w:val="24"/>
        </w:rPr>
        <w:t>3.1 X射线发生器：</w:t>
      </w:r>
    </w:p>
    <w:p>
      <w:pPr>
        <w:spacing w:line="360" w:lineRule="auto"/>
        <w:jc w:val="left"/>
        <w:rPr>
          <w:rFonts w:hint="eastAsia" w:ascii="宋体" w:hAnsi="宋体" w:cs="宋体"/>
          <w:sz w:val="24"/>
        </w:rPr>
      </w:pPr>
      <w:r>
        <w:rPr>
          <w:rFonts w:hint="eastAsia" w:ascii="宋体" w:hAnsi="宋体" w:cs="宋体"/>
          <w:sz w:val="24"/>
        </w:rPr>
        <w:t>Mo光源部分：</w:t>
      </w:r>
    </w:p>
    <w:p>
      <w:pPr>
        <w:spacing w:line="360" w:lineRule="auto"/>
        <w:jc w:val="left"/>
        <w:rPr>
          <w:rFonts w:hint="eastAsia" w:ascii="宋体" w:hAnsi="宋体" w:cs="宋体"/>
          <w:sz w:val="24"/>
        </w:rPr>
      </w:pPr>
      <w:r>
        <w:rPr>
          <w:rFonts w:hint="eastAsia" w:ascii="宋体" w:hAnsi="宋体" w:cs="宋体"/>
          <w:sz w:val="24"/>
        </w:rPr>
        <w:t>*1)功率≥70W</w:t>
      </w:r>
    </w:p>
    <w:p>
      <w:pPr>
        <w:spacing w:line="360" w:lineRule="auto"/>
        <w:jc w:val="left"/>
        <w:rPr>
          <w:rFonts w:hint="eastAsia" w:ascii="宋体" w:hAnsi="宋体" w:cs="宋体"/>
          <w:sz w:val="24"/>
        </w:rPr>
      </w:pPr>
      <w:r>
        <w:rPr>
          <w:rFonts w:hint="eastAsia" w:ascii="宋体" w:hAnsi="宋体" w:cs="宋体"/>
          <w:sz w:val="24"/>
        </w:rPr>
        <w:t>2)最大管电压：≥50kV</w:t>
      </w:r>
    </w:p>
    <w:p>
      <w:pPr>
        <w:spacing w:line="360" w:lineRule="auto"/>
        <w:jc w:val="left"/>
        <w:rPr>
          <w:rFonts w:hint="eastAsia" w:ascii="宋体" w:hAnsi="宋体" w:cs="宋体"/>
          <w:sz w:val="24"/>
        </w:rPr>
      </w:pPr>
      <w:r>
        <w:rPr>
          <w:rFonts w:hint="eastAsia" w:ascii="宋体" w:hAnsi="宋体" w:cs="宋体"/>
          <w:sz w:val="24"/>
        </w:rPr>
        <w:t>3)最大管电流：≥1.4mA</w:t>
      </w:r>
    </w:p>
    <w:p>
      <w:pPr>
        <w:spacing w:line="360" w:lineRule="auto"/>
        <w:jc w:val="left"/>
        <w:rPr>
          <w:rFonts w:hint="eastAsia" w:ascii="宋体" w:hAnsi="宋体" w:cs="宋体"/>
          <w:sz w:val="24"/>
        </w:rPr>
      </w:pPr>
      <w:r>
        <w:rPr>
          <w:rFonts w:hint="eastAsia" w:ascii="宋体" w:hAnsi="宋体" w:cs="宋体"/>
          <w:sz w:val="24"/>
        </w:rPr>
        <w:t>4)微焦斑靶</w:t>
      </w:r>
    </w:p>
    <w:p>
      <w:pPr>
        <w:spacing w:line="360" w:lineRule="auto"/>
        <w:jc w:val="left"/>
        <w:rPr>
          <w:rFonts w:hint="eastAsia" w:ascii="宋体" w:hAnsi="宋体" w:cs="宋体"/>
          <w:sz w:val="24"/>
        </w:rPr>
      </w:pPr>
      <w:r>
        <w:rPr>
          <w:rFonts w:hint="eastAsia" w:ascii="宋体" w:hAnsi="宋体" w:cs="宋体"/>
          <w:sz w:val="24"/>
        </w:rPr>
        <w:t>5)有安全保护机构，X射线防护符合国际标准</w:t>
      </w:r>
    </w:p>
    <w:p>
      <w:pPr>
        <w:spacing w:line="360" w:lineRule="auto"/>
        <w:jc w:val="left"/>
        <w:rPr>
          <w:rFonts w:hint="eastAsia" w:ascii="宋体" w:hAnsi="宋体" w:cs="宋体"/>
          <w:sz w:val="24"/>
        </w:rPr>
      </w:pPr>
      <w:r>
        <w:rPr>
          <w:rFonts w:hint="eastAsia" w:ascii="宋体" w:hAnsi="宋体" w:cs="宋体"/>
          <w:sz w:val="24"/>
        </w:rPr>
        <w:t>3.2测角仪：</w:t>
      </w:r>
    </w:p>
    <w:p>
      <w:pPr>
        <w:spacing w:line="360" w:lineRule="auto"/>
        <w:jc w:val="left"/>
        <w:rPr>
          <w:rFonts w:hint="eastAsia" w:ascii="宋体" w:hAnsi="宋体" w:cs="宋体"/>
          <w:sz w:val="24"/>
        </w:rPr>
      </w:pPr>
      <w:r>
        <w:rPr>
          <w:rFonts w:hint="eastAsia" w:ascii="宋体" w:hAnsi="宋体" w:cs="宋体"/>
          <w:sz w:val="24"/>
        </w:rPr>
        <w:t>1)测角仪采用光学编码器方式，带Kappa四轴</w:t>
      </w:r>
    </w:p>
    <w:p>
      <w:pPr>
        <w:spacing w:line="360" w:lineRule="auto"/>
        <w:jc w:val="left"/>
        <w:rPr>
          <w:rFonts w:hint="eastAsia" w:ascii="宋体" w:hAnsi="宋体" w:cs="宋体"/>
          <w:sz w:val="24"/>
        </w:rPr>
      </w:pPr>
      <w:r>
        <w:rPr>
          <w:rFonts w:hint="eastAsia" w:ascii="宋体" w:hAnsi="宋体" w:cs="宋体"/>
          <w:sz w:val="24"/>
        </w:rPr>
        <w:t>2)φ轴：360°旋转，重复精度≤0.001°</w:t>
      </w:r>
    </w:p>
    <w:p>
      <w:pPr>
        <w:spacing w:line="360" w:lineRule="auto"/>
        <w:jc w:val="left"/>
        <w:rPr>
          <w:rFonts w:hint="eastAsia" w:ascii="宋体" w:hAnsi="宋体" w:cs="宋体"/>
          <w:sz w:val="24"/>
        </w:rPr>
      </w:pPr>
      <w:r>
        <w:rPr>
          <w:rFonts w:hint="eastAsia" w:ascii="宋体" w:hAnsi="宋体" w:cs="宋体"/>
          <w:sz w:val="24"/>
        </w:rPr>
        <w:t>3)ω轴/2θ：360°旋转，重复精度≤0.0002°</w:t>
      </w:r>
    </w:p>
    <w:p>
      <w:pPr>
        <w:spacing w:line="360" w:lineRule="auto"/>
        <w:jc w:val="left"/>
        <w:rPr>
          <w:rFonts w:hint="eastAsia" w:ascii="宋体" w:hAnsi="宋体" w:cs="宋体"/>
          <w:sz w:val="24"/>
        </w:rPr>
      </w:pPr>
      <w:r>
        <w:rPr>
          <w:rFonts w:hint="eastAsia" w:ascii="宋体" w:hAnsi="宋体" w:cs="宋体"/>
          <w:sz w:val="24"/>
        </w:rPr>
        <w:t>4)2θ：-148°-159°旋转，重复精度≤0.0002°</w:t>
      </w:r>
    </w:p>
    <w:p>
      <w:pPr>
        <w:spacing w:line="360" w:lineRule="auto"/>
        <w:jc w:val="left"/>
        <w:rPr>
          <w:rFonts w:hint="eastAsia" w:ascii="宋体" w:hAnsi="宋体" w:cs="宋体"/>
          <w:sz w:val="24"/>
        </w:rPr>
      </w:pPr>
      <w:r>
        <w:rPr>
          <w:rFonts w:hint="eastAsia" w:ascii="宋体" w:hAnsi="宋体" w:cs="宋体"/>
          <w:sz w:val="24"/>
        </w:rPr>
        <w:t>3.3 探测器:</w:t>
      </w:r>
    </w:p>
    <w:p>
      <w:pPr>
        <w:spacing w:line="360" w:lineRule="auto"/>
        <w:jc w:val="left"/>
        <w:rPr>
          <w:rFonts w:hint="eastAsia" w:ascii="宋体" w:hAnsi="宋体" w:cs="宋体"/>
          <w:sz w:val="24"/>
        </w:rPr>
      </w:pPr>
      <w:r>
        <w:rPr>
          <w:rFonts w:hint="eastAsia" w:ascii="宋体" w:hAnsi="宋体" w:cs="宋体"/>
          <w:sz w:val="24"/>
        </w:rPr>
        <w:t>*1)窗口面积尺寸：≥70×100mm</w:t>
      </w:r>
      <w:r>
        <w:rPr>
          <w:rFonts w:hint="eastAsia" w:ascii="宋体" w:hAnsi="宋体" w:cs="宋体"/>
          <w:sz w:val="24"/>
          <w:vertAlign w:val="superscript"/>
        </w:rPr>
        <w:t>2</w:t>
      </w:r>
    </w:p>
    <w:p>
      <w:pPr>
        <w:spacing w:line="360" w:lineRule="auto"/>
        <w:jc w:val="left"/>
        <w:rPr>
          <w:rFonts w:hint="eastAsia" w:ascii="宋体" w:hAnsi="宋体" w:cs="宋体"/>
          <w:sz w:val="24"/>
        </w:rPr>
      </w:pPr>
      <w:r>
        <w:rPr>
          <w:rFonts w:hint="eastAsia" w:ascii="宋体" w:hAnsi="宋体" w:cs="宋体"/>
          <w:sz w:val="24"/>
        </w:rPr>
        <w:t xml:space="preserve">2)CPAD单晶面探仪，可移动距离范围：35～240 mm </w:t>
      </w:r>
    </w:p>
    <w:p>
      <w:pPr>
        <w:spacing w:line="360" w:lineRule="auto"/>
        <w:jc w:val="left"/>
        <w:rPr>
          <w:rFonts w:hint="eastAsia" w:ascii="宋体" w:hAnsi="宋体" w:cs="宋体"/>
          <w:sz w:val="24"/>
        </w:rPr>
      </w:pPr>
      <w:r>
        <w:rPr>
          <w:rFonts w:hint="eastAsia" w:ascii="宋体" w:hAnsi="宋体" w:cs="宋体"/>
          <w:sz w:val="24"/>
        </w:rPr>
        <w:t>*3)芯片尺寸：≥70×100mm</w:t>
      </w:r>
      <w:r>
        <w:rPr>
          <w:rFonts w:hint="eastAsia" w:ascii="宋体" w:hAnsi="宋体" w:cs="宋体"/>
          <w:sz w:val="24"/>
          <w:vertAlign w:val="superscript"/>
        </w:rPr>
        <w:t>2</w:t>
      </w:r>
    </w:p>
    <w:p>
      <w:pPr>
        <w:spacing w:line="360" w:lineRule="auto"/>
        <w:jc w:val="left"/>
        <w:rPr>
          <w:rFonts w:hint="eastAsia" w:ascii="宋体" w:hAnsi="宋体" w:cs="宋体"/>
          <w:sz w:val="24"/>
        </w:rPr>
      </w:pPr>
      <w:r>
        <w:rPr>
          <w:rFonts w:hint="eastAsia" w:ascii="宋体" w:hAnsi="宋体" w:cs="宋体"/>
          <w:sz w:val="24"/>
        </w:rPr>
        <w:t>3.4 计算机及软件系统</w:t>
      </w:r>
    </w:p>
    <w:p>
      <w:pPr>
        <w:spacing w:line="360" w:lineRule="auto"/>
        <w:jc w:val="left"/>
        <w:rPr>
          <w:rFonts w:hint="eastAsia" w:ascii="宋体" w:hAnsi="宋体" w:cs="宋体"/>
          <w:sz w:val="24"/>
        </w:rPr>
      </w:pPr>
      <w:r>
        <w:rPr>
          <w:rFonts w:hint="eastAsia" w:ascii="宋体" w:hAnsi="宋体" w:cs="宋体"/>
          <w:sz w:val="24"/>
        </w:rPr>
        <w:t>1)酷睿i7或以上、16G内存或以上、2TB硬盘、27寸液晶显示器</w:t>
      </w:r>
    </w:p>
    <w:p>
      <w:pPr>
        <w:spacing w:line="360" w:lineRule="auto"/>
        <w:jc w:val="left"/>
        <w:rPr>
          <w:rFonts w:hint="eastAsia" w:ascii="宋体" w:hAnsi="宋体" w:cs="宋体"/>
          <w:sz w:val="24"/>
        </w:rPr>
      </w:pPr>
      <w:r>
        <w:rPr>
          <w:rFonts w:hint="eastAsia" w:ascii="宋体" w:hAnsi="宋体" w:cs="宋体"/>
          <w:sz w:val="24"/>
        </w:rPr>
        <w:t>*2)主机控制、维护基本软件、使用图形用户界面的单晶帧数据获取和成像软件、面探测器数据收集整体方案最优化组织软件、正版的商业版晶体结构最新分析SHELXTL软件包，具备晶体结构解析及精修所需要的所有功能</w:t>
      </w:r>
    </w:p>
    <w:p>
      <w:pPr>
        <w:spacing w:line="360" w:lineRule="auto"/>
        <w:jc w:val="left"/>
        <w:rPr>
          <w:rFonts w:hint="eastAsia" w:ascii="宋体" w:hAnsi="宋体" w:cs="宋体"/>
          <w:sz w:val="24"/>
        </w:rPr>
      </w:pPr>
    </w:p>
    <w:p>
      <w:pPr>
        <w:numPr>
          <w:ilvl w:val="0"/>
          <w:numId w:val="3"/>
        </w:numPr>
        <w:spacing w:line="360" w:lineRule="auto"/>
        <w:rPr>
          <w:rFonts w:hint="eastAsia"/>
          <w:b/>
          <w:sz w:val="24"/>
        </w:rPr>
      </w:pPr>
      <w:r>
        <w:rPr>
          <w:rFonts w:hint="eastAsia"/>
          <w:b/>
          <w:sz w:val="24"/>
        </w:rPr>
        <w:t>产品配置要求</w:t>
      </w:r>
    </w:p>
    <w:p>
      <w:pPr>
        <w:spacing w:line="360" w:lineRule="auto"/>
        <w:rPr>
          <w:rFonts w:hint="eastAsia"/>
          <w:sz w:val="24"/>
        </w:rPr>
      </w:pPr>
      <w:r>
        <w:rPr>
          <w:rFonts w:hint="eastAsia"/>
          <w:sz w:val="24"/>
        </w:rPr>
        <w:t>4.</w:t>
      </w:r>
      <w:r>
        <w:rPr>
          <w:rFonts w:hint="eastAsia"/>
          <w:sz w:val="24"/>
          <w:lang w:val="en-US" w:eastAsia="zh-CN"/>
        </w:rPr>
        <w:t xml:space="preserve">1 </w:t>
      </w:r>
      <w:r>
        <w:rPr>
          <w:rFonts w:hint="eastAsia"/>
          <w:sz w:val="24"/>
        </w:rPr>
        <w:t>要求的附件、专用工具和消耗品</w:t>
      </w:r>
    </w:p>
    <w:p>
      <w:pPr>
        <w:spacing w:line="360" w:lineRule="auto"/>
        <w:rPr>
          <w:rFonts w:hint="eastAsia"/>
          <w:sz w:val="24"/>
        </w:rPr>
      </w:pPr>
      <w:r>
        <w:rPr>
          <w:rFonts w:hint="eastAsia"/>
          <w:sz w:val="24"/>
        </w:rPr>
        <w:t>1）上样工具一套</w:t>
      </w:r>
    </w:p>
    <w:p>
      <w:pPr>
        <w:spacing w:line="360" w:lineRule="auto"/>
        <w:rPr>
          <w:rFonts w:hint="eastAsia"/>
          <w:sz w:val="24"/>
        </w:rPr>
      </w:pPr>
      <w:r>
        <w:rPr>
          <w:rFonts w:hint="eastAsia"/>
          <w:sz w:val="24"/>
        </w:rPr>
        <w:t>2）体式显微镜一台</w:t>
      </w:r>
    </w:p>
    <w:p>
      <w:pPr>
        <w:spacing w:line="360" w:lineRule="auto"/>
        <w:rPr>
          <w:rFonts w:hint="eastAsia"/>
          <w:sz w:val="24"/>
        </w:rPr>
      </w:pPr>
      <w:r>
        <w:rPr>
          <w:rFonts w:hint="eastAsia"/>
          <w:sz w:val="24"/>
        </w:rPr>
        <w:t>3）</w:t>
      </w:r>
      <w:r>
        <w:rPr>
          <w:rFonts w:hint="eastAsia" w:ascii="宋体" w:hAnsi="宋体" w:cs="宋体"/>
          <w:sz w:val="24"/>
        </w:rPr>
        <w:t>打印机：主流激光黑白打印机一台</w:t>
      </w:r>
    </w:p>
    <w:p>
      <w:pPr>
        <w:tabs>
          <w:tab w:val="left" w:pos="540"/>
        </w:tabs>
        <w:spacing w:line="360" w:lineRule="auto"/>
        <w:rPr>
          <w:rFonts w:hint="eastAsia"/>
          <w:sz w:val="24"/>
        </w:rPr>
      </w:pPr>
      <w:r>
        <w:rPr>
          <w:rFonts w:hint="eastAsia"/>
          <w:sz w:val="24"/>
        </w:rPr>
        <w:t xml:space="preserve">   </w:t>
      </w:r>
    </w:p>
    <w:p>
      <w:pPr>
        <w:tabs>
          <w:tab w:val="left" w:pos="540"/>
        </w:tabs>
        <w:spacing w:line="360" w:lineRule="auto"/>
        <w:rPr>
          <w:rFonts w:hint="eastAsia"/>
          <w:b/>
          <w:sz w:val="24"/>
        </w:rPr>
      </w:pPr>
      <w:r>
        <w:rPr>
          <w:rFonts w:hint="eastAsia"/>
          <w:b/>
          <w:sz w:val="24"/>
          <w:lang w:val="en-US" w:eastAsia="zh-CN"/>
        </w:rPr>
        <w:t>5</w:t>
      </w:r>
      <w:r>
        <w:rPr>
          <w:rFonts w:hint="eastAsia"/>
          <w:b/>
          <w:sz w:val="24"/>
        </w:rPr>
        <w:t>.  技术文件：</w:t>
      </w:r>
    </w:p>
    <w:p>
      <w:pPr>
        <w:spacing w:line="360" w:lineRule="auto"/>
        <w:rPr>
          <w:rFonts w:hint="eastAsia"/>
          <w:sz w:val="24"/>
        </w:rPr>
      </w:pPr>
      <w:r>
        <w:rPr>
          <w:rFonts w:hint="eastAsia"/>
          <w:sz w:val="24"/>
          <w:lang w:val="en-US" w:eastAsia="zh-CN"/>
        </w:rPr>
        <w:t>5</w:t>
      </w:r>
      <w:r>
        <w:rPr>
          <w:rFonts w:hint="eastAsia"/>
          <w:sz w:val="24"/>
        </w:rPr>
        <w:t>.1 请参考总则第1.2条。</w:t>
      </w:r>
    </w:p>
    <w:p>
      <w:pPr>
        <w:spacing w:line="360" w:lineRule="auto"/>
        <w:rPr>
          <w:sz w:val="24"/>
        </w:rPr>
      </w:pPr>
      <w:r>
        <w:rPr>
          <w:rFonts w:hint="eastAsia"/>
          <w:sz w:val="24"/>
          <w:lang w:val="en-US" w:eastAsia="zh-CN"/>
        </w:rPr>
        <w:t>5</w:t>
      </w:r>
      <w:r>
        <w:rPr>
          <w:rFonts w:hint="eastAsia"/>
          <w:sz w:val="24"/>
        </w:rPr>
        <w:t>.2 请参考总则第2.3条。</w:t>
      </w:r>
    </w:p>
    <w:p>
      <w:pPr>
        <w:spacing w:line="360" w:lineRule="auto"/>
        <w:rPr>
          <w:rFonts w:hint="eastAsia"/>
          <w:sz w:val="24"/>
        </w:rPr>
      </w:pPr>
    </w:p>
    <w:p>
      <w:pPr>
        <w:spacing w:line="360" w:lineRule="auto"/>
        <w:rPr>
          <w:rFonts w:hint="eastAsia"/>
          <w:b/>
          <w:sz w:val="24"/>
        </w:rPr>
      </w:pPr>
      <w:r>
        <w:rPr>
          <w:rFonts w:hint="eastAsia"/>
          <w:b/>
          <w:sz w:val="24"/>
        </w:rPr>
        <w:t>（二）质保及售后服务：</w:t>
      </w:r>
    </w:p>
    <w:p>
      <w:pPr>
        <w:keepNext w:val="0"/>
        <w:keepLines w:val="0"/>
        <w:pageBreakBefore w:val="0"/>
        <w:widowControl w:val="0"/>
        <w:kinsoku/>
        <w:wordWrap/>
        <w:overflowPunct/>
        <w:topLinePunct w:val="0"/>
        <w:autoSpaceDE/>
        <w:autoSpaceDN/>
        <w:bidi w:val="0"/>
        <w:adjustRightInd w:val="0"/>
        <w:snapToGrid w:val="0"/>
        <w:spacing w:line="360" w:lineRule="auto"/>
        <w:ind w:left="0" w:firstLine="0" w:firstLineChars="0"/>
        <w:textAlignment w:val="auto"/>
        <w:rPr>
          <w:rFonts w:hint="eastAsia" w:ascii="Times New Roman" w:hAnsi="Times New Roman"/>
          <w:sz w:val="24"/>
        </w:rPr>
      </w:pPr>
      <w:r>
        <w:rPr>
          <w:rFonts w:hint="eastAsia" w:ascii="Times New Roman" w:hAnsi="Times New Roman"/>
          <w:sz w:val="24"/>
        </w:rPr>
        <w:t>1.1 设备安装调试</w:t>
      </w:r>
    </w:p>
    <w:p>
      <w:pPr>
        <w:keepNext w:val="0"/>
        <w:keepLines w:val="0"/>
        <w:pageBreakBefore w:val="0"/>
        <w:widowControl w:val="0"/>
        <w:kinsoku/>
        <w:wordWrap/>
        <w:overflowPunct/>
        <w:topLinePunct w:val="0"/>
        <w:autoSpaceDE/>
        <w:autoSpaceDN/>
        <w:bidi w:val="0"/>
        <w:adjustRightInd w:val="0"/>
        <w:snapToGrid w:val="0"/>
        <w:spacing w:line="360" w:lineRule="auto"/>
        <w:ind w:left="0" w:firstLine="0" w:firstLineChars="0"/>
        <w:textAlignment w:val="auto"/>
        <w:rPr>
          <w:rFonts w:hint="eastAsia" w:ascii="Times New Roman" w:hAnsi="Times New Roman"/>
          <w:sz w:val="24"/>
        </w:rPr>
      </w:pPr>
      <w:r>
        <w:rPr>
          <w:rFonts w:hint="eastAsia" w:ascii="Times New Roman" w:hAnsi="Times New Roman"/>
          <w:color w:val="000000"/>
          <w:sz w:val="24"/>
          <w:lang w:val="en-US" w:eastAsia="zh-CN"/>
        </w:rPr>
        <w:t xml:space="preserve">1.1.1 </w:t>
      </w:r>
      <w:r>
        <w:rPr>
          <w:rFonts w:hint="eastAsia" w:ascii="Times New Roman" w:hAnsi="Times New Roman"/>
          <w:color w:val="000000"/>
          <w:sz w:val="24"/>
        </w:rPr>
        <w:t>卖方提供全套、完整的纸质或电子版技术资料，包括仪器说明书、操作手册、简单维修说明、结构图及电路总框图等。</w:t>
      </w:r>
    </w:p>
    <w:p>
      <w:pPr>
        <w:keepNext w:val="0"/>
        <w:keepLines w:val="0"/>
        <w:pageBreakBefore w:val="0"/>
        <w:widowControl w:val="0"/>
        <w:kinsoku/>
        <w:wordWrap/>
        <w:overflowPunct/>
        <w:topLinePunct w:val="0"/>
        <w:autoSpaceDE/>
        <w:autoSpaceDN/>
        <w:bidi w:val="0"/>
        <w:adjustRightInd w:val="0"/>
        <w:snapToGrid w:val="0"/>
        <w:spacing w:line="360" w:lineRule="auto"/>
        <w:ind w:left="0" w:firstLine="0" w:firstLineChars="0"/>
        <w:textAlignment w:val="auto"/>
        <w:rPr>
          <w:rFonts w:hint="eastAsia" w:ascii="Times New Roman" w:hAnsi="Times New Roman"/>
          <w:sz w:val="24"/>
        </w:rPr>
      </w:pPr>
      <w:r>
        <w:rPr>
          <w:rFonts w:hint="eastAsia" w:ascii="Times New Roman" w:hAnsi="Times New Roman"/>
          <w:sz w:val="24"/>
        </w:rPr>
        <w:t xml:space="preserve">1.1.2 </w:t>
      </w:r>
      <w:r>
        <w:rPr>
          <w:rFonts w:hint="eastAsia" w:ascii="Times New Roman" w:hAnsi="Times New Roman"/>
          <w:color w:val="000000"/>
          <w:sz w:val="24"/>
        </w:rPr>
        <w:t>卖方在合同生效后的1个月内向用户提供详细的安装要求并提供技术咨询；在仪器到达前1个月，卖方通知用户水、电、气及其他仪器必备辅助设施的具体要求，从而让用户提前做好仪器安装准备工作。仪器到达用户所在地，在接到用户通知后一周内到达现场进行安装调试，直至通过验收。卖方负责拆除设备包装，自备拆箱过程中所需要的工具和材料，所产生的一切费用与风险由卖方承担</w:t>
      </w:r>
    </w:p>
    <w:p>
      <w:pPr>
        <w:keepNext w:val="0"/>
        <w:keepLines w:val="0"/>
        <w:pageBreakBefore w:val="0"/>
        <w:widowControl w:val="0"/>
        <w:kinsoku/>
        <w:wordWrap/>
        <w:overflowPunct/>
        <w:topLinePunct w:val="0"/>
        <w:autoSpaceDE/>
        <w:autoSpaceDN/>
        <w:bidi w:val="0"/>
        <w:adjustRightInd w:val="0"/>
        <w:snapToGrid w:val="0"/>
        <w:spacing w:line="360" w:lineRule="auto"/>
        <w:ind w:left="0" w:firstLine="0" w:firstLineChars="0"/>
        <w:textAlignment w:val="auto"/>
        <w:rPr>
          <w:rFonts w:hint="eastAsia" w:ascii="Times New Roman" w:hAnsi="Times New Roman"/>
          <w:sz w:val="24"/>
        </w:rPr>
      </w:pPr>
      <w:r>
        <w:rPr>
          <w:rFonts w:hint="eastAsia" w:ascii="Times New Roman" w:hAnsi="Times New Roman"/>
          <w:sz w:val="24"/>
        </w:rPr>
        <w:t>1.2</w:t>
      </w:r>
      <w:r>
        <w:rPr>
          <w:rFonts w:hint="eastAsia" w:ascii="Times New Roman" w:hAnsi="Times New Roman"/>
          <w:sz w:val="24"/>
          <w:lang w:val="en-US" w:eastAsia="zh-CN"/>
        </w:rPr>
        <w:t xml:space="preserve"> </w:t>
      </w:r>
      <w:r>
        <w:rPr>
          <w:rFonts w:hint="eastAsia" w:ascii="Times New Roman" w:hAnsi="Times New Roman"/>
          <w:sz w:val="24"/>
        </w:rPr>
        <w:t>技术培训</w:t>
      </w:r>
      <w:r>
        <w:rPr>
          <w:rFonts w:hint="eastAsia" w:ascii="Times New Roman" w:hAnsi="Times New Roman"/>
          <w:sz w:val="24"/>
          <w:lang w:eastAsia="zh-CN"/>
        </w:rPr>
        <w:t>：</w:t>
      </w:r>
      <w:r>
        <w:rPr>
          <w:rFonts w:hint="eastAsia" w:ascii="Times New Roman" w:hAnsi="Times New Roman"/>
          <w:color w:val="000000"/>
          <w:sz w:val="24"/>
        </w:rPr>
        <w:t>卖方在用户所在地对仪器使用者2-3人进行仪器操作和维护培训，使被培训人员达到能够熟练使用，所产生的一切费用与风险由卖方承担。培训内容包括仪器的技术原理、操作、数据处理、基本维护等。</w:t>
      </w:r>
    </w:p>
    <w:p>
      <w:pPr>
        <w:keepNext w:val="0"/>
        <w:keepLines w:val="0"/>
        <w:pageBreakBefore w:val="0"/>
        <w:widowControl w:val="0"/>
        <w:kinsoku/>
        <w:wordWrap/>
        <w:overflowPunct/>
        <w:topLinePunct w:val="0"/>
        <w:autoSpaceDE/>
        <w:autoSpaceDN/>
        <w:bidi w:val="0"/>
        <w:adjustRightInd w:val="0"/>
        <w:snapToGrid w:val="0"/>
        <w:spacing w:line="360" w:lineRule="auto"/>
        <w:ind w:left="0" w:firstLine="0" w:firstLineChars="0"/>
        <w:textAlignment w:val="auto"/>
        <w:rPr>
          <w:rFonts w:hint="eastAsia" w:ascii="Times New Roman" w:hAnsi="Times New Roman"/>
          <w:sz w:val="24"/>
        </w:rPr>
      </w:pPr>
      <w:r>
        <w:rPr>
          <w:rFonts w:hint="eastAsia" w:ascii="Times New Roman" w:hAnsi="Times New Roman"/>
          <w:sz w:val="24"/>
        </w:rPr>
        <w:t>*1.3 保修期</w:t>
      </w:r>
      <w:r>
        <w:rPr>
          <w:rFonts w:hint="eastAsia" w:ascii="宋体" w:hAnsi="宋体" w:eastAsia="宋体" w:cs="宋体"/>
          <w:sz w:val="24"/>
          <w:lang w:eastAsia="zh-CN"/>
        </w:rPr>
        <w:t>：</w:t>
      </w:r>
      <w:r>
        <w:rPr>
          <w:rFonts w:ascii="Times New Roman" w:hAnsi="Times New Roman"/>
          <w:sz w:val="24"/>
        </w:rPr>
        <w:t>仪器验收后主机保修壹年，探测器和微焦斑Mo光源</w:t>
      </w:r>
      <w:r>
        <w:rPr>
          <w:rFonts w:hint="eastAsia" w:ascii="Times New Roman" w:hAnsi="Times New Roman"/>
          <w:sz w:val="24"/>
        </w:rPr>
        <w:t>保修叁</w:t>
      </w:r>
      <w:r>
        <w:rPr>
          <w:rFonts w:ascii="Times New Roman" w:hAnsi="Times New Roman"/>
          <w:sz w:val="24"/>
        </w:rPr>
        <w:t>年。</w:t>
      </w:r>
    </w:p>
    <w:p>
      <w:pPr>
        <w:keepNext w:val="0"/>
        <w:keepLines w:val="0"/>
        <w:pageBreakBefore w:val="0"/>
        <w:widowControl w:val="0"/>
        <w:kinsoku/>
        <w:wordWrap/>
        <w:overflowPunct/>
        <w:topLinePunct w:val="0"/>
        <w:autoSpaceDE/>
        <w:autoSpaceDN/>
        <w:bidi w:val="0"/>
        <w:adjustRightInd w:val="0"/>
        <w:snapToGrid w:val="0"/>
        <w:spacing w:line="360" w:lineRule="auto"/>
        <w:ind w:left="0" w:firstLine="0" w:firstLineChars="0"/>
        <w:textAlignment w:val="auto"/>
        <w:rPr>
          <w:rFonts w:hint="eastAsia" w:ascii="Times New Roman" w:hAnsi="Times New Roman"/>
          <w:sz w:val="24"/>
        </w:rPr>
      </w:pPr>
      <w:r>
        <w:rPr>
          <w:rFonts w:hint="eastAsia" w:ascii="Times New Roman" w:hAnsi="Times New Roman"/>
          <w:sz w:val="24"/>
        </w:rPr>
        <w:t>1.4 维修响应时间</w:t>
      </w:r>
      <w:r>
        <w:rPr>
          <w:rFonts w:hint="eastAsia" w:ascii="Times New Roman" w:hAnsi="Times New Roman"/>
          <w:sz w:val="24"/>
          <w:lang w:eastAsia="zh-CN"/>
        </w:rPr>
        <w:t>：</w:t>
      </w:r>
      <w:r>
        <w:rPr>
          <w:rFonts w:hint="eastAsia" w:ascii="Times New Roman" w:hAnsi="Times New Roman"/>
          <w:color w:val="000000"/>
          <w:sz w:val="24"/>
        </w:rPr>
        <w:t>卖方负责设备终身维修，</w:t>
      </w:r>
      <w:r>
        <w:rPr>
          <w:rFonts w:ascii="Times New Roman" w:hAnsi="Times New Roman"/>
          <w:sz w:val="24"/>
        </w:rPr>
        <w:t>必须在中国大陆有专门的衍射仪维修站及备件库；必须在中国大陆有15个以上专门的衍射仪维修工程师；</w:t>
      </w:r>
      <w:r>
        <w:rPr>
          <w:rFonts w:hint="eastAsia" w:ascii="Times New Roman" w:hAnsi="Times New Roman"/>
          <w:color w:val="000000"/>
          <w:sz w:val="24"/>
        </w:rPr>
        <w:t>在用户提出维修要求后，卖方能在24小时内作出维修响应，2- 4个工作日内到达用户现场进行维修，除需进口仪器配件外，应使仪器恢复正常使用。重大问题或其他无法迅速解决的问题应在一周内解决或提出明确解决方案，否则卖方应赔偿相应损失。</w:t>
      </w:r>
    </w:p>
    <w:p>
      <w:pPr>
        <w:keepNext w:val="0"/>
        <w:keepLines w:val="0"/>
        <w:pageBreakBefore w:val="0"/>
        <w:widowControl w:val="0"/>
        <w:kinsoku/>
        <w:wordWrap/>
        <w:overflowPunct/>
        <w:topLinePunct w:val="0"/>
        <w:autoSpaceDE/>
        <w:autoSpaceDN/>
        <w:bidi w:val="0"/>
        <w:adjustRightInd w:val="0"/>
        <w:snapToGrid w:val="0"/>
        <w:spacing w:line="360" w:lineRule="auto"/>
        <w:ind w:left="0" w:firstLine="0" w:firstLineChars="0"/>
        <w:textAlignment w:val="auto"/>
        <w:rPr>
          <w:rFonts w:hint="eastAsia" w:ascii="Times New Roman" w:hAnsi="Times New Roman"/>
          <w:color w:val="000000"/>
          <w:sz w:val="24"/>
        </w:rPr>
      </w:pPr>
      <w:r>
        <w:rPr>
          <w:rFonts w:hint="eastAsia" w:ascii="Times New Roman" w:hAnsi="Times New Roman"/>
          <w:sz w:val="24"/>
        </w:rPr>
        <w:t xml:space="preserve">1.5 </w:t>
      </w:r>
      <w:r>
        <w:rPr>
          <w:rFonts w:hint="eastAsia" w:ascii="Times New Roman" w:hAnsi="Times New Roman"/>
          <w:color w:val="000000"/>
          <w:sz w:val="24"/>
        </w:rPr>
        <w:t>软件升级：卖方免费向用户提供在硬件许可条件下的软件升级服务。</w:t>
      </w:r>
    </w:p>
    <w:p>
      <w:pPr>
        <w:spacing w:line="360" w:lineRule="auto"/>
        <w:rPr>
          <w:rFonts w:hint="eastAsia"/>
          <w:b/>
          <w:sz w:val="24"/>
        </w:rPr>
      </w:pPr>
    </w:p>
    <w:p>
      <w:pPr>
        <w:spacing w:line="360" w:lineRule="auto"/>
        <w:rPr>
          <w:rFonts w:hint="eastAsia"/>
          <w:b/>
          <w:sz w:val="24"/>
        </w:rPr>
      </w:pPr>
      <w:r>
        <w:rPr>
          <w:rFonts w:hint="eastAsia"/>
          <w:b/>
          <w:sz w:val="24"/>
        </w:rPr>
        <w:t>（三） 订货数量：</w:t>
      </w:r>
    </w:p>
    <w:p>
      <w:pPr>
        <w:spacing w:line="360" w:lineRule="auto"/>
        <w:ind w:firstLine="420" w:firstLineChars="0"/>
        <w:rPr>
          <w:rFonts w:hint="eastAsia"/>
          <w:sz w:val="24"/>
        </w:rPr>
      </w:pPr>
      <w:r>
        <w:rPr>
          <w:rFonts w:hint="eastAsia"/>
          <w:sz w:val="24"/>
        </w:rPr>
        <w:t>一套</w:t>
      </w:r>
    </w:p>
    <w:p>
      <w:pPr>
        <w:spacing w:line="360" w:lineRule="auto"/>
        <w:rPr>
          <w:rFonts w:hint="eastAsia"/>
          <w:b/>
          <w:sz w:val="24"/>
        </w:rPr>
      </w:pPr>
    </w:p>
    <w:p>
      <w:pPr>
        <w:spacing w:line="360" w:lineRule="auto"/>
        <w:rPr>
          <w:rFonts w:hint="eastAsia"/>
          <w:b/>
          <w:sz w:val="24"/>
        </w:rPr>
      </w:pPr>
      <w:r>
        <w:rPr>
          <w:rFonts w:hint="eastAsia"/>
          <w:b/>
          <w:sz w:val="24"/>
        </w:rPr>
        <w:t xml:space="preserve">（四） </w:t>
      </w:r>
      <w:r>
        <w:rPr>
          <w:rFonts w:hint="eastAsia"/>
          <w:b/>
          <w:sz w:val="24"/>
          <w:lang w:val="en-US" w:eastAsia="zh-CN"/>
        </w:rPr>
        <w:t>交货地点</w:t>
      </w:r>
      <w:r>
        <w:rPr>
          <w:rFonts w:hint="eastAsia"/>
          <w:b/>
          <w:sz w:val="24"/>
        </w:rPr>
        <w:t>：</w:t>
      </w:r>
    </w:p>
    <w:p>
      <w:pPr>
        <w:spacing w:line="360" w:lineRule="auto"/>
        <w:ind w:firstLine="420" w:firstLineChars="0"/>
        <w:rPr>
          <w:rFonts w:hint="eastAsia"/>
          <w:sz w:val="24"/>
        </w:rPr>
      </w:pPr>
      <w:r>
        <w:rPr>
          <w:rFonts w:hint="eastAsia"/>
          <w:sz w:val="24"/>
        </w:rPr>
        <w:t>新疆乌鲁木齐市中国科学院新疆理化技术研究所</w:t>
      </w:r>
    </w:p>
    <w:p>
      <w:pPr>
        <w:spacing w:line="360" w:lineRule="auto"/>
        <w:rPr>
          <w:rFonts w:hint="eastAsia"/>
          <w:b/>
          <w:sz w:val="24"/>
        </w:rPr>
      </w:pPr>
    </w:p>
    <w:p>
      <w:pPr>
        <w:spacing w:line="360" w:lineRule="auto"/>
        <w:rPr>
          <w:rFonts w:hint="eastAsia"/>
          <w:b/>
          <w:sz w:val="24"/>
        </w:rPr>
      </w:pPr>
      <w:r>
        <w:rPr>
          <w:rFonts w:hint="eastAsia"/>
          <w:b/>
          <w:sz w:val="24"/>
        </w:rPr>
        <w:t>（五）交货日期：</w:t>
      </w:r>
    </w:p>
    <w:p>
      <w:pPr>
        <w:spacing w:line="360" w:lineRule="auto"/>
        <w:ind w:firstLine="420" w:firstLineChars="0"/>
        <w:rPr>
          <w:rFonts w:hint="eastAsia"/>
          <w:sz w:val="24"/>
        </w:rPr>
      </w:pPr>
      <w:r>
        <w:rPr>
          <w:sz w:val="24"/>
        </w:rPr>
        <w:t>合同生效后</w:t>
      </w:r>
      <w:r>
        <w:rPr>
          <w:rFonts w:hint="eastAsia"/>
          <w:sz w:val="24"/>
        </w:rPr>
        <w:t>4个月内</w:t>
      </w:r>
    </w:p>
    <w:p/>
    <w:sectPr>
      <w:footerReference r:id="rId5" w:type="first"/>
      <w:headerReference r:id="rId3" w:type="default"/>
      <w:footerReference r:id="rId4" w:type="default"/>
      <w:pgSz w:w="11906" w:h="16838"/>
      <w:pgMar w:top="1418" w:right="1418" w:bottom="1418" w:left="1418" w:header="851" w:footer="992" w:gutter="0"/>
      <w:pgNumType w:start="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Bookman Old Style">
    <w:altName w:val="Segoe Print"/>
    <w:panose1 w:val="02050604050505020204"/>
    <w:charset w:val="00"/>
    <w:family w:val="roman"/>
    <w:pitch w:val="default"/>
    <w:sig w:usb0="00000000" w:usb1="00000000" w:usb2="00000000" w:usb3="00000000" w:csb0="0000009F"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pPr>
    <w:r>
      <w:fldChar w:fldCharType="begin"/>
    </w:r>
    <w:r>
      <w:instrText xml:space="preserve">PAGE   \* MERGEFORMAT</w:instrText>
    </w:r>
    <w:r>
      <w:fldChar w:fldCharType="separate"/>
    </w:r>
    <w:r>
      <w:rPr>
        <w:lang w:val="zh-CN"/>
      </w:rPr>
      <w:t>25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both"/>
      <w:rPr>
        <w:rFonts w:hint="eastAsia"/>
      </w:rPr>
    </w:pPr>
    <w:r>
      <w:rPr>
        <w:rFonts w:hint="eastAsia"/>
        <w:i/>
      </w:rPr>
      <w:t>东方国际招标有限责任公司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785B104"/>
    <w:multiLevelType w:val="singleLevel"/>
    <w:tmpl w:val="D785B104"/>
    <w:lvl w:ilvl="0" w:tentative="0">
      <w:start w:val="1"/>
      <w:numFmt w:val="chineseCounting"/>
      <w:suff w:val="nothing"/>
      <w:lvlText w:val="（%1）"/>
      <w:lvlJc w:val="left"/>
      <w:rPr>
        <w:rFonts w:hint="eastAsia"/>
      </w:rPr>
    </w:lvl>
  </w:abstractNum>
  <w:abstractNum w:abstractNumId="1">
    <w:nsid w:val="4E5B42B3"/>
    <w:multiLevelType w:val="multilevel"/>
    <w:tmpl w:val="4E5B42B3"/>
    <w:lvl w:ilvl="0" w:tentative="0">
      <w:start w:val="1"/>
      <w:numFmt w:val="decimal"/>
      <w:lvlText w:val="%1."/>
      <w:lvlJc w:val="left"/>
      <w:pPr>
        <w:tabs>
          <w:tab w:val="left" w:pos="360"/>
        </w:tabs>
        <w:ind w:left="360" w:hanging="36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68F84946"/>
    <w:multiLevelType w:val="multilevel"/>
    <w:tmpl w:val="68F84946"/>
    <w:lvl w:ilvl="0" w:tentative="0">
      <w:start w:val="1"/>
      <w:numFmt w:val="decimal"/>
      <w:lvlText w:val="%1）"/>
      <w:lvlJc w:val="left"/>
      <w:pPr>
        <w:tabs>
          <w:tab w:val="left" w:pos="1896"/>
        </w:tabs>
        <w:ind w:left="1896" w:hanging="396"/>
      </w:pPr>
      <w:rPr>
        <w:rFonts w:hint="eastAsia" w:eastAsia="仿宋_GB2312"/>
        <w:b w:val="0"/>
        <w:i w:val="0"/>
        <w:color w:val="auto"/>
      </w:rPr>
    </w:lvl>
    <w:lvl w:ilvl="1" w:tentative="0">
      <w:start w:val="8"/>
      <w:numFmt w:val="japaneseCounting"/>
      <w:lvlText w:val="第%2章"/>
      <w:lvlJc w:val="left"/>
      <w:pPr>
        <w:tabs>
          <w:tab w:val="left" w:pos="1935"/>
        </w:tabs>
        <w:ind w:left="1935" w:hanging="1515"/>
      </w:pPr>
      <w:rPr>
        <w:rFonts w:hint="default"/>
      </w:rPr>
    </w:lvl>
    <w:lvl w:ilvl="2" w:tentative="0">
      <w:start w:val="1"/>
      <w:numFmt w:val="japaneseCounting"/>
      <w:lvlText w:val="%3、"/>
      <w:lvlJc w:val="left"/>
      <w:pPr>
        <w:tabs>
          <w:tab w:val="left" w:pos="1560"/>
        </w:tabs>
        <w:ind w:left="1560" w:hanging="720"/>
      </w:pPr>
      <w:rPr>
        <w:rFonts w:hint="default"/>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hmODAwMjU3MDZiMTA1ZGNlMWIzYzVhOTM2YjUwNTgifQ=="/>
  </w:docVars>
  <w:rsids>
    <w:rsidRoot w:val="01B574FB"/>
    <w:rsid w:val="01B574FB"/>
    <w:rsid w:val="11986825"/>
    <w:rsid w:val="1AE31ED9"/>
    <w:rsid w:val="1AED4087"/>
    <w:rsid w:val="33B64506"/>
    <w:rsid w:val="4FFE21D9"/>
    <w:rsid w:val="5A8A23F2"/>
    <w:rsid w:val="66C857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Plain Text"/>
    <w:basedOn w:val="1"/>
    <w:qFormat/>
    <w:uiPriority w:val="0"/>
    <w:rPr>
      <w:rFonts w:ascii="宋体" w:hAnsi="Courier New"/>
      <w:szCs w:val="20"/>
    </w:rPr>
  </w:style>
  <w:style w:type="paragraph" w:styleId="3">
    <w:name w:val="footer"/>
    <w:basedOn w:val="1"/>
    <w:qFormat/>
    <w:uiPriority w:val="0"/>
    <w:pPr>
      <w:tabs>
        <w:tab w:val="center" w:pos="4153"/>
        <w:tab w:val="right" w:pos="8306"/>
      </w:tabs>
      <w:snapToGrid w:val="0"/>
      <w:jc w:val="left"/>
    </w:pPr>
    <w:rPr>
      <w:sz w:val="18"/>
      <w:szCs w:val="18"/>
    </w:rPr>
  </w:style>
  <w:style w:type="paragraph" w:styleId="4">
    <w:name w:val="header"/>
    <w:basedOn w:val="1"/>
    <w:qFormat/>
    <w:uiPriority w:val="0"/>
    <w:pPr>
      <w:pBdr>
        <w:bottom w:val="single" w:color="auto" w:sz="6" w:space="1"/>
      </w:pBdr>
      <w:tabs>
        <w:tab w:val="center" w:pos="4153"/>
        <w:tab w:val="right" w:pos="8306"/>
      </w:tabs>
      <w:snapToGrid w:val="0"/>
      <w:jc w:val="center"/>
    </w:pPr>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Office_12.1.0.15990_F1E327BC-269C-435d-A152-05C5408002CA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2023-12-07T05:29:00Z</dcterms:created>
  <dc:creator>godjiao</dc:creator>
  <cp:lastModifiedBy>Administrator</cp:lastModifiedBy>
  <dcterms:modified xsi:type="dcterms:W3CDTF">2023-12-08T03:14:32Z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2052-12.1.0.15990</vt:lpwstr>
  </property>
  <property fmtid="{D5CDD505-2E9C-101B-9397-08002B2CF9AE}" pid="3" name="ICV">
    <vt:lpwstr>77CBB519724D454A8820506746464711_13</vt:lpwstr>
  </property>
</Properties>
</file>