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jc w:val="center"/>
        <w:rPr>
          <w:rFonts w:hint="eastAsia" w:ascii="宋体" w:hAnsi="宋体"/>
          <w:b/>
          <w:sz w:val="24"/>
        </w:rPr>
      </w:pPr>
      <w:bookmarkStart w:id="2" w:name="_GoBack"/>
      <w:bookmarkEnd w:id="2"/>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jc w:val="center"/>
        <w:rPr>
          <w:rFonts w:hint="eastAsia" w:ascii="宋体" w:hAnsi="宋体"/>
          <w:b/>
          <w:sz w:val="24"/>
        </w:rPr>
      </w:pPr>
    </w:p>
    <w:p>
      <w:pPr>
        <w:adjustRightInd w:val="0"/>
        <w:snapToGrid w:val="0"/>
        <w:spacing w:before="936" w:beforeLines="300"/>
        <w:jc w:val="center"/>
        <w:rPr>
          <w:rFonts w:hint="eastAsia" w:ascii="黑体" w:eastAsia="黑体"/>
          <w:b/>
          <w:kern w:val="44"/>
          <w:sz w:val="48"/>
          <w:szCs w:val="20"/>
        </w:rPr>
      </w:pPr>
      <w:r>
        <w:rPr>
          <w:rFonts w:hint="eastAsia" w:ascii="黑体" w:eastAsia="黑体"/>
          <w:b/>
          <w:kern w:val="44"/>
          <w:sz w:val="48"/>
          <w:szCs w:val="20"/>
        </w:rPr>
        <w:t>第八部分  采购需求</w:t>
      </w:r>
      <w:r>
        <w:rPr>
          <w:rFonts w:ascii="黑体" w:eastAsia="黑体"/>
          <w:b/>
          <w:kern w:val="44"/>
          <w:sz w:val="48"/>
          <w:szCs w:val="20"/>
        </w:rPr>
        <w:br w:type="page"/>
      </w:r>
    </w:p>
    <w:p>
      <w:pPr>
        <w:numPr>
          <w:ilvl w:val="2"/>
          <w:numId w:val="1"/>
        </w:numPr>
        <w:adjustRightInd w:val="0"/>
        <w:snapToGrid w:val="0"/>
        <w:jc w:val="center"/>
        <w:rPr>
          <w:rFonts w:hint="eastAsia" w:ascii="宋体" w:hAnsi="宋体"/>
          <w:b/>
          <w:sz w:val="30"/>
          <w:szCs w:val="30"/>
        </w:rPr>
      </w:pPr>
      <w:r>
        <w:rPr>
          <w:rFonts w:hint="eastAsia" w:ascii="宋体" w:hAnsi="宋体"/>
          <w:b/>
          <w:sz w:val="30"/>
          <w:szCs w:val="30"/>
        </w:rPr>
        <w:t>货物需求一览表</w:t>
      </w:r>
    </w:p>
    <w:p>
      <w:pPr>
        <w:adjustRightInd w:val="0"/>
        <w:snapToGrid w:val="0"/>
        <w:jc w:val="center"/>
        <w:rPr>
          <w:rFonts w:hint="eastAsia" w:ascii="宋体" w:hAnsi="宋体"/>
          <w:b/>
          <w:sz w:val="30"/>
          <w:szCs w:val="30"/>
        </w:rPr>
      </w:pPr>
    </w:p>
    <w:tbl>
      <w:tblPr>
        <w:tblStyle w:val="5"/>
        <w:tblW w:w="96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762"/>
        <w:gridCol w:w="2640"/>
        <w:gridCol w:w="635"/>
        <w:gridCol w:w="1320"/>
        <w:gridCol w:w="1765"/>
        <w:gridCol w:w="252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762" w:type="dxa"/>
            <w:noWrap w:val="0"/>
            <w:vAlign w:val="center"/>
          </w:tcPr>
          <w:p>
            <w:pPr>
              <w:jc w:val="center"/>
              <w:rPr>
                <w:rFonts w:ascii="宋体" w:hAnsi="Bookman Old Style"/>
                <w:sz w:val="24"/>
              </w:rPr>
            </w:pPr>
            <w:r>
              <w:rPr>
                <w:rFonts w:hint="eastAsia" w:ascii="宋体" w:hAnsi="Bookman Old Style"/>
                <w:sz w:val="24"/>
              </w:rPr>
              <w:t>包号</w:t>
            </w:r>
          </w:p>
        </w:tc>
        <w:tc>
          <w:tcPr>
            <w:tcW w:w="2640" w:type="dxa"/>
            <w:noWrap w:val="0"/>
            <w:vAlign w:val="center"/>
          </w:tcPr>
          <w:p>
            <w:pPr>
              <w:jc w:val="center"/>
              <w:rPr>
                <w:rFonts w:ascii="宋体" w:hAnsi="Bookman Old Style"/>
                <w:sz w:val="24"/>
              </w:rPr>
            </w:pPr>
            <w:r>
              <w:rPr>
                <w:rFonts w:hint="eastAsia" w:ascii="宋体" w:hAnsi="Bookman Old Style"/>
                <w:sz w:val="24"/>
              </w:rPr>
              <w:t>货物名称</w:t>
            </w:r>
          </w:p>
        </w:tc>
        <w:tc>
          <w:tcPr>
            <w:tcW w:w="635" w:type="dxa"/>
            <w:noWrap w:val="0"/>
            <w:vAlign w:val="center"/>
          </w:tcPr>
          <w:p>
            <w:pPr>
              <w:jc w:val="center"/>
              <w:rPr>
                <w:rFonts w:ascii="宋体" w:hAnsi="Bookman Old Style"/>
                <w:sz w:val="24"/>
              </w:rPr>
            </w:pPr>
            <w:r>
              <w:rPr>
                <w:rFonts w:hint="eastAsia" w:ascii="宋体" w:hAnsi="Bookman Old Style"/>
                <w:sz w:val="24"/>
              </w:rPr>
              <w:t>数量</w:t>
            </w:r>
          </w:p>
        </w:tc>
        <w:tc>
          <w:tcPr>
            <w:tcW w:w="1320" w:type="dxa"/>
            <w:noWrap w:val="0"/>
            <w:vAlign w:val="center"/>
          </w:tcPr>
          <w:p>
            <w:pPr>
              <w:jc w:val="center"/>
              <w:rPr>
                <w:rFonts w:ascii="宋体" w:hAnsi="Bookman Old Style"/>
                <w:sz w:val="24"/>
              </w:rPr>
            </w:pPr>
            <w:r>
              <w:rPr>
                <w:rFonts w:hint="eastAsia" w:ascii="宋体" w:hAnsi="Bookman Old Style"/>
                <w:sz w:val="24"/>
              </w:rPr>
              <w:t>交货期</w:t>
            </w:r>
          </w:p>
        </w:tc>
        <w:tc>
          <w:tcPr>
            <w:tcW w:w="1765" w:type="dxa"/>
            <w:noWrap w:val="0"/>
            <w:vAlign w:val="center"/>
          </w:tcPr>
          <w:p>
            <w:pPr>
              <w:jc w:val="center"/>
              <w:rPr>
                <w:rFonts w:hint="eastAsia" w:ascii="宋体" w:hAnsi="Bookman Old Style"/>
                <w:sz w:val="24"/>
              </w:rPr>
            </w:pPr>
            <w:r>
              <w:rPr>
                <w:rFonts w:hint="eastAsia" w:ascii="宋体" w:hAnsi="Bookman Old Style"/>
                <w:sz w:val="24"/>
              </w:rPr>
              <w:t>指定到货港</w:t>
            </w:r>
          </w:p>
        </w:tc>
        <w:tc>
          <w:tcPr>
            <w:tcW w:w="2520" w:type="dxa"/>
            <w:noWrap w:val="0"/>
            <w:vAlign w:val="center"/>
          </w:tcPr>
          <w:p>
            <w:pPr>
              <w:jc w:val="center"/>
              <w:rPr>
                <w:rFonts w:ascii="宋体" w:hAnsi="Bookman Old Style"/>
                <w:sz w:val="24"/>
                <w:shd w:val="pct10" w:color="auto" w:fill="FFFFFF"/>
              </w:rPr>
            </w:pPr>
            <w:r>
              <w:rPr>
                <w:rFonts w:hint="eastAsia" w:ascii="宋体" w:hAnsi="Bookman Old Style"/>
                <w:sz w:val="24"/>
              </w:rPr>
              <w:t>项目现场（交货地点）</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1</w:t>
            </w:r>
          </w:p>
        </w:tc>
        <w:tc>
          <w:tcPr>
            <w:tcW w:w="2640" w:type="dxa"/>
            <w:noWrap w:val="0"/>
            <w:vAlign w:val="center"/>
          </w:tcPr>
          <w:p>
            <w:pPr>
              <w:jc w:val="center"/>
              <w:rPr>
                <w:rFonts w:hint="eastAsia" w:ascii="Bookman Old Style" w:hAnsi="Bookman Old Style"/>
                <w:sz w:val="24"/>
              </w:rPr>
            </w:pPr>
            <w:r>
              <w:rPr>
                <w:rFonts w:hint="eastAsia" w:ascii="宋体" w:hAnsi="宋体"/>
                <w:sz w:val="24"/>
              </w:rPr>
              <w:t>1</w:t>
            </w:r>
            <w:r>
              <w:rPr>
                <w:rFonts w:ascii="宋体" w:hAnsi="宋体"/>
                <w:sz w:val="24"/>
              </w:rPr>
              <w:t>064nm</w:t>
            </w:r>
            <w:r>
              <w:rPr>
                <w:rFonts w:hint="eastAsia" w:ascii="宋体" w:hAnsi="宋体"/>
                <w:sz w:val="24"/>
              </w:rPr>
              <w:t>高能量低重频皮秒激光器</w:t>
            </w:r>
          </w:p>
        </w:tc>
        <w:tc>
          <w:tcPr>
            <w:tcW w:w="635" w:type="dxa"/>
            <w:noWrap w:val="0"/>
            <w:vAlign w:val="center"/>
          </w:tcPr>
          <w:p>
            <w:pPr>
              <w:jc w:val="center"/>
              <w:rPr>
                <w:rFonts w:hint="eastAsia" w:ascii="宋体" w:hAnsi="Bookman Old Style"/>
                <w:sz w:val="24"/>
              </w:rPr>
            </w:pPr>
            <w:r>
              <w:rPr>
                <w:rFonts w:hint="eastAsia" w:ascii="宋体" w:hAnsi="宋体"/>
                <w:sz w:val="24"/>
              </w:rPr>
              <w:t>1</w:t>
            </w:r>
          </w:p>
        </w:tc>
        <w:tc>
          <w:tcPr>
            <w:tcW w:w="5605" w:type="dxa"/>
            <w:gridSpan w:val="3"/>
            <w:vMerge w:val="restart"/>
            <w:noWrap w:val="0"/>
            <w:vAlign w:val="center"/>
          </w:tcPr>
          <w:p>
            <w:pPr>
              <w:jc w:val="center"/>
              <w:rPr>
                <w:rFonts w:ascii="宋体" w:hAnsi="Bookman Old Style"/>
                <w:sz w:val="24"/>
              </w:rPr>
            </w:pPr>
            <w:r>
              <w:rPr>
                <w:rFonts w:hint="eastAsia" w:ascii="宋体" w:hAnsi="Bookman Old Style"/>
                <w:sz w:val="24"/>
              </w:rPr>
              <w:t>详见采购需求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2</w:t>
            </w:r>
          </w:p>
        </w:tc>
        <w:tc>
          <w:tcPr>
            <w:tcW w:w="2640" w:type="dxa"/>
            <w:noWrap w:val="0"/>
            <w:vAlign w:val="center"/>
          </w:tcPr>
          <w:p>
            <w:pPr>
              <w:jc w:val="center"/>
              <w:rPr>
                <w:rFonts w:hint="eastAsia" w:ascii="Bookman Old Style" w:hAnsi="Bookman Old Style"/>
                <w:sz w:val="24"/>
              </w:rPr>
            </w:pPr>
            <w:r>
              <w:rPr>
                <w:rFonts w:hint="eastAsia" w:ascii="宋体" w:hAnsi="宋体"/>
                <w:sz w:val="24"/>
              </w:rPr>
              <w:t>1</w:t>
            </w:r>
            <w:r>
              <w:rPr>
                <w:rFonts w:ascii="宋体" w:hAnsi="宋体"/>
                <w:sz w:val="24"/>
              </w:rPr>
              <w:t>064nm</w:t>
            </w:r>
            <w:r>
              <w:rPr>
                <w:rFonts w:hint="eastAsia" w:ascii="宋体" w:hAnsi="宋体"/>
                <w:sz w:val="24"/>
              </w:rPr>
              <w:t>高功率高重频皮秒激光器</w:t>
            </w:r>
          </w:p>
        </w:tc>
        <w:tc>
          <w:tcPr>
            <w:tcW w:w="635" w:type="dxa"/>
            <w:noWrap w:val="0"/>
            <w:vAlign w:val="center"/>
          </w:tcPr>
          <w:p>
            <w:pPr>
              <w:jc w:val="center"/>
              <w:rPr>
                <w:rFonts w:hint="eastAsia" w:ascii="宋体" w:hAnsi="Bookman Old Style"/>
                <w:sz w:val="24"/>
              </w:rPr>
            </w:pPr>
            <w:r>
              <w:rPr>
                <w:rFonts w:hint="eastAsia" w:ascii="宋体" w:hAnsi="宋体"/>
                <w:sz w:val="24"/>
              </w:rPr>
              <w:t>1</w:t>
            </w:r>
          </w:p>
        </w:tc>
        <w:tc>
          <w:tcPr>
            <w:tcW w:w="5605" w:type="dxa"/>
            <w:gridSpan w:val="3"/>
            <w:vMerge w:val="continue"/>
            <w:noWrap w:val="0"/>
            <w:vAlign w:val="center"/>
          </w:tcPr>
          <w:p>
            <w:pPr>
              <w:jc w:val="center"/>
              <w:rPr>
                <w:rFonts w:hint="eastAsia" w:ascii="宋体" w:hAnsi="Bookman Old Style"/>
                <w:sz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762" w:type="dxa"/>
            <w:noWrap w:val="0"/>
            <w:vAlign w:val="center"/>
          </w:tcPr>
          <w:p>
            <w:pPr>
              <w:jc w:val="center"/>
              <w:rPr>
                <w:rFonts w:hint="eastAsia" w:ascii="宋体"/>
                <w:sz w:val="24"/>
              </w:rPr>
            </w:pPr>
            <w:r>
              <w:rPr>
                <w:rFonts w:hint="eastAsia" w:ascii="宋体"/>
                <w:sz w:val="24"/>
              </w:rPr>
              <w:t>3</w:t>
            </w:r>
          </w:p>
        </w:tc>
        <w:tc>
          <w:tcPr>
            <w:tcW w:w="2640" w:type="dxa"/>
            <w:noWrap w:val="0"/>
            <w:vAlign w:val="center"/>
          </w:tcPr>
          <w:p>
            <w:pPr>
              <w:jc w:val="center"/>
              <w:rPr>
                <w:rFonts w:hint="eastAsia" w:ascii="Bookman Old Style" w:hAnsi="Bookman Old Style"/>
                <w:sz w:val="24"/>
              </w:rPr>
            </w:pPr>
            <w:r>
              <w:rPr>
                <w:rFonts w:ascii="宋体" w:hAnsi="宋体"/>
                <w:sz w:val="24"/>
              </w:rPr>
              <w:t>527nm</w:t>
            </w:r>
            <w:r>
              <w:rPr>
                <w:rFonts w:hint="eastAsia" w:ascii="宋体" w:hAnsi="宋体"/>
                <w:sz w:val="24"/>
              </w:rPr>
              <w:t>高功率纳秒激光器</w:t>
            </w:r>
          </w:p>
        </w:tc>
        <w:tc>
          <w:tcPr>
            <w:tcW w:w="635" w:type="dxa"/>
            <w:noWrap w:val="0"/>
            <w:vAlign w:val="center"/>
          </w:tcPr>
          <w:p>
            <w:pPr>
              <w:jc w:val="center"/>
              <w:rPr>
                <w:rFonts w:hint="eastAsia" w:ascii="宋体" w:hAnsi="Bookman Old Style"/>
                <w:sz w:val="24"/>
              </w:rPr>
            </w:pPr>
            <w:r>
              <w:rPr>
                <w:rFonts w:hint="eastAsia" w:ascii="宋体" w:hAnsi="宋体"/>
                <w:sz w:val="24"/>
              </w:rPr>
              <w:t>1</w:t>
            </w:r>
          </w:p>
        </w:tc>
        <w:tc>
          <w:tcPr>
            <w:tcW w:w="5605" w:type="dxa"/>
            <w:gridSpan w:val="3"/>
            <w:vMerge w:val="continue"/>
            <w:noWrap w:val="0"/>
            <w:vAlign w:val="center"/>
          </w:tcPr>
          <w:p>
            <w:pPr>
              <w:jc w:val="center"/>
              <w:rPr>
                <w:rFonts w:hint="eastAsia" w:ascii="宋体" w:hAnsi="Bookman Old Style"/>
                <w:sz w:val="24"/>
              </w:rPr>
            </w:pPr>
          </w:p>
        </w:tc>
      </w:tr>
    </w:tbl>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adjustRightInd w:val="0"/>
        <w:snapToGrid w:val="0"/>
        <w:jc w:val="center"/>
        <w:rPr>
          <w:rFonts w:hint="eastAsia" w:ascii="宋体" w:hAnsi="宋体"/>
          <w:b/>
          <w:sz w:val="30"/>
          <w:szCs w:val="30"/>
        </w:rPr>
      </w:pPr>
    </w:p>
    <w:p>
      <w:pPr>
        <w:rPr>
          <w:rFonts w:hint="eastAsia" w:ascii="Bookman Old Style" w:hAnsi="Bookman Old Style"/>
          <w:sz w:val="24"/>
        </w:rPr>
      </w:pPr>
      <w:r>
        <w:rPr>
          <w:rFonts w:hint="eastAsia"/>
          <w:sz w:val="24"/>
        </w:rPr>
        <w:t>注：投标人须对上述投标内容中完整的一包或几包进行投标，</w:t>
      </w:r>
      <w:r>
        <w:rPr>
          <w:rFonts w:hint="eastAsia" w:ascii="Bookman Old Style" w:hAnsi="Bookman Old Style"/>
          <w:sz w:val="24"/>
        </w:rPr>
        <w:t>不完整的投标将视为非响应性投标予以拒绝。</w:t>
      </w: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adjustRightInd w:val="0"/>
        <w:snapToGrid w:val="0"/>
        <w:rPr>
          <w:rFonts w:hint="eastAsia" w:ascii="宋体" w:hAnsi="宋体"/>
          <w:szCs w:val="21"/>
        </w:rPr>
      </w:pPr>
    </w:p>
    <w:p>
      <w:pPr>
        <w:tabs>
          <w:tab w:val="left" w:pos="720"/>
        </w:tabs>
        <w:adjustRightInd w:val="0"/>
        <w:snapToGrid w:val="0"/>
        <w:jc w:val="center"/>
        <w:rPr>
          <w:rFonts w:hint="eastAsia" w:hAnsi="宋体"/>
          <w:b/>
          <w:sz w:val="24"/>
        </w:rPr>
      </w:pPr>
      <w:r>
        <w:rPr>
          <w:rFonts w:ascii="宋体" w:hAnsi="宋体"/>
          <w:b/>
          <w:sz w:val="30"/>
          <w:szCs w:val="30"/>
        </w:rPr>
        <w:br w:type="page"/>
      </w:r>
      <w:r>
        <w:rPr>
          <w:rFonts w:hint="eastAsia" w:ascii="宋体" w:hAnsi="宋体"/>
          <w:b/>
          <w:sz w:val="30"/>
          <w:szCs w:val="30"/>
        </w:rPr>
        <w:t>二、总则</w:t>
      </w:r>
    </w:p>
    <w:p>
      <w:pPr>
        <w:spacing w:before="156" w:beforeLines="50" w:after="156" w:afterLines="50" w:line="360" w:lineRule="auto"/>
        <w:ind w:left="601" w:hanging="601"/>
        <w:rPr>
          <w:rFonts w:ascii="宋体" w:hAnsi="宋体"/>
          <w:b/>
          <w:sz w:val="28"/>
        </w:rPr>
      </w:pPr>
      <w:r>
        <w:rPr>
          <w:rFonts w:ascii="宋体" w:hAnsi="宋体"/>
          <w:b/>
          <w:sz w:val="28"/>
        </w:rPr>
        <w:t>1</w:t>
      </w:r>
      <w:r>
        <w:rPr>
          <w:rFonts w:hint="eastAsia" w:ascii="宋体" w:hAnsi="宋体"/>
          <w:b/>
          <w:sz w:val="28"/>
        </w:rPr>
        <w:t>、投标要求</w:t>
      </w:r>
    </w:p>
    <w:p>
      <w:pPr>
        <w:spacing w:line="360" w:lineRule="auto"/>
        <w:ind w:left="554" w:hanging="554" w:hangingChars="231"/>
        <w:rPr>
          <w:rFonts w:hint="eastAsia" w:ascii="宋体" w:hAnsi="宋体"/>
          <w:sz w:val="24"/>
        </w:rPr>
      </w:pPr>
      <w:r>
        <w:rPr>
          <w:rFonts w:ascii="宋体" w:hAnsi="宋体"/>
          <w:sz w:val="24"/>
        </w:rPr>
        <w:t xml:space="preserve">1.1 </w:t>
      </w:r>
      <w:r>
        <w:rPr>
          <w:rFonts w:hint="eastAsia" w:ascii="宋体" w:hAnsi="宋体"/>
          <w:sz w:val="24"/>
        </w:rPr>
        <w:t xml:space="preserve"> 投标人在准备投标书时，务必在所提供的商品的技术规格文件中，标明型号、商标名称、目录号。</w:t>
      </w:r>
    </w:p>
    <w:p>
      <w:pPr>
        <w:spacing w:line="360" w:lineRule="auto"/>
        <w:ind w:left="554" w:hanging="554" w:hangingChars="231"/>
        <w:rPr>
          <w:rFonts w:hint="eastAsia" w:ascii="宋体" w:hAnsi="宋体"/>
          <w:sz w:val="24"/>
        </w:rPr>
      </w:pPr>
      <w:r>
        <w:rPr>
          <w:rFonts w:hint="eastAsia" w:ascii="宋体" w:hAnsi="宋体"/>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pPr>
        <w:spacing w:line="360" w:lineRule="auto"/>
        <w:ind w:left="554" w:hanging="554" w:hangingChars="231"/>
        <w:rPr>
          <w:rFonts w:hint="eastAsia" w:ascii="宋体"/>
          <w:sz w:val="24"/>
        </w:rPr>
      </w:pPr>
      <w:r>
        <w:rPr>
          <w:rFonts w:hint="eastAsia" w:ascii="宋体" w:hAnsi="宋体"/>
          <w:sz w:val="24"/>
        </w:rPr>
        <w:t xml:space="preserve">1.3  </w:t>
      </w:r>
      <w:r>
        <w:rPr>
          <w:rFonts w:hint="eastAsia"/>
          <w:sz w:val="24"/>
        </w:rPr>
        <w:t>投标人提供的</w:t>
      </w:r>
      <w:r>
        <w:rPr>
          <w:rFonts w:hint="eastAsia" w:ascii="宋体"/>
          <w:sz w:val="24"/>
        </w:rPr>
        <w:t>产品</w:t>
      </w:r>
      <w:r>
        <w:rPr>
          <w:rFonts w:hint="eastAsia"/>
          <w:sz w:val="24"/>
        </w:rPr>
        <w:t>样本，必须是“原件”而非复印件，</w:t>
      </w:r>
      <w:r>
        <w:rPr>
          <w:rFonts w:hint="eastAsia" w:ascii="宋体"/>
          <w:sz w:val="24"/>
        </w:rPr>
        <w:t>图表、简图、电路图以及印刷电路板图等都应</w:t>
      </w:r>
      <w:r>
        <w:rPr>
          <w:rFonts w:hint="eastAsia"/>
          <w:sz w:val="24"/>
        </w:rPr>
        <w:t>清晰易读。买方有权</w:t>
      </w:r>
      <w:r>
        <w:rPr>
          <w:rFonts w:hint="eastAsia" w:ascii="宋体"/>
          <w:sz w:val="24"/>
        </w:rPr>
        <w:t>不付任何附加费用</w:t>
      </w:r>
      <w:r>
        <w:rPr>
          <w:rFonts w:hint="eastAsia"/>
          <w:sz w:val="24"/>
        </w:rPr>
        <w:t>复制这些资料</w:t>
      </w:r>
      <w:r>
        <w:rPr>
          <w:rFonts w:hint="eastAsia" w:ascii="宋体"/>
          <w:sz w:val="24"/>
        </w:rPr>
        <w:t>以供参考。</w:t>
      </w:r>
    </w:p>
    <w:p>
      <w:pPr>
        <w:spacing w:line="360" w:lineRule="auto"/>
        <w:ind w:left="554" w:hanging="554" w:hangingChars="231"/>
        <w:rPr>
          <w:rFonts w:hint="eastAsia" w:ascii="宋体"/>
          <w:sz w:val="24"/>
        </w:rPr>
      </w:pPr>
      <w:r>
        <w:rPr>
          <w:rFonts w:hint="eastAsia" w:ascii="宋体"/>
          <w:sz w:val="24"/>
        </w:rPr>
        <w:t>1.4  投标人的投标产品应符合国家有关部门规定的相应技术、节能、安全和环保标准；如国家有关部门对投标人的投标产品有强制性规定或要求的，则投标人的投标产品必须符合相应规定或要求。</w:t>
      </w:r>
    </w:p>
    <w:p>
      <w:pPr>
        <w:spacing w:before="156" w:beforeLines="50" w:after="156" w:afterLines="50" w:line="360" w:lineRule="auto"/>
        <w:ind w:left="601" w:hanging="601"/>
        <w:rPr>
          <w:rFonts w:ascii="宋体" w:hAnsi="宋体"/>
          <w:b/>
          <w:sz w:val="28"/>
        </w:rPr>
      </w:pPr>
      <w:r>
        <w:rPr>
          <w:rFonts w:hint="eastAsia" w:ascii="宋体" w:hAnsi="宋体"/>
          <w:b/>
          <w:sz w:val="28"/>
        </w:rPr>
        <w:t>2、评标标准</w:t>
      </w:r>
    </w:p>
    <w:p>
      <w:pPr>
        <w:spacing w:line="360" w:lineRule="auto"/>
        <w:ind w:left="554" w:hanging="554" w:hangingChars="231"/>
        <w:rPr>
          <w:rFonts w:hint="eastAsia" w:ascii="宋体"/>
          <w:sz w:val="24"/>
        </w:rPr>
      </w:pPr>
      <w:r>
        <w:rPr>
          <w:rFonts w:ascii="宋体" w:hAnsi="宋体"/>
          <w:sz w:val="24"/>
        </w:rPr>
        <w:t>2.</w:t>
      </w:r>
      <w:r>
        <w:rPr>
          <w:rFonts w:hint="eastAsia" w:ascii="宋体" w:hAnsi="宋体"/>
          <w:sz w:val="24"/>
        </w:rPr>
        <w:t xml:space="preserve">1  </w:t>
      </w:r>
      <w:r>
        <w:rPr>
          <w:rFonts w:hint="eastAsia"/>
          <w:sz w:val="24"/>
        </w:rPr>
        <w:t>除招标文件中指定的附件和专用工具外，</w:t>
      </w:r>
      <w:r>
        <w:rPr>
          <w:rFonts w:hint="eastAsia" w:ascii="宋体"/>
          <w:sz w:val="24"/>
        </w:rPr>
        <w:t>投标人应提供仪器设备的正常运行和常规保养所需的全套标准附件、专用工具</w:t>
      </w:r>
      <w:r>
        <w:rPr>
          <w:rFonts w:hint="eastAsia"/>
          <w:sz w:val="24"/>
        </w:rPr>
        <w:t>和消耗品</w:t>
      </w:r>
      <w:r>
        <w:rPr>
          <w:rFonts w:hint="eastAsia" w:ascii="宋体"/>
          <w:sz w:val="24"/>
        </w:rPr>
        <w:t>。投标人在投标书中需列出这些附件和工具的数量和单价的清单，这些附件和工具的报价的总值需计入投标价中。</w:t>
      </w:r>
    </w:p>
    <w:p>
      <w:pPr>
        <w:spacing w:line="360" w:lineRule="auto"/>
        <w:ind w:left="554" w:hanging="554" w:hangingChars="231"/>
        <w:rPr>
          <w:rFonts w:hint="eastAsia"/>
          <w:sz w:val="24"/>
        </w:rPr>
      </w:pPr>
      <w:r>
        <w:rPr>
          <w:rFonts w:hint="eastAsia" w:ascii="宋体" w:hAnsi="宋体"/>
          <w:sz w:val="24"/>
        </w:rPr>
        <w:t xml:space="preserve">2.2  </w:t>
      </w:r>
      <w:r>
        <w:rPr>
          <w:rFonts w:hint="eastAsia"/>
          <w:sz w:val="24"/>
        </w:rPr>
        <w:t>对于标书</w:t>
      </w:r>
      <w:r>
        <w:rPr>
          <w:rFonts w:hint="eastAsia" w:ascii="宋体"/>
          <w:sz w:val="24"/>
        </w:rPr>
        <w:t>技术规范中已列</w:t>
      </w:r>
      <w:r>
        <w:rPr>
          <w:rFonts w:hint="eastAsia"/>
          <w:sz w:val="24"/>
        </w:rPr>
        <w:t>出的作为查询选件的附件、零配件、专用工具和消耗品，投标书中</w:t>
      </w:r>
      <w:r>
        <w:rPr>
          <w:rFonts w:hint="eastAsia" w:ascii="宋体"/>
          <w:sz w:val="24"/>
        </w:rPr>
        <w:t>应列明其数量、单价、总价供买方参考。投标人也可推荐买方没有要求的附件或专用工具作为选件，并列明其数量、单价、总价供买方参考。选件价格不计入评标价中。</w:t>
      </w:r>
      <w:r>
        <w:rPr>
          <w:rFonts w:hint="eastAsia"/>
          <w:sz w:val="24"/>
        </w:rPr>
        <w:t>选件一旦为用户接受，其费用将加入合同价中。</w:t>
      </w:r>
    </w:p>
    <w:p>
      <w:pPr>
        <w:spacing w:line="360" w:lineRule="auto"/>
        <w:ind w:left="554" w:hanging="554" w:hangingChars="231"/>
        <w:rPr>
          <w:rFonts w:hint="eastAsia" w:ascii="宋体" w:hAnsi="宋体"/>
          <w:sz w:val="24"/>
        </w:rPr>
      </w:pPr>
      <w:r>
        <w:rPr>
          <w:rFonts w:hint="eastAsia" w:ascii="宋体" w:hAnsi="宋体"/>
          <w:sz w:val="24"/>
        </w:rPr>
        <w:t>2.3  为便于用户进行接收仪器的准备工作，卖方应在合同生效后</w:t>
      </w:r>
      <w:r>
        <w:rPr>
          <w:rFonts w:hint="eastAsia" w:ascii="宋体" w:hAnsi="宋体"/>
          <w:b/>
          <w:sz w:val="24"/>
        </w:rPr>
        <w:t>60</w:t>
      </w:r>
      <w:r>
        <w:rPr>
          <w:rFonts w:hint="eastAsia" w:ascii="宋体" w:hAnsi="宋体"/>
          <w:sz w:val="24"/>
        </w:rPr>
        <w:t>天内向用户提供一套完整的使用说明书、操作手册、维修及安装说明等文件。另一套完整上述资料应在交货时随货包装提供给用户，这些费用应计入投标价中。</w:t>
      </w:r>
    </w:p>
    <w:p>
      <w:pPr>
        <w:spacing w:line="360" w:lineRule="auto"/>
        <w:ind w:left="554" w:hanging="554" w:hangingChars="231"/>
        <w:rPr>
          <w:rFonts w:hint="eastAsia" w:ascii="宋体" w:hAnsi="宋体"/>
          <w:sz w:val="24"/>
        </w:rPr>
      </w:pPr>
      <w:r>
        <w:rPr>
          <w:rFonts w:hint="eastAsia" w:ascii="宋体" w:hAnsi="宋体"/>
          <w:sz w:val="24"/>
        </w:rPr>
        <w:t>2</w:t>
      </w:r>
      <w:r>
        <w:rPr>
          <w:rFonts w:ascii="宋体" w:hAnsi="宋体"/>
          <w:sz w:val="24"/>
        </w:rPr>
        <w:t>.</w:t>
      </w:r>
      <w:r>
        <w:rPr>
          <w:rFonts w:hint="eastAsia" w:ascii="宋体" w:hAnsi="宋体"/>
          <w:sz w:val="24"/>
        </w:rPr>
        <w:t>4</w:t>
      </w:r>
      <w:r>
        <w:rPr>
          <w:rFonts w:ascii="宋体" w:hAnsi="宋体"/>
          <w:sz w:val="24"/>
        </w:rPr>
        <w:t xml:space="preserve"> </w:t>
      </w:r>
      <w:r>
        <w:rPr>
          <w:rFonts w:hint="eastAsia" w:ascii="宋体" w:hAnsi="宋体"/>
          <w:sz w:val="24"/>
        </w:rPr>
        <w:t xml:space="preserve"> 关于设备的安装调试，如果有必要的安装准备条件，卖方应在合同生效后一个月内向买方提出详细的要求或计划。安装调试的费用应计入投标价中，并应单独列出，供评标使用。</w:t>
      </w:r>
    </w:p>
    <w:p>
      <w:pPr>
        <w:spacing w:line="360" w:lineRule="auto"/>
        <w:ind w:left="554" w:hanging="554" w:hangingChars="231"/>
        <w:rPr>
          <w:rFonts w:ascii="宋体" w:hAnsi="宋体"/>
          <w:sz w:val="24"/>
        </w:rPr>
      </w:pPr>
      <w:r>
        <w:rPr>
          <w:rFonts w:ascii="宋体" w:hAnsi="宋体"/>
          <w:sz w:val="24"/>
        </w:rPr>
        <w:t>2.</w:t>
      </w:r>
      <w:r>
        <w:rPr>
          <w:rFonts w:hint="eastAsia" w:ascii="宋体" w:hAnsi="宋体"/>
          <w:sz w:val="24"/>
        </w:rPr>
        <w:t>5  制造厂家提供的培训指的是涉及货物的基本原理、操作使用和保养维修等有关内容的培训。培训教员的培训费、旅费、食宿费等费用和培训场地费及培训资料费均应由卖方支付。</w:t>
      </w:r>
    </w:p>
    <w:p>
      <w:pPr>
        <w:spacing w:before="156" w:beforeLines="50" w:after="156" w:afterLines="50" w:line="360" w:lineRule="auto"/>
        <w:ind w:left="601" w:hanging="601"/>
        <w:rPr>
          <w:rFonts w:hint="eastAsia" w:ascii="宋体" w:hAnsi="宋体"/>
          <w:b/>
          <w:sz w:val="28"/>
        </w:rPr>
      </w:pPr>
      <w:r>
        <w:rPr>
          <w:rFonts w:hint="eastAsia" w:ascii="宋体" w:hAnsi="宋体"/>
          <w:b/>
          <w:sz w:val="28"/>
        </w:rPr>
        <w:t>3、工作条件</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除非在技术规格中另有说明，所有仪器、设备和系统都应符合下列要求：</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3.1  适于在气温为摄氏</w:t>
      </w:r>
      <w:r>
        <w:rPr>
          <w:rFonts w:ascii="宋体" w:hAnsi="宋体"/>
          <w:b/>
          <w:sz w:val="24"/>
        </w:rPr>
        <w:t>-40</w:t>
      </w:r>
      <w:r>
        <w:rPr>
          <w:rFonts w:hint="eastAsia" w:ascii="宋体" w:hAnsi="宋体"/>
          <w:b/>
          <w:sz w:val="24"/>
        </w:rPr>
        <w:t>℃～＋</w:t>
      </w:r>
      <w:r>
        <w:rPr>
          <w:rFonts w:ascii="宋体" w:hAnsi="宋体"/>
          <w:b/>
          <w:sz w:val="24"/>
        </w:rPr>
        <w:t>50</w:t>
      </w:r>
      <w:r>
        <w:rPr>
          <w:rFonts w:hint="eastAsia" w:ascii="宋体" w:hAnsi="宋体"/>
          <w:b/>
          <w:sz w:val="24"/>
        </w:rPr>
        <w:t>℃</w:t>
      </w:r>
      <w:r>
        <w:rPr>
          <w:rFonts w:hint="eastAsia" w:ascii="宋体" w:hAnsi="宋体"/>
          <w:sz w:val="24"/>
        </w:rPr>
        <w:t>和相对湿度为</w:t>
      </w:r>
      <w:r>
        <w:rPr>
          <w:rFonts w:ascii="宋体" w:hAnsi="宋体"/>
          <w:b/>
          <w:sz w:val="24"/>
        </w:rPr>
        <w:t>90</w:t>
      </w:r>
      <w:r>
        <w:rPr>
          <w:rFonts w:hint="eastAsia" w:ascii="宋体" w:hAnsi="宋体"/>
          <w:b/>
          <w:sz w:val="24"/>
        </w:rPr>
        <w:t>％</w:t>
      </w:r>
      <w:r>
        <w:rPr>
          <w:rFonts w:hint="eastAsia" w:ascii="宋体" w:hAnsi="宋体"/>
          <w:sz w:val="24"/>
        </w:rPr>
        <w:t>的环境条件下运输和贮存。</w:t>
      </w:r>
    </w:p>
    <w:p>
      <w:pPr>
        <w:spacing w:line="360" w:lineRule="auto"/>
        <w:ind w:left="554" w:hanging="554" w:hangingChars="231"/>
        <w:rPr>
          <w:rFonts w:hint="eastAsia" w:ascii="宋体" w:hAnsi="宋体"/>
          <w:sz w:val="24"/>
        </w:rPr>
      </w:pPr>
      <w:r>
        <w:rPr>
          <w:rFonts w:hint="eastAsia" w:ascii="宋体" w:hAnsi="宋体"/>
          <w:sz w:val="24"/>
        </w:rPr>
        <w:t>3.2  适于在电源</w:t>
      </w:r>
      <w:r>
        <w:rPr>
          <w:rFonts w:ascii="宋体" w:hAnsi="宋体"/>
          <w:b/>
          <w:sz w:val="24"/>
        </w:rPr>
        <w:t>220V</w:t>
      </w:r>
      <w:r>
        <w:rPr>
          <w:rFonts w:hint="eastAsia" w:ascii="宋体" w:hAnsi="宋体"/>
          <w:b/>
          <w:sz w:val="24"/>
        </w:rPr>
        <w:t>（</w:t>
      </w:r>
      <w:r>
        <w:rPr>
          <w:rFonts w:ascii="宋体" w:hAnsi="宋体"/>
          <w:b/>
          <w:sz w:val="24"/>
        </w:rPr>
        <w:sym w:font="Symbol" w:char="F0B1"/>
      </w:r>
      <w:r>
        <w:rPr>
          <w:rFonts w:ascii="宋体" w:hAnsi="宋体"/>
          <w:b/>
          <w:sz w:val="24"/>
        </w:rPr>
        <w:t>10</w:t>
      </w:r>
      <w:r>
        <w:rPr>
          <w:rFonts w:hint="eastAsia" w:ascii="宋体" w:hAnsi="宋体"/>
          <w:b/>
          <w:sz w:val="24"/>
        </w:rPr>
        <w:t>％）</w:t>
      </w:r>
      <w:r>
        <w:rPr>
          <w:rFonts w:ascii="宋体" w:hAnsi="宋体"/>
          <w:b/>
          <w:sz w:val="24"/>
        </w:rPr>
        <w:t>/50Hz</w:t>
      </w:r>
      <w:r>
        <w:rPr>
          <w:rFonts w:hint="eastAsia" w:ascii="宋体" w:hAnsi="宋体"/>
          <w:sz w:val="24"/>
        </w:rPr>
        <w:t>、气温摄氏</w:t>
      </w:r>
      <w:r>
        <w:rPr>
          <w:rFonts w:hint="eastAsia" w:ascii="宋体" w:hAnsi="宋体"/>
          <w:b/>
          <w:sz w:val="24"/>
        </w:rPr>
        <w:t>+1</w:t>
      </w:r>
      <w:r>
        <w:rPr>
          <w:rFonts w:ascii="宋体" w:hAnsi="宋体"/>
          <w:b/>
          <w:sz w:val="24"/>
        </w:rPr>
        <w:t>5</w:t>
      </w:r>
      <w:r>
        <w:rPr>
          <w:rFonts w:hint="eastAsia" w:ascii="宋体" w:hAnsi="宋体"/>
          <w:b/>
          <w:sz w:val="24"/>
        </w:rPr>
        <w:t>℃～＋3</w:t>
      </w:r>
      <w:r>
        <w:rPr>
          <w:rFonts w:ascii="宋体" w:hAnsi="宋体"/>
          <w:b/>
          <w:sz w:val="24"/>
        </w:rPr>
        <w:t>0</w:t>
      </w:r>
      <w:r>
        <w:rPr>
          <w:rFonts w:hint="eastAsia" w:ascii="宋体" w:hAnsi="宋体"/>
          <w:b/>
          <w:sz w:val="24"/>
        </w:rPr>
        <w:t>℃</w:t>
      </w:r>
      <w:r>
        <w:rPr>
          <w:rFonts w:hint="eastAsia" w:ascii="宋体" w:hAnsi="宋体"/>
          <w:sz w:val="24"/>
        </w:rPr>
        <w:t>和相对湿度小于</w:t>
      </w:r>
      <w:r>
        <w:rPr>
          <w:rFonts w:ascii="宋体" w:hAnsi="宋体"/>
          <w:b/>
          <w:sz w:val="24"/>
        </w:rPr>
        <w:t>8</w:t>
      </w:r>
      <w:r>
        <w:rPr>
          <w:rFonts w:hint="eastAsia" w:ascii="宋体" w:hAnsi="宋体"/>
          <w:b/>
          <w:sz w:val="24"/>
        </w:rPr>
        <w:t>0％</w:t>
      </w:r>
      <w:r>
        <w:rPr>
          <w:rFonts w:hint="eastAsia" w:ascii="宋体" w:hAnsi="宋体"/>
          <w:sz w:val="24"/>
        </w:rPr>
        <w:t>的环境条件下运行。</w:t>
      </w:r>
      <w:r>
        <w:rPr>
          <w:rFonts w:hint="eastAsia" w:ascii="宋体" w:hAnsi="宋体"/>
          <w:b/>
          <w:sz w:val="24"/>
        </w:rPr>
        <w:t>能够连续正常工作。</w:t>
      </w:r>
    </w:p>
    <w:p>
      <w:pPr>
        <w:spacing w:line="360" w:lineRule="auto"/>
        <w:ind w:left="554" w:hanging="554" w:hangingChars="231"/>
        <w:rPr>
          <w:rFonts w:hint="eastAsia" w:ascii="宋体" w:hAnsi="宋体"/>
          <w:sz w:val="24"/>
        </w:rPr>
      </w:pPr>
      <w:r>
        <w:rPr>
          <w:rFonts w:hint="eastAsia" w:ascii="宋体" w:hAnsi="宋体"/>
          <w:sz w:val="24"/>
        </w:rPr>
        <w:t>3.3  配置符合中国有关标准要求的插头，如果没有这样的插头，则需</w:t>
      </w:r>
      <w:r>
        <w:rPr>
          <w:rFonts w:hint="eastAsia" w:ascii="宋体"/>
          <w:sz w:val="24"/>
        </w:rPr>
        <w:t>提供适当的转</w:t>
      </w:r>
      <w:r>
        <w:rPr>
          <w:rFonts w:hint="eastAsia" w:ascii="宋体" w:hAnsi="宋体"/>
          <w:sz w:val="24"/>
        </w:rPr>
        <w:t>换插座。</w:t>
      </w:r>
    </w:p>
    <w:p>
      <w:pPr>
        <w:spacing w:line="360" w:lineRule="auto"/>
        <w:ind w:left="554" w:hanging="554" w:hangingChars="231"/>
        <w:rPr>
          <w:rFonts w:hint="eastAsia" w:ascii="宋体" w:hAnsi="宋体"/>
          <w:sz w:val="24"/>
        </w:rPr>
      </w:pPr>
      <w:r>
        <w:rPr>
          <w:rFonts w:hint="eastAsia" w:ascii="宋体" w:hAnsi="宋体"/>
          <w:sz w:val="24"/>
        </w:rPr>
        <w:t>3.4  如产品达不到上述要求，投标人应注明其偏差。如仪器设备需要特殊工作条件（如水、电源、磁场强度、温度、湿度、动强度等）投标人应在投标书中加以说明。</w:t>
      </w:r>
    </w:p>
    <w:p>
      <w:pPr>
        <w:rPr>
          <w:rFonts w:hint="eastAsia" w:eastAsia="黑体"/>
          <w:b/>
          <w:bCs/>
          <w:kern w:val="44"/>
          <w:sz w:val="24"/>
        </w:rPr>
      </w:pPr>
    </w:p>
    <w:p>
      <w:pPr>
        <w:spacing w:before="156" w:beforeLines="50" w:after="156" w:afterLines="50" w:line="360" w:lineRule="auto"/>
        <w:ind w:left="601" w:hanging="601"/>
        <w:rPr>
          <w:rFonts w:hint="eastAsia" w:ascii="宋体" w:hAnsi="宋体"/>
          <w:b/>
          <w:sz w:val="28"/>
        </w:rPr>
      </w:pPr>
      <w:r>
        <w:rPr>
          <w:rFonts w:hint="eastAsia" w:ascii="宋体" w:hAnsi="宋体"/>
          <w:b/>
          <w:sz w:val="28"/>
        </w:rPr>
        <w:t>4、验收标准</w:t>
      </w:r>
    </w:p>
    <w:p>
      <w:pPr>
        <w:spacing w:after="312" w:afterLines="100" w:line="360" w:lineRule="auto"/>
        <w:rPr>
          <w:rFonts w:hint="eastAsia" w:ascii="宋体" w:hAnsi="宋体"/>
          <w:sz w:val="24"/>
        </w:rPr>
      </w:pPr>
      <w:r>
        <w:rPr>
          <w:rFonts w:hint="eastAsia" w:ascii="宋体" w:hAnsi="宋体"/>
          <w:sz w:val="24"/>
        </w:rPr>
        <w:t>除非在技术规格中另有说明，所有仪器、设备和系统按下列要求进行验收：</w:t>
      </w:r>
      <w:r>
        <w:rPr>
          <w:rFonts w:ascii="宋体" w:hAnsi="宋体"/>
          <w:sz w:val="24"/>
        </w:rPr>
        <w:t xml:space="preserve"> </w:t>
      </w:r>
    </w:p>
    <w:p>
      <w:pPr>
        <w:spacing w:line="360" w:lineRule="auto"/>
        <w:ind w:left="554" w:hanging="554" w:hangingChars="231"/>
        <w:rPr>
          <w:rFonts w:hint="eastAsia" w:ascii="宋体" w:hAnsi="宋体"/>
          <w:sz w:val="24"/>
        </w:rPr>
      </w:pPr>
      <w:r>
        <w:rPr>
          <w:rFonts w:hint="eastAsia" w:ascii="宋体" w:hAnsi="宋体"/>
          <w:sz w:val="24"/>
        </w:rPr>
        <w:t>4.1  仪器设备运抵安装现场后，买方将与卖方共同开箱验收</w:t>
      </w:r>
      <w:r>
        <w:rPr>
          <w:rFonts w:ascii="宋体" w:hAnsi="宋体"/>
          <w:sz w:val="24"/>
        </w:rPr>
        <w:t xml:space="preserve">, </w:t>
      </w:r>
      <w:r>
        <w:rPr>
          <w:rFonts w:hint="eastAsia" w:ascii="宋体" w:hAnsi="宋体"/>
          <w:sz w:val="24"/>
        </w:rPr>
        <w:t>如卖方届时不派人来</w:t>
      </w:r>
      <w:r>
        <w:rPr>
          <w:rFonts w:ascii="宋体" w:hAnsi="宋体"/>
          <w:sz w:val="24"/>
        </w:rPr>
        <w:t xml:space="preserve">, </w:t>
      </w:r>
      <w:r>
        <w:rPr>
          <w:rFonts w:hint="eastAsia" w:ascii="宋体" w:hAnsi="宋体"/>
          <w:sz w:val="24"/>
        </w:rPr>
        <w:t>则验收结果应以买方的验收报告为最终验收结果。验收时发现短缺、破损</w:t>
      </w:r>
      <w:r>
        <w:rPr>
          <w:rFonts w:ascii="宋体" w:hAnsi="宋体"/>
          <w:sz w:val="24"/>
        </w:rPr>
        <w:t xml:space="preserve">, </w:t>
      </w:r>
      <w:r>
        <w:rPr>
          <w:rFonts w:hint="eastAsia" w:ascii="宋体" w:hAnsi="宋体"/>
          <w:sz w:val="24"/>
        </w:rPr>
        <w:t>买方有权要求卖方负责更换。</w:t>
      </w:r>
    </w:p>
    <w:p>
      <w:pPr>
        <w:spacing w:line="360" w:lineRule="auto"/>
        <w:ind w:left="554" w:hanging="554" w:hangingChars="231"/>
        <w:rPr>
          <w:rFonts w:hint="eastAsia" w:ascii="宋体" w:hAnsi="宋体"/>
          <w:sz w:val="24"/>
        </w:rPr>
      </w:pPr>
      <w:r>
        <w:rPr>
          <w:rFonts w:hint="eastAsia" w:ascii="宋体" w:hAnsi="宋体"/>
          <w:sz w:val="24"/>
        </w:rPr>
        <w:t xml:space="preserve">4.2  </w:t>
      </w:r>
      <w:r>
        <w:rPr>
          <w:rFonts w:hint="eastAsia"/>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pPr>
        <w:spacing w:line="360" w:lineRule="auto"/>
        <w:ind w:left="554" w:hanging="554" w:hangingChars="231"/>
        <w:rPr>
          <w:rFonts w:hint="eastAsia" w:ascii="宋体" w:hAnsi="宋体"/>
          <w:sz w:val="24"/>
        </w:rPr>
      </w:pPr>
      <w:r>
        <w:rPr>
          <w:rFonts w:hint="eastAsia" w:ascii="宋体" w:hAnsi="宋体"/>
          <w:sz w:val="24"/>
        </w:rPr>
        <w:t xml:space="preserve">4.3  </w:t>
      </w:r>
      <w:r>
        <w:rPr>
          <w:rFonts w:ascii="宋体" w:hAnsi="宋体"/>
          <w:sz w:val="24"/>
        </w:rPr>
        <w:t>验收由采购人、中标人及相关人员依国家有关标准、合同及有关附件要求进行，验收完毕由采购人及中标人在验收报告上签名。</w:t>
      </w:r>
    </w:p>
    <w:p>
      <w:pPr>
        <w:pStyle w:val="2"/>
        <w:spacing w:line="360" w:lineRule="auto"/>
        <w:ind w:left="410" w:hanging="410" w:hangingChars="170"/>
        <w:rPr>
          <w:rFonts w:hint="eastAsia" w:hAnsi="宋体"/>
          <w:b/>
          <w:sz w:val="24"/>
          <w:szCs w:val="24"/>
        </w:rPr>
      </w:pPr>
    </w:p>
    <w:p>
      <w:pPr>
        <w:pStyle w:val="2"/>
        <w:spacing w:line="360" w:lineRule="auto"/>
        <w:ind w:left="410" w:hanging="410" w:hangingChars="170"/>
        <w:rPr>
          <w:rFonts w:hint="eastAsia" w:hAnsi="宋体"/>
          <w:b/>
          <w:sz w:val="24"/>
          <w:szCs w:val="24"/>
        </w:rPr>
      </w:pPr>
      <w:r>
        <w:rPr>
          <w:rFonts w:hint="eastAsia" w:hAnsi="宋体"/>
          <w:b/>
          <w:sz w:val="24"/>
          <w:szCs w:val="24"/>
        </w:rPr>
        <w:t>5、本技术规格书中标注“*”号的为实质性要求，不满足其投标将被拒绝。</w:t>
      </w:r>
    </w:p>
    <w:p>
      <w:pPr>
        <w:pStyle w:val="2"/>
        <w:spacing w:line="360" w:lineRule="auto"/>
        <w:rPr>
          <w:rFonts w:hint="eastAsia" w:hAnsi="宋体"/>
          <w:b/>
          <w:sz w:val="24"/>
          <w:szCs w:val="24"/>
        </w:rPr>
      </w:pPr>
    </w:p>
    <w:p>
      <w:pPr>
        <w:pStyle w:val="2"/>
        <w:spacing w:line="360" w:lineRule="auto"/>
        <w:rPr>
          <w:rFonts w:hint="eastAsia" w:hAnsi="宋体"/>
          <w:b/>
          <w:sz w:val="28"/>
        </w:rPr>
      </w:pPr>
      <w:r>
        <w:rPr>
          <w:rFonts w:hint="eastAsia" w:hAnsi="宋体"/>
          <w:b/>
          <w:sz w:val="24"/>
          <w:szCs w:val="24"/>
        </w:rPr>
        <w:t>6、如在具体技术规格中有本总则不一致之处，以具体技术规格中的要求为准。</w:t>
      </w:r>
      <w:r>
        <w:rPr>
          <w:rFonts w:hAnsi="宋体"/>
          <w:b/>
          <w:sz w:val="28"/>
        </w:rPr>
        <w:br w:type="page"/>
      </w:r>
      <w:r>
        <w:rPr>
          <w:rFonts w:hint="eastAsia" w:hAnsi="宋体"/>
          <w:b/>
          <w:sz w:val="28"/>
        </w:rPr>
        <w:t>三、具体技术规格</w:t>
      </w:r>
    </w:p>
    <w:p>
      <w:pPr>
        <w:rPr>
          <w:rFonts w:hint="eastAsia"/>
          <w:sz w:val="24"/>
        </w:rPr>
      </w:pPr>
    </w:p>
    <w:p>
      <w:pPr>
        <w:jc w:val="center"/>
        <w:rPr>
          <w:b/>
          <w:sz w:val="24"/>
        </w:rPr>
      </w:pPr>
      <w:r>
        <w:rPr>
          <w:b/>
          <w:sz w:val="24"/>
        </w:rPr>
        <w:t>第1包 1064nm高能量低重频皮秒激光器</w:t>
      </w:r>
    </w:p>
    <w:p>
      <w:pPr>
        <w:rPr>
          <w:b/>
          <w:sz w:val="24"/>
        </w:rPr>
      </w:pPr>
    </w:p>
    <w:p>
      <w:pPr>
        <w:rPr>
          <w:b/>
          <w:sz w:val="24"/>
        </w:rPr>
      </w:pPr>
    </w:p>
    <w:p>
      <w:pPr>
        <w:numPr>
          <w:ilvl w:val="0"/>
          <w:numId w:val="2"/>
        </w:numPr>
        <w:spacing w:line="360" w:lineRule="auto"/>
        <w:rPr>
          <w:b/>
          <w:sz w:val="24"/>
        </w:rPr>
      </w:pPr>
      <w:r>
        <w:rPr>
          <w:b/>
          <w:sz w:val="24"/>
        </w:rPr>
        <w:t>工作条件：</w:t>
      </w:r>
    </w:p>
    <w:p>
      <w:pPr>
        <w:spacing w:line="360" w:lineRule="auto"/>
        <w:rPr>
          <w:sz w:val="24"/>
        </w:rPr>
      </w:pPr>
      <w:r>
        <w:rPr>
          <w:sz w:val="24"/>
        </w:rPr>
        <w:t>1)工作电压：AC 220V(±15%)，50Hz，单相或AC 380V(±15%)，50Hz，三相</w:t>
      </w:r>
    </w:p>
    <w:p>
      <w:pPr>
        <w:spacing w:line="360" w:lineRule="auto"/>
        <w:rPr>
          <w:sz w:val="24"/>
        </w:rPr>
      </w:pPr>
      <w:r>
        <w:rPr>
          <w:sz w:val="24"/>
        </w:rPr>
        <w:t>2)环境温度：18～28℃</w:t>
      </w:r>
    </w:p>
    <w:p>
      <w:pPr>
        <w:spacing w:line="360" w:lineRule="auto"/>
        <w:rPr>
          <w:sz w:val="24"/>
        </w:rPr>
      </w:pPr>
      <w:r>
        <w:rPr>
          <w:sz w:val="24"/>
        </w:rPr>
        <w:t>3)相对湿度：20%～80%</w:t>
      </w:r>
    </w:p>
    <w:p>
      <w:pPr>
        <w:spacing w:line="360" w:lineRule="auto"/>
        <w:rPr>
          <w:sz w:val="24"/>
        </w:rPr>
      </w:pPr>
      <w:r>
        <w:rPr>
          <w:sz w:val="24"/>
        </w:rPr>
        <w:t>4)仪器运行的持久性：可连续运行</w:t>
      </w:r>
    </w:p>
    <w:p>
      <w:pPr>
        <w:spacing w:line="360" w:lineRule="auto"/>
        <w:rPr>
          <w:sz w:val="24"/>
        </w:rPr>
      </w:pPr>
    </w:p>
    <w:p>
      <w:pPr>
        <w:numPr>
          <w:ilvl w:val="0"/>
          <w:numId w:val="2"/>
        </w:numPr>
        <w:spacing w:line="360" w:lineRule="auto"/>
        <w:rPr>
          <w:b/>
          <w:sz w:val="24"/>
        </w:rPr>
      </w:pPr>
      <w:r>
        <w:rPr>
          <w:b/>
          <w:sz w:val="24"/>
        </w:rPr>
        <w:t>设备用途：</w:t>
      </w:r>
    </w:p>
    <w:p>
      <w:pPr>
        <w:spacing w:line="360" w:lineRule="auto"/>
        <w:ind w:firstLine="420" w:firstLineChars="0"/>
        <w:jc w:val="left"/>
        <w:rPr>
          <w:sz w:val="24"/>
        </w:rPr>
      </w:pPr>
      <w:r>
        <w:rPr>
          <w:sz w:val="24"/>
        </w:rPr>
        <w:t xml:space="preserve">该激光器具有较高的峰值功率与较窄的光谱带宽，有利于应用在测试新型深紫外非线性光学晶体，将应用于新型非线性光学晶体的测试与表征、非线性频率转换等光学场景。 </w:t>
      </w:r>
    </w:p>
    <w:p>
      <w:pPr>
        <w:spacing w:line="360" w:lineRule="auto"/>
        <w:rPr>
          <w:szCs w:val="21"/>
          <w:lang w:val="en-AU"/>
        </w:rPr>
      </w:pPr>
    </w:p>
    <w:p>
      <w:pPr>
        <w:numPr>
          <w:ilvl w:val="0"/>
          <w:numId w:val="2"/>
        </w:numPr>
        <w:spacing w:line="360" w:lineRule="auto"/>
        <w:rPr>
          <w:b/>
          <w:sz w:val="24"/>
        </w:rPr>
      </w:pPr>
      <w:r>
        <w:rPr>
          <w:b/>
          <w:sz w:val="24"/>
        </w:rPr>
        <w:t>技术规格：</w:t>
      </w:r>
    </w:p>
    <w:p>
      <w:pPr>
        <w:spacing w:line="360" w:lineRule="auto"/>
        <w:jc w:val="left"/>
        <w:rPr>
          <w:sz w:val="24"/>
        </w:rPr>
      </w:pPr>
      <w:r>
        <w:rPr>
          <w:sz w:val="24"/>
        </w:rPr>
        <w:t>*3.1 输出波长1064nm，波长可实现电动控制切换</w:t>
      </w:r>
      <w:r>
        <w:rPr>
          <w:rFonts w:hint="eastAsia"/>
          <w:sz w:val="24"/>
        </w:rPr>
        <w:t>；</w:t>
      </w:r>
    </w:p>
    <w:p>
      <w:pPr>
        <w:spacing w:line="360" w:lineRule="auto"/>
        <w:jc w:val="left"/>
        <w:rPr>
          <w:sz w:val="24"/>
        </w:rPr>
      </w:pPr>
      <w:r>
        <w:rPr>
          <w:sz w:val="24"/>
        </w:rPr>
        <w:t>*3.2 输出能量≥40mJ@1064nm；</w:t>
      </w:r>
    </w:p>
    <w:p>
      <w:pPr>
        <w:spacing w:line="360" w:lineRule="auto"/>
        <w:jc w:val="left"/>
        <w:rPr>
          <w:sz w:val="24"/>
        </w:rPr>
      </w:pPr>
      <w:r>
        <w:rPr>
          <w:sz w:val="24"/>
        </w:rPr>
        <w:t>*3.3 脉冲宽度≤</w:t>
      </w:r>
      <w:r>
        <w:rPr>
          <w:color w:val="000000"/>
          <w:sz w:val="24"/>
        </w:rPr>
        <w:t>29±5ps@1064n</w:t>
      </w:r>
      <w:r>
        <w:rPr>
          <w:sz w:val="24"/>
        </w:rPr>
        <w:t>m；</w:t>
      </w:r>
    </w:p>
    <w:p>
      <w:pPr>
        <w:spacing w:line="360" w:lineRule="auto"/>
        <w:jc w:val="left"/>
        <w:rPr>
          <w:sz w:val="24"/>
        </w:rPr>
      </w:pPr>
      <w:r>
        <w:rPr>
          <w:sz w:val="24"/>
        </w:rPr>
        <w:t>*3.4 重复频率50Hz；</w:t>
      </w:r>
    </w:p>
    <w:p>
      <w:pPr>
        <w:spacing w:line="360" w:lineRule="auto"/>
        <w:jc w:val="left"/>
        <w:rPr>
          <w:sz w:val="24"/>
        </w:rPr>
      </w:pPr>
      <w:r>
        <w:rPr>
          <w:sz w:val="24"/>
        </w:rPr>
        <w:t>3.5 光束质量≤2.5；</w:t>
      </w:r>
    </w:p>
    <w:p>
      <w:pPr>
        <w:spacing w:line="360" w:lineRule="auto"/>
        <w:jc w:val="left"/>
        <w:rPr>
          <w:sz w:val="24"/>
        </w:rPr>
      </w:pPr>
      <w:r>
        <w:rPr>
          <w:sz w:val="24"/>
        </w:rPr>
        <w:t>*3.6 脉冲能量稳定性＜1.5%；</w:t>
      </w:r>
    </w:p>
    <w:p>
      <w:pPr>
        <w:spacing w:line="360" w:lineRule="auto"/>
        <w:jc w:val="left"/>
        <w:rPr>
          <w:sz w:val="24"/>
        </w:rPr>
      </w:pPr>
      <w:r>
        <w:rPr>
          <w:sz w:val="24"/>
        </w:rPr>
        <w:t>3.7 长时间功率漂移±2%；</w:t>
      </w:r>
    </w:p>
    <w:p>
      <w:pPr>
        <w:spacing w:line="360" w:lineRule="auto"/>
        <w:jc w:val="left"/>
        <w:rPr>
          <w:sz w:val="24"/>
        </w:rPr>
      </w:pPr>
      <w:r>
        <w:rPr>
          <w:sz w:val="24"/>
        </w:rPr>
        <w:t>3.8 脉宽稳定性±1%；</w:t>
      </w:r>
    </w:p>
    <w:p>
      <w:pPr>
        <w:spacing w:line="360" w:lineRule="auto"/>
        <w:jc w:val="left"/>
        <w:rPr>
          <w:sz w:val="24"/>
        </w:rPr>
      </w:pPr>
      <w:r>
        <w:rPr>
          <w:sz w:val="24"/>
        </w:rPr>
        <w:t>3.9 光束衍射角＜0.7mrad；</w:t>
      </w:r>
    </w:p>
    <w:p>
      <w:pPr>
        <w:spacing w:line="360" w:lineRule="auto"/>
        <w:jc w:val="left"/>
        <w:rPr>
          <w:sz w:val="24"/>
        </w:rPr>
      </w:pPr>
      <w:r>
        <w:rPr>
          <w:sz w:val="24"/>
        </w:rPr>
        <w:t>3.10 线偏振＞99%；</w:t>
      </w:r>
    </w:p>
    <w:p>
      <w:pPr>
        <w:spacing w:line="360" w:lineRule="auto"/>
        <w:jc w:val="left"/>
        <w:rPr>
          <w:sz w:val="24"/>
        </w:rPr>
      </w:pPr>
      <w:r>
        <w:rPr>
          <w:sz w:val="24"/>
        </w:rPr>
        <w:t xml:space="preserve">3.11 </w:t>
      </w:r>
      <w:r>
        <w:rPr>
          <w:color w:val="000000"/>
          <w:sz w:val="24"/>
        </w:rPr>
        <w:t>外部冷却方式</w:t>
      </w:r>
      <w:r>
        <w:rPr>
          <w:sz w:val="24"/>
        </w:rPr>
        <w:t>冷：风冷；</w:t>
      </w:r>
    </w:p>
    <w:p>
      <w:pPr>
        <w:spacing w:line="360" w:lineRule="auto"/>
        <w:jc w:val="left"/>
        <w:rPr>
          <w:sz w:val="24"/>
        </w:rPr>
      </w:pPr>
      <w:r>
        <w:rPr>
          <w:sz w:val="24"/>
        </w:rPr>
        <w:t>*3.3.12 需要与用户共同进行激光器的二次开发，必须满足用户要求；</w:t>
      </w:r>
    </w:p>
    <w:p>
      <w:pPr>
        <w:spacing w:line="360" w:lineRule="auto"/>
        <w:jc w:val="left"/>
        <w:rPr>
          <w:sz w:val="24"/>
        </w:rPr>
      </w:pPr>
      <w:r>
        <w:rPr>
          <w:sz w:val="24"/>
        </w:rPr>
        <w:t>*3.3.13 需能够升级相同品牌的光学参量发生器和光学参量放大器。</w:t>
      </w:r>
    </w:p>
    <w:p>
      <w:pPr>
        <w:spacing w:line="360" w:lineRule="auto"/>
        <w:jc w:val="left"/>
        <w:rPr>
          <w:sz w:val="24"/>
        </w:rPr>
      </w:pPr>
    </w:p>
    <w:p>
      <w:pPr>
        <w:numPr>
          <w:ilvl w:val="0"/>
          <w:numId w:val="2"/>
        </w:numPr>
        <w:spacing w:line="360" w:lineRule="auto"/>
        <w:rPr>
          <w:b/>
          <w:sz w:val="24"/>
        </w:rPr>
      </w:pPr>
      <w:r>
        <w:rPr>
          <w:b/>
          <w:sz w:val="24"/>
        </w:rPr>
        <w:t>产品配置要求</w:t>
      </w:r>
    </w:p>
    <w:p>
      <w:pPr>
        <w:spacing w:line="360" w:lineRule="auto"/>
        <w:rPr>
          <w:sz w:val="24"/>
        </w:rPr>
      </w:pPr>
      <w:r>
        <w:rPr>
          <w:sz w:val="24"/>
        </w:rPr>
        <w:t>1064nm高能量低重频皮秒激光器一套，包含激光发射头，内置光路，激光器电源箱以及控制链接线缆等。</w:t>
      </w:r>
    </w:p>
    <w:p>
      <w:pPr>
        <w:tabs>
          <w:tab w:val="left" w:pos="540"/>
        </w:tabs>
        <w:spacing w:line="360" w:lineRule="auto"/>
        <w:rPr>
          <w:sz w:val="24"/>
        </w:rPr>
      </w:pPr>
      <w:r>
        <w:rPr>
          <w:sz w:val="24"/>
        </w:rPr>
        <w:t xml:space="preserve">   </w:t>
      </w:r>
    </w:p>
    <w:p>
      <w:pPr>
        <w:tabs>
          <w:tab w:val="left" w:pos="540"/>
        </w:tabs>
        <w:spacing w:line="360" w:lineRule="auto"/>
        <w:rPr>
          <w:b/>
          <w:sz w:val="24"/>
        </w:rPr>
      </w:pPr>
      <w:r>
        <w:rPr>
          <w:rFonts w:hint="eastAsia"/>
          <w:b/>
          <w:sz w:val="24"/>
          <w:lang w:val="en-US" w:eastAsia="zh-CN"/>
        </w:rPr>
        <w:t>5</w:t>
      </w:r>
      <w:r>
        <w:rPr>
          <w:b/>
          <w:sz w:val="24"/>
        </w:rPr>
        <w:t>.  技术文件：</w:t>
      </w:r>
    </w:p>
    <w:p>
      <w:pPr>
        <w:spacing w:line="360" w:lineRule="auto"/>
        <w:rPr>
          <w:sz w:val="24"/>
        </w:rPr>
      </w:pPr>
      <w:r>
        <w:rPr>
          <w:rFonts w:hint="eastAsia"/>
          <w:sz w:val="24"/>
          <w:lang w:val="en-US" w:eastAsia="zh-CN"/>
        </w:rPr>
        <w:t>5</w:t>
      </w:r>
      <w:r>
        <w:rPr>
          <w:sz w:val="24"/>
        </w:rPr>
        <w:t>.1 请参考总则第1.2条。</w:t>
      </w:r>
    </w:p>
    <w:p>
      <w:pPr>
        <w:spacing w:line="360" w:lineRule="auto"/>
        <w:rPr>
          <w:sz w:val="24"/>
        </w:rPr>
      </w:pPr>
      <w:r>
        <w:rPr>
          <w:rFonts w:hint="eastAsia"/>
          <w:sz w:val="24"/>
          <w:lang w:val="en-US" w:eastAsia="zh-CN"/>
        </w:rPr>
        <w:t>5</w:t>
      </w:r>
      <w:r>
        <w:rPr>
          <w:sz w:val="24"/>
        </w:rPr>
        <w:t>.2 请参考总则第2.3条。</w:t>
      </w:r>
    </w:p>
    <w:p>
      <w:pPr>
        <w:spacing w:line="360" w:lineRule="auto"/>
        <w:rPr>
          <w:sz w:val="24"/>
        </w:rPr>
      </w:pPr>
    </w:p>
    <w:p>
      <w:pPr>
        <w:spacing w:line="360" w:lineRule="auto"/>
        <w:rPr>
          <w:b/>
          <w:sz w:val="24"/>
        </w:rPr>
      </w:pPr>
      <w:r>
        <w:rPr>
          <w:b/>
          <w:sz w:val="24"/>
        </w:rPr>
        <w:t>（二）质保及售后服务：</w:t>
      </w:r>
    </w:p>
    <w:p>
      <w:pPr>
        <w:spacing w:line="360" w:lineRule="auto"/>
        <w:rPr>
          <w:sz w:val="24"/>
        </w:rPr>
      </w:pPr>
      <w:r>
        <w:rPr>
          <w:sz w:val="24"/>
        </w:rPr>
        <w:t>1.1 设备安装调试</w:t>
      </w:r>
    </w:p>
    <w:p>
      <w:pPr>
        <w:spacing w:line="360" w:lineRule="auto"/>
        <w:rPr>
          <w:sz w:val="24"/>
        </w:rPr>
      </w:pPr>
      <w:r>
        <w:rPr>
          <w:sz w:val="24"/>
        </w:rPr>
        <w:t xml:space="preserve">1.1.1 </w:t>
      </w:r>
      <w:r>
        <w:rPr>
          <w:color w:val="000000"/>
          <w:sz w:val="24"/>
        </w:rPr>
        <w:t>卖方提供全套、完整的纸质或电子版技术资料，包括仪器说明书、操作手册、简单维修说明、结构图及电路总框图等。</w:t>
      </w:r>
    </w:p>
    <w:p>
      <w:pPr>
        <w:spacing w:line="360" w:lineRule="auto"/>
        <w:rPr>
          <w:sz w:val="24"/>
        </w:rPr>
      </w:pPr>
      <w:r>
        <w:rPr>
          <w:sz w:val="24"/>
        </w:rPr>
        <w:t xml:space="preserve">1.1.2 </w:t>
      </w:r>
      <w:r>
        <w:rPr>
          <w:color w:val="000000"/>
          <w:sz w:val="24"/>
        </w:rPr>
        <w:t>卖方在合同生效后的1个月内向用户提供详细的安装要求并提供技术咨询；在仪器到达前1个月，卖方通知用户水、电、气及其他仪器必备辅助设施的具体要求，从而让用户提前做好仪器安装准备工作。仪器到达用户所在地，在接到用户通知后一周内到达现场进行安装调试，直至通过验收。卖方负责拆除设备包装，自备拆箱过程中所需要的工具和材料，所产生的一切费用与风险由卖方承担</w:t>
      </w:r>
    </w:p>
    <w:p>
      <w:pPr>
        <w:spacing w:line="360" w:lineRule="auto"/>
      </w:pPr>
      <w:r>
        <w:rPr>
          <w:sz w:val="24"/>
        </w:rPr>
        <w:t>1.2</w:t>
      </w:r>
      <w:r>
        <w:rPr>
          <w:rFonts w:hint="eastAsia"/>
          <w:sz w:val="24"/>
          <w:lang w:val="en-US" w:eastAsia="zh-CN"/>
        </w:rPr>
        <w:t xml:space="preserve"> </w:t>
      </w:r>
      <w:r>
        <w:rPr>
          <w:sz w:val="24"/>
        </w:rPr>
        <w:t>技术培训</w:t>
      </w:r>
      <w:r>
        <w:rPr>
          <w:rFonts w:hint="eastAsia"/>
          <w:sz w:val="24"/>
          <w:lang w:eastAsia="zh-CN"/>
        </w:rPr>
        <w:t>：</w:t>
      </w:r>
      <w:r>
        <w:rPr>
          <w:color w:val="000000"/>
          <w:sz w:val="24"/>
        </w:rPr>
        <w:t>卖方在用户所在地对仪器使用者2-3人进行仪器操作和维护培训，使被培训人员达到能够熟练使用，所产生的一切费用与风险由卖方承担。培训内容包括仪器的技术原理、操作、数据处理、基本维护等。</w:t>
      </w:r>
    </w:p>
    <w:p>
      <w:pPr>
        <w:spacing w:line="360" w:lineRule="auto"/>
        <w:rPr>
          <w:sz w:val="24"/>
        </w:rPr>
      </w:pPr>
      <w:r>
        <w:rPr>
          <w:sz w:val="24"/>
        </w:rPr>
        <w:t>*1.3 保修期</w:t>
      </w:r>
      <w:r>
        <w:rPr>
          <w:rFonts w:hint="eastAsia"/>
          <w:sz w:val="24"/>
          <w:lang w:eastAsia="zh-CN"/>
        </w:rPr>
        <w:t>：</w:t>
      </w:r>
      <w:r>
        <w:rPr>
          <w:sz w:val="24"/>
        </w:rPr>
        <w:t>激光器整机验收后质保壹年，光学元器件质保90天。</w:t>
      </w:r>
    </w:p>
    <w:p>
      <w:pPr>
        <w:spacing w:line="360" w:lineRule="auto"/>
        <w:rPr>
          <w:sz w:val="24"/>
        </w:rPr>
      </w:pPr>
      <w:r>
        <w:rPr>
          <w:sz w:val="24"/>
        </w:rPr>
        <w:t>1.4 维修响应时间</w:t>
      </w:r>
      <w:r>
        <w:rPr>
          <w:rFonts w:hint="eastAsia"/>
          <w:sz w:val="24"/>
          <w:lang w:eastAsia="zh-CN"/>
        </w:rPr>
        <w:t>：</w:t>
      </w:r>
      <w:r>
        <w:rPr>
          <w:color w:val="000000"/>
          <w:sz w:val="24"/>
        </w:rPr>
        <w:t>卖方负责设备终身维修，</w:t>
      </w:r>
      <w:r>
        <w:rPr>
          <w:sz w:val="24"/>
        </w:rPr>
        <w:t>必须在中国大陆有专门的衍射仪维修站及备件库；必须在中国大陆有15个以上专门的衍射仪维修工程师；</w:t>
      </w:r>
      <w:r>
        <w:rPr>
          <w:color w:val="000000"/>
          <w:sz w:val="24"/>
        </w:rPr>
        <w:t>在用户提出维修要求后，卖方能在24小时内作出维修响应，2- 4个工作日内到达用户现场进行维修，除需进口仪器配件外，应使仪器恢复正常使用。重大问题或其他无法迅速解决的问题应在一周内解决或提出明确解决方案，否则卖方应赔偿相应损失。</w:t>
      </w:r>
    </w:p>
    <w:p>
      <w:pPr>
        <w:spacing w:line="360" w:lineRule="auto"/>
        <w:rPr>
          <w:color w:val="000000"/>
          <w:sz w:val="24"/>
        </w:rPr>
      </w:pPr>
      <w:r>
        <w:rPr>
          <w:sz w:val="24"/>
        </w:rPr>
        <w:t xml:space="preserve">1.5 </w:t>
      </w:r>
      <w:r>
        <w:rPr>
          <w:color w:val="000000"/>
          <w:sz w:val="24"/>
        </w:rPr>
        <w:t>软件升级：卖方免费向用户提供在硬件许可条件下的软件升级服务。</w:t>
      </w:r>
    </w:p>
    <w:p>
      <w:pPr>
        <w:spacing w:line="360" w:lineRule="auto"/>
        <w:rPr>
          <w:b/>
          <w:sz w:val="24"/>
        </w:rPr>
      </w:pPr>
    </w:p>
    <w:p>
      <w:pPr>
        <w:spacing w:line="360" w:lineRule="auto"/>
        <w:rPr>
          <w:b/>
          <w:sz w:val="24"/>
        </w:rPr>
      </w:pPr>
      <w:r>
        <w:rPr>
          <w:b/>
          <w:sz w:val="24"/>
        </w:rPr>
        <w:t>（三） 订货数量：</w:t>
      </w:r>
    </w:p>
    <w:p>
      <w:pPr>
        <w:spacing w:line="360" w:lineRule="auto"/>
        <w:rPr>
          <w:sz w:val="24"/>
        </w:rPr>
      </w:pPr>
      <w:r>
        <w:rPr>
          <w:sz w:val="24"/>
        </w:rPr>
        <w:t>一套</w:t>
      </w:r>
    </w:p>
    <w:p>
      <w:pPr>
        <w:spacing w:line="360" w:lineRule="auto"/>
        <w:rPr>
          <w:sz w:val="24"/>
        </w:rPr>
      </w:pPr>
    </w:p>
    <w:p>
      <w:pPr>
        <w:spacing w:line="360" w:lineRule="auto"/>
        <w:rPr>
          <w:b/>
          <w:sz w:val="24"/>
        </w:rPr>
      </w:pPr>
      <w:r>
        <w:rPr>
          <w:b/>
          <w:sz w:val="24"/>
        </w:rPr>
        <w:t xml:space="preserve">（四） </w:t>
      </w:r>
      <w:r>
        <w:rPr>
          <w:rFonts w:hint="eastAsia"/>
          <w:b/>
          <w:sz w:val="24"/>
          <w:lang w:val="en-US" w:eastAsia="zh-CN"/>
        </w:rPr>
        <w:t>交货地点</w:t>
      </w:r>
      <w:r>
        <w:rPr>
          <w:b/>
          <w:sz w:val="24"/>
        </w:rPr>
        <w:t>：</w:t>
      </w:r>
    </w:p>
    <w:p>
      <w:pPr>
        <w:spacing w:line="360" w:lineRule="auto"/>
        <w:rPr>
          <w:sz w:val="24"/>
        </w:rPr>
      </w:pPr>
      <w:r>
        <w:rPr>
          <w:sz w:val="24"/>
        </w:rPr>
        <w:t>乌鲁木齐市中国科学院新疆理化技术研究所</w:t>
      </w:r>
    </w:p>
    <w:p>
      <w:pPr>
        <w:spacing w:line="360" w:lineRule="auto"/>
        <w:rPr>
          <w:sz w:val="24"/>
        </w:rPr>
      </w:pPr>
    </w:p>
    <w:p>
      <w:pPr>
        <w:spacing w:line="360" w:lineRule="auto"/>
        <w:rPr>
          <w:b/>
          <w:sz w:val="24"/>
        </w:rPr>
      </w:pPr>
      <w:r>
        <w:rPr>
          <w:b/>
          <w:sz w:val="24"/>
        </w:rPr>
        <w:t>（五）交货日期：</w:t>
      </w:r>
    </w:p>
    <w:p>
      <w:pPr>
        <w:spacing w:line="360" w:lineRule="auto"/>
        <w:rPr>
          <w:sz w:val="24"/>
        </w:rPr>
        <w:sectPr>
          <w:footerReference r:id="rId5" w:type="first"/>
          <w:headerReference r:id="rId3" w:type="default"/>
          <w:footerReference r:id="rId4" w:type="default"/>
          <w:pgSz w:w="11906" w:h="16838"/>
          <w:pgMar w:top="1418" w:right="1418" w:bottom="1418" w:left="1418" w:header="851" w:footer="992" w:gutter="0"/>
          <w:pgNumType w:start="0"/>
          <w:cols w:space="720" w:num="1"/>
          <w:titlePg/>
          <w:docGrid w:type="lines" w:linePitch="312" w:charSpace="0"/>
        </w:sectPr>
      </w:pPr>
      <w:bookmarkStart w:id="0" w:name="_Hlk152690569"/>
      <w:r>
        <w:rPr>
          <w:sz w:val="24"/>
        </w:rPr>
        <w:t>合同生效收到信用证后12个月内</w:t>
      </w:r>
      <w:bookmarkEnd w:id="0"/>
    </w:p>
    <w:p>
      <w:pPr>
        <w:jc w:val="center"/>
        <w:rPr>
          <w:b/>
          <w:sz w:val="24"/>
        </w:rPr>
      </w:pPr>
      <w:r>
        <w:rPr>
          <w:b/>
          <w:sz w:val="24"/>
        </w:rPr>
        <w:t>第2包 1064nm高功率高重频皮秒激光器</w:t>
      </w:r>
    </w:p>
    <w:p>
      <w:pPr>
        <w:rPr>
          <w:b/>
          <w:sz w:val="24"/>
        </w:rPr>
      </w:pPr>
    </w:p>
    <w:p>
      <w:pPr>
        <w:rPr>
          <w:b/>
          <w:sz w:val="24"/>
        </w:rPr>
      </w:pPr>
    </w:p>
    <w:p>
      <w:pPr>
        <w:numPr>
          <w:ilvl w:val="0"/>
          <w:numId w:val="3"/>
        </w:numPr>
        <w:rPr>
          <w:b/>
          <w:sz w:val="24"/>
        </w:rPr>
      </w:pPr>
      <w:r>
        <w:rPr>
          <w:b/>
          <w:sz w:val="24"/>
        </w:rPr>
        <w:t>技术要求：</w:t>
      </w:r>
    </w:p>
    <w:p>
      <w:pPr>
        <w:rPr>
          <w:b/>
          <w:sz w:val="24"/>
        </w:rPr>
      </w:pPr>
    </w:p>
    <w:p>
      <w:pPr>
        <w:numPr>
          <w:ilvl w:val="0"/>
          <w:numId w:val="4"/>
        </w:numPr>
        <w:spacing w:line="360" w:lineRule="auto"/>
        <w:rPr>
          <w:b/>
          <w:sz w:val="24"/>
        </w:rPr>
      </w:pPr>
      <w:r>
        <w:rPr>
          <w:b/>
          <w:sz w:val="24"/>
        </w:rPr>
        <w:t>工作条件：</w:t>
      </w:r>
    </w:p>
    <w:p>
      <w:pPr>
        <w:spacing w:line="360" w:lineRule="auto"/>
        <w:rPr>
          <w:sz w:val="24"/>
        </w:rPr>
      </w:pPr>
      <w:r>
        <w:rPr>
          <w:sz w:val="24"/>
        </w:rPr>
        <w:t>1)工作电压：AC 220V(±15%)，50Hz，单相或AC 380V(±15%)，50Hz，三相</w:t>
      </w:r>
    </w:p>
    <w:p>
      <w:pPr>
        <w:spacing w:line="360" w:lineRule="auto"/>
        <w:rPr>
          <w:sz w:val="24"/>
        </w:rPr>
      </w:pPr>
      <w:r>
        <w:rPr>
          <w:sz w:val="24"/>
        </w:rPr>
        <w:t>2)环境温度：18～28℃</w:t>
      </w:r>
    </w:p>
    <w:p>
      <w:pPr>
        <w:spacing w:line="360" w:lineRule="auto"/>
        <w:rPr>
          <w:sz w:val="24"/>
        </w:rPr>
      </w:pPr>
      <w:r>
        <w:rPr>
          <w:sz w:val="24"/>
        </w:rPr>
        <w:t>3)相对湿度：20%～80%</w:t>
      </w:r>
    </w:p>
    <w:p>
      <w:pPr>
        <w:spacing w:line="360" w:lineRule="auto"/>
        <w:rPr>
          <w:sz w:val="24"/>
        </w:rPr>
      </w:pPr>
      <w:r>
        <w:rPr>
          <w:sz w:val="24"/>
        </w:rPr>
        <w:t>4)仪器运行的持久性：可连续运行</w:t>
      </w:r>
    </w:p>
    <w:p>
      <w:pPr>
        <w:spacing w:line="360" w:lineRule="auto"/>
        <w:rPr>
          <w:sz w:val="24"/>
        </w:rPr>
      </w:pPr>
    </w:p>
    <w:p>
      <w:pPr>
        <w:numPr>
          <w:ilvl w:val="0"/>
          <w:numId w:val="4"/>
        </w:numPr>
        <w:spacing w:line="360" w:lineRule="auto"/>
        <w:rPr>
          <w:b/>
          <w:sz w:val="24"/>
        </w:rPr>
      </w:pPr>
      <w:r>
        <w:rPr>
          <w:b/>
          <w:sz w:val="24"/>
        </w:rPr>
        <w:t>设备用途：</w:t>
      </w:r>
    </w:p>
    <w:p>
      <w:pPr>
        <w:spacing w:line="360" w:lineRule="auto"/>
        <w:ind w:firstLine="420" w:firstLineChars="0"/>
        <w:jc w:val="left"/>
        <w:rPr>
          <w:sz w:val="24"/>
        </w:rPr>
      </w:pPr>
      <w:r>
        <w:rPr>
          <w:sz w:val="24"/>
        </w:rPr>
        <w:t>该激光器具高峰值功率、高平均功率、窄线宽以及高稳定等重要特征，可应用于高效非线性光学频率转换。本实验室具有多种新型非线性光学晶体，该激光器将基于这些晶体获得非线性频率转换激光输出。</w:t>
      </w:r>
    </w:p>
    <w:p>
      <w:pPr>
        <w:spacing w:line="360" w:lineRule="auto"/>
        <w:rPr>
          <w:szCs w:val="21"/>
          <w:lang w:val="en-AU"/>
        </w:rPr>
      </w:pPr>
    </w:p>
    <w:p>
      <w:pPr>
        <w:numPr>
          <w:ilvl w:val="0"/>
          <w:numId w:val="4"/>
        </w:numPr>
        <w:spacing w:line="360" w:lineRule="auto"/>
        <w:rPr>
          <w:b/>
          <w:sz w:val="24"/>
        </w:rPr>
      </w:pPr>
      <w:r>
        <w:rPr>
          <w:b/>
          <w:sz w:val="24"/>
        </w:rPr>
        <w:t>技术规格：</w:t>
      </w:r>
    </w:p>
    <w:p>
      <w:pPr>
        <w:spacing w:line="360" w:lineRule="auto"/>
        <w:jc w:val="left"/>
        <w:rPr>
          <w:sz w:val="24"/>
        </w:rPr>
      </w:pPr>
      <w:r>
        <w:rPr>
          <w:sz w:val="24"/>
        </w:rPr>
        <w:t>3.1工业级紫外皮秒激光器，输出波长1064nm不低于80W</w:t>
      </w:r>
      <w:r>
        <w:rPr>
          <w:rFonts w:hint="eastAsia"/>
          <w:sz w:val="24"/>
        </w:rPr>
        <w:t>；</w:t>
      </w:r>
    </w:p>
    <w:p>
      <w:pPr>
        <w:spacing w:line="360" w:lineRule="auto"/>
        <w:jc w:val="left"/>
        <w:rPr>
          <w:sz w:val="24"/>
        </w:rPr>
      </w:pPr>
      <w:r>
        <w:rPr>
          <w:sz w:val="24"/>
        </w:rPr>
        <w:t>*3.2激光脉冲宽度：10+/-3ps；</w:t>
      </w:r>
    </w:p>
    <w:p>
      <w:pPr>
        <w:spacing w:line="360" w:lineRule="auto"/>
        <w:jc w:val="left"/>
        <w:rPr>
          <w:sz w:val="24"/>
        </w:rPr>
      </w:pPr>
      <w:r>
        <w:rPr>
          <w:sz w:val="24"/>
        </w:rPr>
        <w:t>3.3脉冲能量：&gt;200uJ；</w:t>
      </w:r>
    </w:p>
    <w:p>
      <w:pPr>
        <w:spacing w:line="360" w:lineRule="auto"/>
        <w:jc w:val="left"/>
        <w:rPr>
          <w:sz w:val="24"/>
        </w:rPr>
      </w:pPr>
      <w:r>
        <w:rPr>
          <w:sz w:val="24"/>
        </w:rPr>
        <w:t>3.4重复频率：400KHz-1000KHz可调；</w:t>
      </w:r>
    </w:p>
    <w:p>
      <w:pPr>
        <w:spacing w:line="360" w:lineRule="auto"/>
        <w:jc w:val="left"/>
        <w:rPr>
          <w:sz w:val="24"/>
        </w:rPr>
      </w:pPr>
      <w:r>
        <w:rPr>
          <w:sz w:val="24"/>
        </w:rPr>
        <w:t>3.5功率8小时抖动：&lt;1.0%；</w:t>
      </w:r>
    </w:p>
    <w:p>
      <w:pPr>
        <w:spacing w:line="360" w:lineRule="auto"/>
        <w:jc w:val="left"/>
        <w:rPr>
          <w:sz w:val="24"/>
        </w:rPr>
      </w:pPr>
      <w:r>
        <w:rPr>
          <w:sz w:val="24"/>
        </w:rPr>
        <w:t>3.6脉冲稳定性：&lt;2.5%；</w:t>
      </w:r>
    </w:p>
    <w:p>
      <w:pPr>
        <w:spacing w:line="360" w:lineRule="auto"/>
        <w:jc w:val="left"/>
        <w:rPr>
          <w:sz w:val="24"/>
        </w:rPr>
      </w:pPr>
      <w:r>
        <w:rPr>
          <w:sz w:val="24"/>
        </w:rPr>
        <w:t>3.7激光头必须采用一体化monoLithic成型的铝制壳体，具备坚固，防尘，密闭等特点；</w:t>
      </w:r>
    </w:p>
    <w:p>
      <w:pPr>
        <w:spacing w:line="360" w:lineRule="auto"/>
        <w:jc w:val="left"/>
        <w:rPr>
          <w:sz w:val="24"/>
        </w:rPr>
      </w:pPr>
      <w:r>
        <w:rPr>
          <w:sz w:val="24"/>
        </w:rPr>
        <w:t>*3.8激光头体积足够小，以确保后期系统集成便利性。激光头尺寸加上紫外模块后，长度不超过950mm，宽度不超过400mm；高度不超过200mm；</w:t>
      </w:r>
    </w:p>
    <w:p>
      <w:pPr>
        <w:spacing w:line="360" w:lineRule="auto"/>
        <w:jc w:val="left"/>
        <w:rPr>
          <w:sz w:val="24"/>
        </w:rPr>
      </w:pPr>
      <w:r>
        <w:rPr>
          <w:sz w:val="24"/>
        </w:rPr>
        <w:t>*3.9激光输出具备优异的光束质量，TEM00输出，M方因子 M</w:t>
      </w:r>
      <w:r>
        <w:rPr>
          <w:sz w:val="24"/>
          <w:vertAlign w:val="superscript"/>
        </w:rPr>
        <w:t>2</w:t>
      </w:r>
      <w:r>
        <w:rPr>
          <w:sz w:val="24"/>
        </w:rPr>
        <w:t>&lt;1.2；</w:t>
      </w:r>
    </w:p>
    <w:p>
      <w:pPr>
        <w:spacing w:line="360" w:lineRule="auto"/>
        <w:jc w:val="left"/>
        <w:rPr>
          <w:sz w:val="24"/>
        </w:rPr>
      </w:pPr>
      <w:r>
        <w:rPr>
          <w:sz w:val="24"/>
        </w:rPr>
        <w:t>3.10远场光斑圆度：&gt;0.85；</w:t>
      </w:r>
    </w:p>
    <w:p>
      <w:pPr>
        <w:spacing w:line="360" w:lineRule="auto"/>
        <w:jc w:val="left"/>
        <w:rPr>
          <w:sz w:val="24"/>
        </w:rPr>
      </w:pPr>
      <w:r>
        <w:rPr>
          <w:sz w:val="24"/>
        </w:rPr>
        <w:t>3.11光束发散角：&lt;1.5mRad；</w:t>
      </w:r>
    </w:p>
    <w:p>
      <w:pPr>
        <w:spacing w:line="360" w:lineRule="auto"/>
        <w:jc w:val="left"/>
        <w:rPr>
          <w:sz w:val="24"/>
        </w:rPr>
      </w:pPr>
      <w:r>
        <w:rPr>
          <w:sz w:val="24"/>
        </w:rPr>
        <w:t>3.12光束指向稳定性足够小：&lt;50uRad；</w:t>
      </w:r>
    </w:p>
    <w:p>
      <w:pPr>
        <w:spacing w:line="360" w:lineRule="auto"/>
        <w:jc w:val="left"/>
        <w:rPr>
          <w:rFonts w:hint="eastAsia"/>
          <w:sz w:val="24"/>
        </w:rPr>
      </w:pPr>
      <w:r>
        <w:rPr>
          <w:sz w:val="24"/>
        </w:rPr>
        <w:t>3.13输出光斑直径：1.8+/-0.3mm；</w:t>
      </w:r>
    </w:p>
    <w:p>
      <w:pPr>
        <w:spacing w:line="360" w:lineRule="auto"/>
        <w:jc w:val="left"/>
        <w:rPr>
          <w:sz w:val="24"/>
        </w:rPr>
      </w:pPr>
      <w:r>
        <w:rPr>
          <w:sz w:val="24"/>
        </w:rPr>
        <w:t>*3.14基频脉冲对比度Pulse Contrast：&gt;300:1；</w:t>
      </w:r>
    </w:p>
    <w:p>
      <w:pPr>
        <w:spacing w:line="360" w:lineRule="auto"/>
        <w:jc w:val="left"/>
        <w:rPr>
          <w:sz w:val="24"/>
        </w:rPr>
      </w:pPr>
      <w:r>
        <w:rPr>
          <w:sz w:val="24"/>
        </w:rPr>
        <w:t>3.15激光器支持内部(internal)和外部触发(external)；</w:t>
      </w:r>
    </w:p>
    <w:p>
      <w:pPr>
        <w:spacing w:line="360" w:lineRule="auto"/>
        <w:jc w:val="left"/>
        <w:rPr>
          <w:sz w:val="24"/>
        </w:rPr>
      </w:pPr>
      <w:r>
        <w:rPr>
          <w:sz w:val="24"/>
        </w:rPr>
        <w:t>3.16激光器控制界面需支持手柄与USB；</w:t>
      </w:r>
    </w:p>
    <w:p>
      <w:pPr>
        <w:spacing w:line="360" w:lineRule="auto"/>
        <w:jc w:val="left"/>
        <w:rPr>
          <w:sz w:val="24"/>
        </w:rPr>
      </w:pPr>
      <w:r>
        <w:rPr>
          <w:sz w:val="24"/>
        </w:rPr>
        <w:t>*3.17激光器具备以下同步控制功能：</w:t>
      </w:r>
    </w:p>
    <w:p>
      <w:pPr>
        <w:spacing w:line="360" w:lineRule="auto"/>
        <w:jc w:val="left"/>
        <w:rPr>
          <w:sz w:val="24"/>
        </w:rPr>
      </w:pPr>
      <w:r>
        <w:rPr>
          <w:sz w:val="24"/>
        </w:rPr>
        <w:t>外部信号和激光器主振荡器时钟输出的同步；外部信号和激光器主频脉冲同步；外部信号和激光器输出重复频率的同步（脉冲选单器之后）；具备为外部提供同步信号的功能；具备从外部信号实时控制输出脉冲能量大小的功能；外部GATE功能：支持正、负压脉冲；支持上升沿控制，支持下降沿控制；</w:t>
      </w:r>
    </w:p>
    <w:p>
      <w:pPr>
        <w:spacing w:line="360" w:lineRule="auto"/>
        <w:jc w:val="left"/>
        <w:rPr>
          <w:sz w:val="24"/>
        </w:rPr>
      </w:pPr>
      <w:r>
        <w:rPr>
          <w:sz w:val="24"/>
        </w:rPr>
        <w:t>*3.18激光器具备远程协助与诊断功能；</w:t>
      </w:r>
    </w:p>
    <w:p>
      <w:pPr>
        <w:spacing w:line="360" w:lineRule="auto"/>
        <w:jc w:val="left"/>
        <w:rPr>
          <w:sz w:val="24"/>
        </w:rPr>
      </w:pPr>
      <w:r>
        <w:rPr>
          <w:sz w:val="24"/>
        </w:rPr>
        <w:t>3.19激光器内置能量计；</w:t>
      </w:r>
    </w:p>
    <w:p>
      <w:pPr>
        <w:spacing w:line="360" w:lineRule="auto"/>
        <w:jc w:val="left"/>
        <w:rPr>
          <w:sz w:val="24"/>
        </w:rPr>
      </w:pPr>
      <w:r>
        <w:rPr>
          <w:sz w:val="24"/>
        </w:rPr>
        <w:t>*3.20激光器具备稳定的光纤种子振荡器，种子振荡器寿命确保&gt;50000小时；</w:t>
      </w:r>
    </w:p>
    <w:p>
      <w:pPr>
        <w:spacing w:line="360" w:lineRule="auto"/>
        <w:jc w:val="left"/>
        <w:rPr>
          <w:sz w:val="24"/>
        </w:rPr>
      </w:pPr>
      <w:r>
        <w:rPr>
          <w:sz w:val="24"/>
        </w:rPr>
        <w:t>*3.21激光器需保证优质的泵浦/放大LD，LD寿命需大于20000小时</w:t>
      </w:r>
    </w:p>
    <w:p>
      <w:pPr>
        <w:spacing w:line="360" w:lineRule="auto"/>
        <w:jc w:val="left"/>
        <w:rPr>
          <w:sz w:val="24"/>
        </w:rPr>
      </w:pPr>
      <w:r>
        <w:rPr>
          <w:sz w:val="24"/>
        </w:rPr>
        <w:t>*3.3.22 需要与用户共同进行激光器的二次开发，必须满足用户要求。</w:t>
      </w:r>
    </w:p>
    <w:p>
      <w:pPr>
        <w:spacing w:line="360" w:lineRule="auto"/>
        <w:jc w:val="left"/>
        <w:rPr>
          <w:sz w:val="24"/>
        </w:rPr>
      </w:pPr>
    </w:p>
    <w:p>
      <w:pPr>
        <w:numPr>
          <w:ilvl w:val="0"/>
          <w:numId w:val="4"/>
        </w:numPr>
        <w:spacing w:line="360" w:lineRule="auto"/>
        <w:rPr>
          <w:b/>
          <w:sz w:val="24"/>
        </w:rPr>
      </w:pPr>
      <w:r>
        <w:rPr>
          <w:b/>
          <w:sz w:val="24"/>
        </w:rPr>
        <w:t>产品配置要求</w:t>
      </w:r>
    </w:p>
    <w:p>
      <w:pPr>
        <w:spacing w:line="360" w:lineRule="auto"/>
        <w:rPr>
          <w:sz w:val="24"/>
        </w:rPr>
      </w:pPr>
      <w:r>
        <w:rPr>
          <w:sz w:val="24"/>
        </w:rPr>
        <w:t>1064nm高功率高重频皮秒激光器一套，包含激光发射头，内置种子源，放大光路，激光器电源箱以及控制链接线缆等。</w:t>
      </w:r>
    </w:p>
    <w:p>
      <w:pPr>
        <w:tabs>
          <w:tab w:val="left" w:pos="540"/>
        </w:tabs>
        <w:spacing w:line="360" w:lineRule="auto"/>
        <w:rPr>
          <w:sz w:val="24"/>
        </w:rPr>
      </w:pPr>
      <w:r>
        <w:rPr>
          <w:sz w:val="24"/>
        </w:rPr>
        <w:t xml:space="preserve">  </w:t>
      </w:r>
    </w:p>
    <w:p>
      <w:pPr>
        <w:tabs>
          <w:tab w:val="left" w:pos="540"/>
        </w:tabs>
        <w:spacing w:line="360" w:lineRule="auto"/>
        <w:rPr>
          <w:b/>
          <w:sz w:val="24"/>
        </w:rPr>
      </w:pPr>
      <w:r>
        <w:rPr>
          <w:rFonts w:hint="eastAsia"/>
          <w:b/>
          <w:sz w:val="24"/>
          <w:lang w:val="en-US" w:eastAsia="zh-CN"/>
        </w:rPr>
        <w:t>5</w:t>
      </w:r>
      <w:r>
        <w:rPr>
          <w:b/>
          <w:sz w:val="24"/>
        </w:rPr>
        <w:t>.  技术文件：</w:t>
      </w:r>
    </w:p>
    <w:p>
      <w:pPr>
        <w:spacing w:line="360" w:lineRule="auto"/>
        <w:rPr>
          <w:sz w:val="24"/>
        </w:rPr>
      </w:pPr>
      <w:r>
        <w:rPr>
          <w:rFonts w:hint="eastAsia"/>
          <w:sz w:val="24"/>
          <w:lang w:val="en-US" w:eastAsia="zh-CN"/>
        </w:rPr>
        <w:t>5</w:t>
      </w:r>
      <w:r>
        <w:rPr>
          <w:sz w:val="24"/>
        </w:rPr>
        <w:t>.1 请参考总则第1.2条。</w:t>
      </w:r>
    </w:p>
    <w:p>
      <w:pPr>
        <w:spacing w:line="360" w:lineRule="auto"/>
        <w:rPr>
          <w:sz w:val="24"/>
        </w:rPr>
      </w:pPr>
      <w:r>
        <w:rPr>
          <w:rFonts w:hint="eastAsia"/>
          <w:sz w:val="24"/>
          <w:lang w:val="en-US" w:eastAsia="zh-CN"/>
        </w:rPr>
        <w:t>5</w:t>
      </w:r>
      <w:r>
        <w:rPr>
          <w:sz w:val="24"/>
        </w:rPr>
        <w:t>.2 请参考总则第2.3条。</w:t>
      </w:r>
    </w:p>
    <w:p>
      <w:pPr>
        <w:spacing w:line="360" w:lineRule="auto"/>
        <w:rPr>
          <w:sz w:val="24"/>
        </w:rPr>
      </w:pPr>
    </w:p>
    <w:p>
      <w:pPr>
        <w:spacing w:line="360" w:lineRule="auto"/>
        <w:rPr>
          <w:b/>
          <w:sz w:val="24"/>
        </w:rPr>
      </w:pPr>
      <w:r>
        <w:rPr>
          <w:b/>
          <w:sz w:val="24"/>
        </w:rPr>
        <w:t>（二）质保及售后服务：</w:t>
      </w:r>
    </w:p>
    <w:p>
      <w:pPr>
        <w:spacing w:line="360" w:lineRule="auto"/>
        <w:rPr>
          <w:sz w:val="24"/>
        </w:rPr>
      </w:pPr>
      <w:r>
        <w:rPr>
          <w:sz w:val="24"/>
        </w:rPr>
        <w:t>1.1 设备安装调试</w:t>
      </w:r>
    </w:p>
    <w:p>
      <w:pPr>
        <w:spacing w:line="360" w:lineRule="auto"/>
        <w:rPr>
          <w:sz w:val="24"/>
        </w:rPr>
      </w:pPr>
      <w:r>
        <w:rPr>
          <w:sz w:val="24"/>
        </w:rPr>
        <w:t xml:space="preserve">1.1.1 </w:t>
      </w:r>
      <w:r>
        <w:rPr>
          <w:color w:val="000000"/>
          <w:sz w:val="24"/>
        </w:rPr>
        <w:t>卖方提供全套、完整的纸质或电子版技术资料，包括仪器说明书、操作手册、简单维修说明、结构图及电路总框图等。</w:t>
      </w:r>
    </w:p>
    <w:p>
      <w:pPr>
        <w:spacing w:line="360" w:lineRule="auto"/>
        <w:rPr>
          <w:sz w:val="24"/>
        </w:rPr>
      </w:pPr>
      <w:r>
        <w:rPr>
          <w:sz w:val="24"/>
        </w:rPr>
        <w:t xml:space="preserve">1.1.2 </w:t>
      </w:r>
      <w:r>
        <w:rPr>
          <w:color w:val="000000"/>
          <w:sz w:val="24"/>
        </w:rPr>
        <w:t>卖方在合同生效后的1个月内向用户提供详细的安装要求并提供技术咨询；在仪器到达前1个月，卖方通知用户水、电、气及其他仪器必备辅助设施的具体要求，从而让用户提前做好仪器安装准备工作。仪器到达用户所在地，在接到用户通知后一周内到达现场进行安装调试，直至通过验收。卖方负责拆除设备包装，自备拆箱过程中所需要的工具和材料，所产生的一切费用与风险由卖方承担</w:t>
      </w:r>
    </w:p>
    <w:p>
      <w:pPr>
        <w:spacing w:line="360" w:lineRule="auto"/>
      </w:pPr>
      <w:r>
        <w:rPr>
          <w:sz w:val="24"/>
        </w:rPr>
        <w:t>1.2</w:t>
      </w:r>
      <w:r>
        <w:rPr>
          <w:rFonts w:hint="eastAsia"/>
          <w:sz w:val="24"/>
          <w:lang w:val="en-US" w:eastAsia="zh-CN"/>
        </w:rPr>
        <w:t xml:space="preserve"> </w:t>
      </w:r>
      <w:r>
        <w:rPr>
          <w:sz w:val="24"/>
        </w:rPr>
        <w:t>技术培训</w:t>
      </w:r>
      <w:r>
        <w:rPr>
          <w:rFonts w:hint="eastAsia"/>
          <w:sz w:val="24"/>
          <w:lang w:eastAsia="zh-CN"/>
        </w:rPr>
        <w:t>：</w:t>
      </w:r>
      <w:r>
        <w:rPr>
          <w:color w:val="000000"/>
          <w:sz w:val="24"/>
        </w:rPr>
        <w:t>卖方在用户所在地对仪器使用者2-3人进行仪器操作和维护培训，使被培训人员达到能够熟练使用，所产生的一切费用与风险由卖方承担。培训内容包括仪器的技术原理、操作、数据处理、基本维护等。</w:t>
      </w:r>
    </w:p>
    <w:p>
      <w:pPr>
        <w:spacing w:line="360" w:lineRule="auto"/>
        <w:rPr>
          <w:sz w:val="24"/>
        </w:rPr>
      </w:pPr>
      <w:r>
        <w:rPr>
          <w:sz w:val="24"/>
        </w:rPr>
        <w:t>*1.3 保修期</w:t>
      </w:r>
      <w:r>
        <w:rPr>
          <w:rFonts w:hint="eastAsia"/>
          <w:sz w:val="24"/>
          <w:lang w:eastAsia="zh-CN"/>
        </w:rPr>
        <w:t>：</w:t>
      </w:r>
      <w:r>
        <w:rPr>
          <w:sz w:val="24"/>
        </w:rPr>
        <w:t>激光器整机验收后质保壹年，光学元器件质保90天。</w:t>
      </w:r>
    </w:p>
    <w:p>
      <w:pPr>
        <w:spacing w:line="360" w:lineRule="auto"/>
        <w:rPr>
          <w:sz w:val="24"/>
        </w:rPr>
      </w:pPr>
      <w:r>
        <w:rPr>
          <w:sz w:val="24"/>
        </w:rPr>
        <w:t>1.4 维修响应时间</w:t>
      </w:r>
      <w:r>
        <w:rPr>
          <w:rFonts w:hint="eastAsia"/>
          <w:sz w:val="24"/>
          <w:lang w:eastAsia="zh-CN"/>
        </w:rPr>
        <w:t>：</w:t>
      </w:r>
      <w:r>
        <w:rPr>
          <w:color w:val="000000"/>
          <w:sz w:val="24"/>
        </w:rPr>
        <w:t>卖方负责设备终身维修，</w:t>
      </w:r>
      <w:r>
        <w:rPr>
          <w:sz w:val="24"/>
        </w:rPr>
        <w:t>必须在中国大陆有专门的衍射仪维修站及备件库；必须在中国大陆有15个以上专门的衍射仪维修工程师；</w:t>
      </w:r>
      <w:r>
        <w:rPr>
          <w:color w:val="000000"/>
          <w:sz w:val="24"/>
        </w:rPr>
        <w:t>在用户提出维修要求后，卖方能在24小时内作出维修响应，2- 4个工作日内到达用户现场进行维修，除需进口仪器配件外，应使仪器恢复正常使用。重大问题或其他无法迅速解决的问题应在一周内解决或提出明确解决方案，否则卖方应赔偿相应损失。</w:t>
      </w:r>
    </w:p>
    <w:p>
      <w:pPr>
        <w:spacing w:line="360" w:lineRule="auto"/>
        <w:rPr>
          <w:color w:val="000000"/>
          <w:sz w:val="24"/>
        </w:rPr>
      </w:pPr>
      <w:r>
        <w:rPr>
          <w:sz w:val="24"/>
        </w:rPr>
        <w:t xml:space="preserve">1.5 </w:t>
      </w:r>
      <w:r>
        <w:rPr>
          <w:color w:val="000000"/>
          <w:sz w:val="24"/>
        </w:rPr>
        <w:t>软件升级：卖方免费向用户提供在硬件许可条件下的软件升级服务。</w:t>
      </w:r>
    </w:p>
    <w:p>
      <w:pPr>
        <w:spacing w:line="360" w:lineRule="auto"/>
        <w:rPr>
          <w:b/>
          <w:sz w:val="24"/>
        </w:rPr>
      </w:pPr>
    </w:p>
    <w:p>
      <w:pPr>
        <w:spacing w:line="360" w:lineRule="auto"/>
        <w:rPr>
          <w:b/>
          <w:sz w:val="24"/>
        </w:rPr>
      </w:pPr>
      <w:r>
        <w:rPr>
          <w:b/>
          <w:sz w:val="24"/>
        </w:rPr>
        <w:t>（三） 订货数量：</w:t>
      </w:r>
    </w:p>
    <w:p>
      <w:pPr>
        <w:spacing w:line="360" w:lineRule="auto"/>
        <w:rPr>
          <w:sz w:val="24"/>
        </w:rPr>
      </w:pPr>
      <w:r>
        <w:rPr>
          <w:sz w:val="24"/>
        </w:rPr>
        <w:t>一套</w:t>
      </w:r>
    </w:p>
    <w:p>
      <w:pPr>
        <w:spacing w:line="360" w:lineRule="auto"/>
        <w:rPr>
          <w:b/>
          <w:sz w:val="24"/>
        </w:rPr>
      </w:pPr>
    </w:p>
    <w:p>
      <w:pPr>
        <w:spacing w:line="360" w:lineRule="auto"/>
        <w:rPr>
          <w:b/>
          <w:sz w:val="24"/>
        </w:rPr>
      </w:pPr>
      <w:r>
        <w:rPr>
          <w:b/>
          <w:sz w:val="24"/>
        </w:rPr>
        <w:t xml:space="preserve">（四） </w:t>
      </w:r>
      <w:r>
        <w:rPr>
          <w:rFonts w:hint="eastAsia"/>
          <w:b/>
          <w:sz w:val="24"/>
          <w:lang w:val="en-US" w:eastAsia="zh-CN"/>
        </w:rPr>
        <w:t>交货地点</w:t>
      </w:r>
      <w:r>
        <w:rPr>
          <w:b/>
          <w:sz w:val="24"/>
        </w:rPr>
        <w:t>：</w:t>
      </w:r>
    </w:p>
    <w:p>
      <w:pPr>
        <w:spacing w:line="360" w:lineRule="auto"/>
        <w:rPr>
          <w:sz w:val="24"/>
        </w:rPr>
      </w:pPr>
      <w:r>
        <w:rPr>
          <w:sz w:val="24"/>
        </w:rPr>
        <w:t>乌鲁木齐市中国科学院新疆理化技术研究所</w:t>
      </w:r>
    </w:p>
    <w:p>
      <w:pPr>
        <w:spacing w:line="360" w:lineRule="auto"/>
        <w:rPr>
          <w:b/>
          <w:sz w:val="24"/>
        </w:rPr>
      </w:pPr>
    </w:p>
    <w:p>
      <w:pPr>
        <w:spacing w:line="360" w:lineRule="auto"/>
        <w:rPr>
          <w:b/>
          <w:sz w:val="24"/>
        </w:rPr>
      </w:pPr>
      <w:r>
        <w:rPr>
          <w:b/>
          <w:sz w:val="24"/>
        </w:rPr>
        <w:t>（五）交货日期：</w:t>
      </w:r>
    </w:p>
    <w:p>
      <w:pPr>
        <w:spacing w:line="360" w:lineRule="auto"/>
        <w:rPr>
          <w:sz w:val="24"/>
        </w:rPr>
        <w:sectPr>
          <w:pgSz w:w="11906" w:h="16838"/>
          <w:pgMar w:top="1418" w:right="1418" w:bottom="1418" w:left="1418" w:header="851" w:footer="992" w:gutter="0"/>
          <w:pgNumType w:start="0"/>
          <w:cols w:space="720" w:num="1"/>
          <w:titlePg/>
          <w:docGrid w:type="lines" w:linePitch="312" w:charSpace="0"/>
        </w:sectPr>
      </w:pPr>
      <w:r>
        <w:rPr>
          <w:sz w:val="24"/>
        </w:rPr>
        <w:t>合同生效收到信用证后12个月内</w:t>
      </w:r>
    </w:p>
    <w:p>
      <w:pPr>
        <w:jc w:val="center"/>
        <w:rPr>
          <w:b/>
          <w:sz w:val="24"/>
        </w:rPr>
      </w:pPr>
      <w:r>
        <w:rPr>
          <w:b/>
          <w:sz w:val="24"/>
        </w:rPr>
        <w:t>第3包 527nm高功率纳秒激光器</w:t>
      </w:r>
    </w:p>
    <w:p>
      <w:pPr>
        <w:rPr>
          <w:b/>
          <w:sz w:val="24"/>
        </w:rPr>
      </w:pPr>
    </w:p>
    <w:p>
      <w:pPr>
        <w:rPr>
          <w:b/>
          <w:sz w:val="24"/>
        </w:rPr>
      </w:pPr>
    </w:p>
    <w:p>
      <w:pPr>
        <w:numPr>
          <w:ilvl w:val="0"/>
          <w:numId w:val="3"/>
        </w:numPr>
        <w:rPr>
          <w:b/>
          <w:sz w:val="24"/>
        </w:rPr>
      </w:pPr>
      <w:r>
        <w:rPr>
          <w:b/>
          <w:sz w:val="24"/>
        </w:rPr>
        <w:t>技术要求：</w:t>
      </w:r>
    </w:p>
    <w:p>
      <w:pPr>
        <w:rPr>
          <w:b/>
          <w:sz w:val="24"/>
        </w:rPr>
      </w:pPr>
    </w:p>
    <w:p>
      <w:pPr>
        <w:numPr>
          <w:ilvl w:val="0"/>
          <w:numId w:val="5"/>
        </w:numPr>
        <w:spacing w:line="360" w:lineRule="auto"/>
        <w:rPr>
          <w:b/>
          <w:sz w:val="24"/>
        </w:rPr>
      </w:pPr>
      <w:r>
        <w:rPr>
          <w:b/>
          <w:sz w:val="24"/>
        </w:rPr>
        <w:t>工作条件：</w:t>
      </w:r>
    </w:p>
    <w:p>
      <w:pPr>
        <w:spacing w:line="360" w:lineRule="auto"/>
        <w:rPr>
          <w:sz w:val="24"/>
        </w:rPr>
      </w:pPr>
      <w:r>
        <w:rPr>
          <w:sz w:val="24"/>
        </w:rPr>
        <w:t>1)工作电压：AC 220V(±15%)，50Hz，单相或AC 380V(±15%)，50Hz，三相</w:t>
      </w:r>
    </w:p>
    <w:p>
      <w:pPr>
        <w:spacing w:line="360" w:lineRule="auto"/>
        <w:rPr>
          <w:sz w:val="24"/>
        </w:rPr>
      </w:pPr>
      <w:r>
        <w:rPr>
          <w:sz w:val="24"/>
        </w:rPr>
        <w:t>2)环境温度：18～28℃</w:t>
      </w:r>
    </w:p>
    <w:p>
      <w:pPr>
        <w:spacing w:line="360" w:lineRule="auto"/>
        <w:rPr>
          <w:sz w:val="24"/>
        </w:rPr>
      </w:pPr>
      <w:r>
        <w:rPr>
          <w:sz w:val="24"/>
        </w:rPr>
        <w:t>3)相对湿度：20%～80%</w:t>
      </w:r>
    </w:p>
    <w:p>
      <w:pPr>
        <w:spacing w:line="360" w:lineRule="auto"/>
        <w:rPr>
          <w:sz w:val="24"/>
        </w:rPr>
      </w:pPr>
      <w:r>
        <w:rPr>
          <w:sz w:val="24"/>
        </w:rPr>
        <w:t>4)仪器运行的持久性：可连续运行</w:t>
      </w:r>
    </w:p>
    <w:p>
      <w:pPr>
        <w:spacing w:line="360" w:lineRule="auto"/>
        <w:rPr>
          <w:sz w:val="24"/>
        </w:rPr>
      </w:pPr>
    </w:p>
    <w:p>
      <w:pPr>
        <w:numPr>
          <w:ilvl w:val="0"/>
          <w:numId w:val="5"/>
        </w:numPr>
        <w:spacing w:line="360" w:lineRule="auto"/>
        <w:rPr>
          <w:b/>
          <w:sz w:val="24"/>
        </w:rPr>
      </w:pPr>
      <w:r>
        <w:rPr>
          <w:b/>
          <w:sz w:val="24"/>
        </w:rPr>
        <w:t>设备用途：</w:t>
      </w:r>
    </w:p>
    <w:p>
      <w:pPr>
        <w:spacing w:line="360" w:lineRule="auto"/>
        <w:ind w:firstLine="420" w:firstLineChars="0"/>
        <w:rPr>
          <w:sz w:val="24"/>
        </w:rPr>
      </w:pPr>
      <w:r>
        <w:rPr>
          <w:sz w:val="24"/>
        </w:rPr>
        <w:t>该激光器将用于泵浦钛宝石激光器以及光参量振荡器。以该527nm激光器作为泵浦光源注入钛宝石激光或光参量系统输出近红外激光，进而通过本团队的紫外晶体做频率转换获得紫外激光输出。将用于新型非线性光学晶体的测试与表征。</w:t>
      </w:r>
    </w:p>
    <w:p>
      <w:pPr>
        <w:spacing w:line="360" w:lineRule="auto"/>
        <w:rPr>
          <w:sz w:val="24"/>
          <w:lang w:val="en-AU"/>
        </w:rPr>
      </w:pPr>
    </w:p>
    <w:p>
      <w:pPr>
        <w:numPr>
          <w:ilvl w:val="0"/>
          <w:numId w:val="5"/>
        </w:numPr>
        <w:spacing w:line="360" w:lineRule="auto"/>
        <w:rPr>
          <w:b/>
          <w:sz w:val="24"/>
        </w:rPr>
      </w:pPr>
      <w:r>
        <w:rPr>
          <w:b/>
          <w:sz w:val="24"/>
        </w:rPr>
        <w:t>技术规格：</w:t>
      </w:r>
    </w:p>
    <w:p>
      <w:pPr>
        <w:spacing w:line="360" w:lineRule="auto"/>
        <w:jc w:val="left"/>
        <w:rPr>
          <w:sz w:val="24"/>
        </w:rPr>
      </w:pPr>
      <w:r>
        <w:rPr>
          <w:sz w:val="24"/>
        </w:rPr>
        <w:t>3.1 输出波长527nm；</w:t>
      </w:r>
    </w:p>
    <w:p>
      <w:pPr>
        <w:spacing w:line="360" w:lineRule="auto"/>
        <w:jc w:val="left"/>
        <w:rPr>
          <w:sz w:val="24"/>
        </w:rPr>
      </w:pPr>
      <w:r>
        <w:rPr>
          <w:sz w:val="24"/>
        </w:rPr>
        <w:t>3.2 输出功率≥38W@1kHz、65W@5kHz、65W@10kHz；</w:t>
      </w:r>
    </w:p>
    <w:p>
      <w:pPr>
        <w:spacing w:line="360" w:lineRule="auto"/>
        <w:jc w:val="left"/>
        <w:rPr>
          <w:sz w:val="24"/>
        </w:rPr>
      </w:pPr>
      <w:r>
        <w:rPr>
          <w:sz w:val="24"/>
        </w:rPr>
        <w:t>3.3 脉冲宽度＜150ns；</w:t>
      </w:r>
    </w:p>
    <w:p>
      <w:pPr>
        <w:spacing w:line="360" w:lineRule="auto"/>
        <w:jc w:val="left"/>
        <w:rPr>
          <w:sz w:val="24"/>
        </w:rPr>
      </w:pPr>
      <w:r>
        <w:rPr>
          <w:sz w:val="24"/>
        </w:rPr>
        <w:t>3.4 重复频率单发至10kHz；</w:t>
      </w:r>
    </w:p>
    <w:p>
      <w:pPr>
        <w:spacing w:line="360" w:lineRule="auto"/>
        <w:jc w:val="left"/>
        <w:rPr>
          <w:sz w:val="24"/>
        </w:rPr>
      </w:pPr>
      <w:r>
        <w:rPr>
          <w:sz w:val="24"/>
        </w:rPr>
        <w:t>3.5 脉宽：~110ns@1kHz；</w:t>
      </w:r>
    </w:p>
    <w:p>
      <w:pPr>
        <w:spacing w:line="360" w:lineRule="auto"/>
        <w:jc w:val="left"/>
        <w:rPr>
          <w:sz w:val="24"/>
        </w:rPr>
      </w:pPr>
      <w:r>
        <w:rPr>
          <w:sz w:val="24"/>
        </w:rPr>
        <w:t>3.6 光束空间模式：多模，M²10 to 16；</w:t>
      </w:r>
    </w:p>
    <w:p>
      <w:pPr>
        <w:spacing w:line="360" w:lineRule="auto"/>
        <w:jc w:val="left"/>
        <w:rPr>
          <w:sz w:val="24"/>
        </w:rPr>
      </w:pPr>
      <w:r>
        <w:rPr>
          <w:sz w:val="24"/>
        </w:rPr>
        <w:t>3.7 光束指向稳定性：&lt;25 urad；</w:t>
      </w:r>
    </w:p>
    <w:p>
      <w:pPr>
        <w:spacing w:line="360" w:lineRule="auto"/>
        <w:jc w:val="left"/>
        <w:rPr>
          <w:sz w:val="24"/>
        </w:rPr>
      </w:pPr>
      <w:r>
        <w:rPr>
          <w:sz w:val="24"/>
        </w:rPr>
        <w:t>3.8 光斑发散角：9 mrad±15%；</w:t>
      </w:r>
    </w:p>
    <w:p>
      <w:pPr>
        <w:spacing w:line="360" w:lineRule="auto"/>
        <w:jc w:val="left"/>
        <w:rPr>
          <w:sz w:val="24"/>
        </w:rPr>
      </w:pPr>
      <w:r>
        <w:rPr>
          <w:sz w:val="24"/>
        </w:rPr>
        <w:t>3.9 连接方式：RS232, Ethernet, Software GUI, External TTL Triggering；</w:t>
      </w:r>
    </w:p>
    <w:p>
      <w:pPr>
        <w:rPr>
          <w:sz w:val="24"/>
        </w:rPr>
      </w:pPr>
      <w:r>
        <w:rPr>
          <w:sz w:val="24"/>
        </w:rPr>
        <w:t>3.10 机器尺寸（长宽高）：≤382mm*165mm*108mm；</w:t>
      </w:r>
    </w:p>
    <w:p>
      <w:pPr>
        <w:spacing w:line="360" w:lineRule="auto"/>
        <w:jc w:val="left"/>
        <w:rPr>
          <w:sz w:val="24"/>
        </w:rPr>
      </w:pPr>
      <w:r>
        <w:rPr>
          <w:sz w:val="24"/>
        </w:rPr>
        <w:t>#3.11 脉冲能量稳定性＜0.5% rms；</w:t>
      </w:r>
    </w:p>
    <w:p>
      <w:pPr>
        <w:spacing w:line="360" w:lineRule="auto"/>
        <w:jc w:val="left"/>
        <w:rPr>
          <w:sz w:val="24"/>
        </w:rPr>
      </w:pPr>
      <w:r>
        <w:rPr>
          <w:sz w:val="24"/>
        </w:rPr>
        <w:t>#3.12 脉冲频率: single shot to 10kHz (15kHz可选）；</w:t>
      </w:r>
    </w:p>
    <w:p>
      <w:pPr>
        <w:spacing w:line="360" w:lineRule="auto"/>
        <w:jc w:val="left"/>
        <w:rPr>
          <w:sz w:val="24"/>
        </w:rPr>
      </w:pPr>
      <w:r>
        <w:rPr>
          <w:sz w:val="24"/>
        </w:rPr>
        <w:t>#3.13 长时稳定性：&lt;0.5% rms；</w:t>
      </w:r>
    </w:p>
    <w:p>
      <w:pPr>
        <w:spacing w:line="360" w:lineRule="auto"/>
        <w:jc w:val="left"/>
        <w:rPr>
          <w:sz w:val="24"/>
        </w:rPr>
      </w:pPr>
      <w:r>
        <w:rPr>
          <w:sz w:val="24"/>
        </w:rPr>
        <w:t>#3.14 光斑圆度：&gt;85%；</w:t>
      </w:r>
    </w:p>
    <w:p>
      <w:pPr>
        <w:spacing w:line="360" w:lineRule="auto"/>
        <w:jc w:val="left"/>
        <w:rPr>
          <w:sz w:val="24"/>
        </w:rPr>
      </w:pPr>
      <w:r>
        <w:rPr>
          <w:sz w:val="24"/>
        </w:rPr>
        <w:t>*3.15 平均功率：90W@3kHz;</w:t>
      </w:r>
    </w:p>
    <w:p>
      <w:pPr>
        <w:spacing w:line="360" w:lineRule="auto"/>
        <w:jc w:val="left"/>
        <w:rPr>
          <w:sz w:val="24"/>
        </w:rPr>
      </w:pPr>
      <w:r>
        <w:rPr>
          <w:sz w:val="24"/>
        </w:rPr>
        <w:t>*3.16 最大单脉冲能量：60mJ@1kHz；</w:t>
      </w:r>
    </w:p>
    <w:p>
      <w:pPr>
        <w:spacing w:line="360" w:lineRule="auto"/>
        <w:jc w:val="left"/>
        <w:rPr>
          <w:sz w:val="24"/>
        </w:rPr>
      </w:pPr>
      <w:bookmarkStart w:id="1" w:name="_Hlk152689716"/>
      <w:r>
        <w:rPr>
          <w:sz w:val="24"/>
        </w:rPr>
        <w:t>*3.17 需要与用户共同进行激光器的二次开发，必须满足用户要求。</w:t>
      </w:r>
    </w:p>
    <w:bookmarkEnd w:id="1"/>
    <w:p>
      <w:pPr>
        <w:spacing w:line="360" w:lineRule="auto"/>
        <w:jc w:val="left"/>
        <w:rPr>
          <w:sz w:val="24"/>
        </w:rPr>
      </w:pPr>
    </w:p>
    <w:p>
      <w:pPr>
        <w:numPr>
          <w:ilvl w:val="0"/>
          <w:numId w:val="5"/>
        </w:numPr>
        <w:spacing w:line="360" w:lineRule="auto"/>
        <w:rPr>
          <w:b/>
          <w:sz w:val="24"/>
        </w:rPr>
      </w:pPr>
      <w:r>
        <w:rPr>
          <w:b/>
          <w:sz w:val="24"/>
        </w:rPr>
        <w:t>产品配置要求</w:t>
      </w:r>
    </w:p>
    <w:p>
      <w:pPr>
        <w:spacing w:line="360" w:lineRule="auto"/>
        <w:rPr>
          <w:sz w:val="24"/>
        </w:rPr>
      </w:pPr>
      <w:r>
        <w:rPr>
          <w:rFonts w:hint="eastAsia"/>
          <w:sz w:val="24"/>
        </w:rPr>
        <w:t>527nm高功率纳秒激光器</w:t>
      </w:r>
      <w:r>
        <w:rPr>
          <w:sz w:val="24"/>
        </w:rPr>
        <w:t>一套，包含激光发射头，内置种子源，放大光路，激光器电源箱以及控制链接线缆等。</w:t>
      </w:r>
    </w:p>
    <w:p>
      <w:pPr>
        <w:tabs>
          <w:tab w:val="left" w:pos="540"/>
        </w:tabs>
        <w:spacing w:line="360" w:lineRule="auto"/>
        <w:rPr>
          <w:b/>
          <w:sz w:val="24"/>
        </w:rPr>
      </w:pPr>
    </w:p>
    <w:p>
      <w:pPr>
        <w:tabs>
          <w:tab w:val="left" w:pos="540"/>
        </w:tabs>
        <w:spacing w:line="360" w:lineRule="auto"/>
        <w:rPr>
          <w:b/>
          <w:sz w:val="24"/>
        </w:rPr>
      </w:pPr>
      <w:r>
        <w:rPr>
          <w:rFonts w:hint="eastAsia"/>
          <w:b/>
          <w:sz w:val="24"/>
          <w:lang w:val="en-US" w:eastAsia="zh-CN"/>
        </w:rPr>
        <w:t>5</w:t>
      </w:r>
      <w:r>
        <w:rPr>
          <w:b/>
          <w:sz w:val="24"/>
        </w:rPr>
        <w:t>.  技术文件：</w:t>
      </w:r>
    </w:p>
    <w:p>
      <w:pPr>
        <w:spacing w:line="360" w:lineRule="auto"/>
        <w:rPr>
          <w:sz w:val="24"/>
        </w:rPr>
      </w:pPr>
      <w:r>
        <w:rPr>
          <w:rFonts w:hint="eastAsia"/>
          <w:sz w:val="24"/>
          <w:lang w:val="en-US" w:eastAsia="zh-CN"/>
        </w:rPr>
        <w:t>5</w:t>
      </w:r>
      <w:r>
        <w:rPr>
          <w:sz w:val="24"/>
        </w:rPr>
        <w:t>.1 请参考总则第1.2条。</w:t>
      </w:r>
    </w:p>
    <w:p>
      <w:pPr>
        <w:spacing w:line="360" w:lineRule="auto"/>
        <w:rPr>
          <w:sz w:val="24"/>
        </w:rPr>
      </w:pPr>
      <w:r>
        <w:rPr>
          <w:rFonts w:hint="eastAsia"/>
          <w:sz w:val="24"/>
          <w:lang w:val="en-US" w:eastAsia="zh-CN"/>
        </w:rPr>
        <w:t>5</w:t>
      </w:r>
      <w:r>
        <w:rPr>
          <w:sz w:val="24"/>
        </w:rPr>
        <w:t>.2 请参考总则第2.3条。</w:t>
      </w:r>
    </w:p>
    <w:p>
      <w:pPr>
        <w:spacing w:line="360" w:lineRule="auto"/>
        <w:rPr>
          <w:sz w:val="24"/>
        </w:rPr>
      </w:pPr>
    </w:p>
    <w:p>
      <w:pPr>
        <w:spacing w:line="360" w:lineRule="auto"/>
        <w:rPr>
          <w:b/>
          <w:sz w:val="24"/>
        </w:rPr>
      </w:pPr>
      <w:r>
        <w:rPr>
          <w:b/>
          <w:sz w:val="24"/>
        </w:rPr>
        <w:t>（二）质保及售后服务：</w:t>
      </w:r>
    </w:p>
    <w:p>
      <w:pPr>
        <w:spacing w:line="360" w:lineRule="auto"/>
        <w:rPr>
          <w:sz w:val="24"/>
        </w:rPr>
      </w:pPr>
      <w:r>
        <w:rPr>
          <w:sz w:val="24"/>
        </w:rPr>
        <w:t>1.1 设备安装调试</w:t>
      </w:r>
    </w:p>
    <w:p>
      <w:pPr>
        <w:spacing w:line="360" w:lineRule="auto"/>
        <w:rPr>
          <w:sz w:val="24"/>
        </w:rPr>
      </w:pPr>
      <w:r>
        <w:rPr>
          <w:sz w:val="24"/>
        </w:rPr>
        <w:t xml:space="preserve">1.1.1 </w:t>
      </w:r>
      <w:r>
        <w:rPr>
          <w:color w:val="000000"/>
          <w:sz w:val="24"/>
        </w:rPr>
        <w:t>卖方提供全套、完整的纸质或电子版技术资料，包括仪器说明书、操作手册、简单维修说明、结构图及电路总框图等。</w:t>
      </w:r>
    </w:p>
    <w:p>
      <w:pPr>
        <w:spacing w:line="360" w:lineRule="auto"/>
        <w:rPr>
          <w:sz w:val="24"/>
        </w:rPr>
      </w:pPr>
      <w:r>
        <w:rPr>
          <w:sz w:val="24"/>
        </w:rPr>
        <w:t xml:space="preserve">1.1.2 </w:t>
      </w:r>
      <w:r>
        <w:rPr>
          <w:color w:val="000000"/>
          <w:sz w:val="24"/>
        </w:rPr>
        <w:t>卖方在合同生效后的1个月内向用户提供详细的安装要求并提供技术咨询；在仪器到达前1个月，卖方通知用户水、电、气及其他仪器必备辅助设施的具体要求，从而让用户提前做好仪器安装准备工作。仪器到达用户所在地，在接到用户通知后一周内到达现场进行安装调试，直至通过验收。卖方负责拆除设备包装，自备拆箱过程中所需要的工具和材料，所产生的一切费用与风险由卖方承担</w:t>
      </w:r>
    </w:p>
    <w:p>
      <w:pPr>
        <w:spacing w:line="360" w:lineRule="auto"/>
      </w:pPr>
      <w:r>
        <w:rPr>
          <w:sz w:val="24"/>
        </w:rPr>
        <w:t>1.2</w:t>
      </w:r>
      <w:r>
        <w:rPr>
          <w:rFonts w:hint="eastAsia"/>
          <w:sz w:val="24"/>
          <w:lang w:val="en-US" w:eastAsia="zh-CN"/>
        </w:rPr>
        <w:t xml:space="preserve"> </w:t>
      </w:r>
      <w:r>
        <w:rPr>
          <w:sz w:val="24"/>
        </w:rPr>
        <w:t>技术培训</w:t>
      </w:r>
      <w:r>
        <w:rPr>
          <w:rFonts w:hint="eastAsia"/>
          <w:sz w:val="24"/>
          <w:lang w:eastAsia="zh-CN"/>
        </w:rPr>
        <w:t>：</w:t>
      </w:r>
      <w:r>
        <w:rPr>
          <w:color w:val="000000"/>
          <w:sz w:val="24"/>
        </w:rPr>
        <w:t>卖方在用户所在地对仪器使用者2-3人进行仪器操作和维护培训，使被培训人员达到能够熟练使用，所产生的一切费用与风险由卖方承担。培训内容包括仪器的技术原理、操作、数据处理、基本维护等。</w:t>
      </w:r>
    </w:p>
    <w:p>
      <w:pPr>
        <w:spacing w:line="360" w:lineRule="auto"/>
        <w:rPr>
          <w:sz w:val="24"/>
        </w:rPr>
      </w:pPr>
      <w:r>
        <w:rPr>
          <w:sz w:val="24"/>
        </w:rPr>
        <w:t>*1.3 保修期</w:t>
      </w:r>
      <w:r>
        <w:rPr>
          <w:rFonts w:hint="eastAsia"/>
          <w:sz w:val="24"/>
          <w:lang w:eastAsia="zh-CN"/>
        </w:rPr>
        <w:t>：</w:t>
      </w:r>
      <w:r>
        <w:rPr>
          <w:sz w:val="24"/>
        </w:rPr>
        <w:t>仪器验收后保修</w:t>
      </w:r>
      <w:r>
        <w:rPr>
          <w:rFonts w:hint="eastAsia"/>
          <w:sz w:val="24"/>
        </w:rPr>
        <w:t>壹</w:t>
      </w:r>
      <w:r>
        <w:rPr>
          <w:sz w:val="24"/>
        </w:rPr>
        <w:t>年。</w:t>
      </w:r>
    </w:p>
    <w:p>
      <w:pPr>
        <w:spacing w:line="360" w:lineRule="auto"/>
        <w:rPr>
          <w:sz w:val="24"/>
        </w:rPr>
      </w:pPr>
      <w:r>
        <w:rPr>
          <w:sz w:val="24"/>
        </w:rPr>
        <w:t>1.4 维修响应时间</w:t>
      </w:r>
      <w:r>
        <w:rPr>
          <w:rFonts w:hint="eastAsia"/>
          <w:sz w:val="24"/>
          <w:lang w:eastAsia="zh-CN"/>
        </w:rPr>
        <w:t>：</w:t>
      </w:r>
      <w:r>
        <w:rPr>
          <w:color w:val="000000"/>
          <w:sz w:val="24"/>
        </w:rPr>
        <w:t>卖方负责设备终身维修，</w:t>
      </w:r>
      <w:r>
        <w:rPr>
          <w:sz w:val="24"/>
        </w:rPr>
        <w:t>必须在中国大陆有专门的衍射仪维修站及备件库；必须在中国大陆有15个以上专门的衍射仪维修工程师；</w:t>
      </w:r>
      <w:r>
        <w:rPr>
          <w:color w:val="000000"/>
          <w:sz w:val="24"/>
        </w:rPr>
        <w:t>在用户提出维修要求后，卖方能在24小时内作出维修响应，2- 4个工作日内到达用户现场进行维修，除需进口仪器配件外，应使仪器恢复正常使用。重大问题或其他无法迅速解决的问题应在一周内解决或提出明确解决方案，否则卖方应赔偿相应损失。</w:t>
      </w:r>
    </w:p>
    <w:p>
      <w:pPr>
        <w:spacing w:line="360" w:lineRule="auto"/>
        <w:rPr>
          <w:color w:val="000000"/>
          <w:sz w:val="24"/>
        </w:rPr>
      </w:pPr>
      <w:r>
        <w:rPr>
          <w:sz w:val="24"/>
        </w:rPr>
        <w:t xml:space="preserve">1.5 </w:t>
      </w:r>
      <w:r>
        <w:rPr>
          <w:color w:val="000000"/>
          <w:sz w:val="24"/>
        </w:rPr>
        <w:t>软件升级：卖方免费向用户提供在硬件许可条件下的软件升级服务。</w:t>
      </w:r>
    </w:p>
    <w:p>
      <w:pPr>
        <w:spacing w:line="360" w:lineRule="auto"/>
        <w:rPr>
          <w:b/>
          <w:sz w:val="24"/>
        </w:rPr>
      </w:pPr>
    </w:p>
    <w:p>
      <w:pPr>
        <w:spacing w:line="360" w:lineRule="auto"/>
        <w:rPr>
          <w:b/>
          <w:sz w:val="24"/>
        </w:rPr>
      </w:pPr>
      <w:r>
        <w:rPr>
          <w:b/>
          <w:sz w:val="24"/>
        </w:rPr>
        <w:t>（三） 订货数量：</w:t>
      </w:r>
    </w:p>
    <w:p>
      <w:pPr>
        <w:spacing w:line="360" w:lineRule="auto"/>
        <w:rPr>
          <w:sz w:val="24"/>
        </w:rPr>
      </w:pPr>
      <w:r>
        <w:rPr>
          <w:sz w:val="24"/>
        </w:rPr>
        <w:t>一台</w:t>
      </w:r>
    </w:p>
    <w:p>
      <w:pPr>
        <w:spacing w:line="360" w:lineRule="auto"/>
        <w:rPr>
          <w:b/>
          <w:sz w:val="24"/>
        </w:rPr>
      </w:pPr>
    </w:p>
    <w:p>
      <w:pPr>
        <w:spacing w:line="360" w:lineRule="auto"/>
        <w:rPr>
          <w:b/>
          <w:sz w:val="24"/>
        </w:rPr>
      </w:pPr>
      <w:r>
        <w:rPr>
          <w:b/>
          <w:sz w:val="24"/>
        </w:rPr>
        <w:t xml:space="preserve">（四） </w:t>
      </w:r>
      <w:r>
        <w:rPr>
          <w:rFonts w:hint="eastAsia"/>
          <w:b/>
          <w:sz w:val="24"/>
          <w:lang w:val="en-US" w:eastAsia="zh-CN"/>
        </w:rPr>
        <w:t>交货地点</w:t>
      </w:r>
      <w:r>
        <w:rPr>
          <w:b/>
          <w:sz w:val="24"/>
        </w:rPr>
        <w:t>：</w:t>
      </w:r>
    </w:p>
    <w:p>
      <w:pPr>
        <w:spacing w:line="360" w:lineRule="auto"/>
        <w:rPr>
          <w:sz w:val="24"/>
        </w:rPr>
      </w:pPr>
      <w:r>
        <w:rPr>
          <w:sz w:val="24"/>
        </w:rPr>
        <w:t>乌鲁木齐市中国科学院新疆理化技术研究所</w:t>
      </w:r>
    </w:p>
    <w:p>
      <w:pPr>
        <w:spacing w:line="360" w:lineRule="auto"/>
        <w:rPr>
          <w:b/>
          <w:sz w:val="24"/>
        </w:rPr>
      </w:pPr>
    </w:p>
    <w:p>
      <w:pPr>
        <w:spacing w:line="360" w:lineRule="auto"/>
        <w:rPr>
          <w:b/>
          <w:sz w:val="24"/>
        </w:rPr>
      </w:pPr>
      <w:r>
        <w:rPr>
          <w:b/>
          <w:sz w:val="24"/>
        </w:rPr>
        <w:t>（五）交货日期：</w:t>
      </w:r>
    </w:p>
    <w:p>
      <w:pPr>
        <w:spacing w:line="360" w:lineRule="auto"/>
        <w:rPr>
          <w:sz w:val="24"/>
        </w:rPr>
      </w:pPr>
      <w:r>
        <w:rPr>
          <w:sz w:val="24"/>
        </w:rPr>
        <w:t>合同生效后4个月内</w:t>
      </w:r>
    </w:p>
    <w:p/>
    <w:sectPr>
      <w:pgSz w:w="11906" w:h="16838"/>
      <w:pgMar w:top="1418" w:right="1418" w:bottom="1418" w:left="1418" w:header="851" w:footer="992" w:gutter="0"/>
      <w:pgNumType w:start="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10" w:usb3="00000000" w:csb0="00040000" w:csb1="00000000"/>
  </w:font>
  <w:font w:name="Bookman Old Style">
    <w:altName w:val="Segoe Print"/>
    <w:panose1 w:val="020506040505050202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fldChar w:fldCharType="begin"/>
    </w:r>
    <w:r>
      <w:instrText xml:space="preserve">PAGE   \* MERGEFORMAT</w:instrText>
    </w:r>
    <w:r>
      <w:fldChar w:fldCharType="separate"/>
    </w:r>
    <w:r>
      <w:rPr>
        <w:lang w:val="zh-CN"/>
      </w:rPr>
      <w:t>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both"/>
      <w:rPr>
        <w:rFonts w:hint="eastAsia"/>
      </w:rPr>
    </w:pPr>
    <w:r>
      <w:rPr>
        <w:rFonts w:hint="eastAsia"/>
        <w:i/>
      </w:rPr>
      <w:t>东方国际招标有限责任公司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0A4B1D49"/>
    <w:multiLevelType w:val="multilevel"/>
    <w:tmpl w:val="0A4B1D49"/>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246320DE"/>
    <w:multiLevelType w:val="multilevel"/>
    <w:tmpl w:val="246320DE"/>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
    <w:nsid w:val="68F84946"/>
    <w:multiLevelType w:val="multilevel"/>
    <w:tmpl w:val="68F84946"/>
    <w:lvl w:ilvl="0" w:tentative="0">
      <w:start w:val="1"/>
      <w:numFmt w:val="decimal"/>
      <w:lvlText w:val="%1）"/>
      <w:lvlJc w:val="left"/>
      <w:pPr>
        <w:tabs>
          <w:tab w:val="left" w:pos="1896"/>
        </w:tabs>
        <w:ind w:left="1896" w:hanging="396"/>
      </w:pPr>
      <w:rPr>
        <w:rFonts w:hint="eastAsia" w:eastAsia="仿宋_GB2312"/>
        <w:b w:val="0"/>
        <w:i w:val="0"/>
        <w:color w:val="auto"/>
      </w:rPr>
    </w:lvl>
    <w:lvl w:ilvl="1" w:tentative="0">
      <w:start w:val="8"/>
      <w:numFmt w:val="japaneseCounting"/>
      <w:lvlText w:val="第%2章"/>
      <w:lvlJc w:val="left"/>
      <w:pPr>
        <w:tabs>
          <w:tab w:val="left" w:pos="1935"/>
        </w:tabs>
        <w:ind w:left="1935" w:hanging="1515"/>
      </w:pPr>
      <w:rPr>
        <w:rFonts w:hint="default"/>
      </w:rPr>
    </w:lvl>
    <w:lvl w:ilvl="2" w:tentative="0">
      <w:start w:val="1"/>
      <w:numFmt w:val="japaneseCounting"/>
      <w:lvlText w:val="%3、"/>
      <w:lvlJc w:val="left"/>
      <w:pPr>
        <w:tabs>
          <w:tab w:val="left" w:pos="1560"/>
        </w:tabs>
        <w:ind w:left="1560" w:hanging="72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hmODAwMjU3MDZiMTA1ZGNlMWIzYzVhOTM2YjUwNTgifQ=="/>
  </w:docVars>
  <w:rsids>
    <w:rsidRoot w:val="5A061300"/>
    <w:rsid w:val="11986825"/>
    <w:rsid w:val="19A47BFB"/>
    <w:rsid w:val="1AE31ED9"/>
    <w:rsid w:val="1AED4087"/>
    <w:rsid w:val="4FFE21D9"/>
    <w:rsid w:val="5A061300"/>
    <w:rsid w:val="5A8A23F2"/>
    <w:rsid w:val="66C857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szCs w:val="20"/>
    </w:r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13</TotalTime>
  <ScaleCrop>false</ScaleCrop>
  <LinksUpToDate>false</LinksUpToDate>
  <CharactersWithSpaces>0</CharactersWithSpaces>
  <Application>WPS Office_12.1.0.15990_F1E327BC-269C-435d-A152-05C5408002CA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2023-12-07T05:33:00Z</dcterms:created>
  <dc:creator>godjiao</dc:creator>
  <cp:lastModifiedBy>Administrator</cp:lastModifiedBy>
  <dcterms:modified xsi:type="dcterms:W3CDTF">2023-12-08T03:11:05Z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2052-12.1.0.15990</vt:lpwstr>
  </property>
  <property fmtid="{D5CDD505-2E9C-101B-9397-08002B2CF9AE}" pid="3" name="ICV">
    <vt:lpwstr>91FAA80373D04732A6763EBF96E804DE_13</vt:lpwstr>
  </property>
</Properties>
</file>