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548D0">
      <w:pPr>
        <w:pStyle w:val="2"/>
        <w:jc w:val="center"/>
        <w:rPr>
          <w:rFonts w:hint="eastAsia"/>
          <w:b w:val="0"/>
        </w:rPr>
      </w:pPr>
      <w:bookmarkStart w:id="10" w:name="_GoBack"/>
      <w:bookmarkEnd w:id="10"/>
      <w:bookmarkStart w:id="0" w:name="_Toc129682893"/>
      <w:bookmarkStart w:id="1" w:name="_Hlk187680470"/>
      <w:r>
        <w:rPr>
          <w:rFonts w:hint="eastAsia"/>
          <w:b w:val="0"/>
        </w:rPr>
        <w:t>第六章 技术要求</w:t>
      </w:r>
      <w:bookmarkEnd w:id="0"/>
    </w:p>
    <w:p w14:paraId="3DB74A2D"/>
    <w:p w14:paraId="3BA5686E">
      <w:pPr>
        <w:pStyle w:val="3"/>
        <w:spacing w:before="0" w:after="0" w:line="360" w:lineRule="auto"/>
        <w:rPr>
          <w:rFonts w:hint="eastAsia" w:ascii="宋体" w:hAnsi="宋体" w:eastAsia="宋体"/>
          <w:b w:val="0"/>
          <w:sz w:val="24"/>
          <w:szCs w:val="24"/>
        </w:rPr>
      </w:pPr>
      <w:r>
        <w:rPr>
          <w:rFonts w:hint="eastAsia" w:ascii="宋体" w:hAnsi="宋体" w:eastAsia="宋体"/>
          <w:b w:val="0"/>
          <w:sz w:val="24"/>
          <w:szCs w:val="24"/>
        </w:rPr>
        <w:t>一、</w:t>
      </w:r>
      <w:bookmarkStart w:id="2" w:name="_Toc403258040"/>
      <w:bookmarkStart w:id="3" w:name="_Toc196475162"/>
      <w:r>
        <w:rPr>
          <w:rFonts w:hint="eastAsia" w:ascii="宋体" w:hAnsi="宋体" w:eastAsia="宋体"/>
          <w:b w:val="0"/>
          <w:sz w:val="24"/>
          <w:szCs w:val="24"/>
        </w:rPr>
        <w:t>货物需求一览表</w:t>
      </w:r>
      <w:bookmarkEnd w:id="2"/>
      <w:bookmarkEnd w:id="3"/>
    </w:p>
    <w:tbl>
      <w:tblPr>
        <w:tblStyle w:val="7"/>
        <w:tblpPr w:leftFromText="180" w:rightFromText="180" w:vertAnchor="text" w:horzAnchor="margin" w:tblpXSpec="center" w:tblpY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"/>
        <w:gridCol w:w="585"/>
        <w:gridCol w:w="466"/>
        <w:gridCol w:w="5592"/>
        <w:gridCol w:w="783"/>
        <w:gridCol w:w="630"/>
      </w:tblGrid>
      <w:tr w14:paraId="19B4E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413C2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包号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6E47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货物名称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7DE7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数量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EFD6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简要技术规格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3D629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是否允许采购进口产品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D125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采购预算</w:t>
            </w:r>
          </w:p>
        </w:tc>
      </w:tr>
      <w:tr w14:paraId="5B432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45E8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B3170">
            <w:pPr>
              <w:adjustRightInd w:val="0"/>
              <w:snapToGrid w:val="0"/>
              <w:jc w:val="center"/>
              <w:outlineLvl w:val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流式细胞仪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749211">
            <w:pPr>
              <w:adjustRightInd w:val="0"/>
              <w:snapToGrid w:val="0"/>
              <w:jc w:val="center"/>
              <w:outlineLvl w:val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48419">
            <w:p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在短时间内检测大量细胞，对同一个细胞进行多参数定量分析，可以测量</w:t>
            </w:r>
            <w:r>
              <w:rPr>
                <w:rFonts w:hAnsi="宋体"/>
                <w:szCs w:val="21"/>
              </w:rPr>
              <w:t xml:space="preserve"> </w:t>
            </w:r>
            <w:r>
              <w:rPr>
                <w:rFonts w:hint="eastAsia" w:hAnsi="宋体"/>
                <w:szCs w:val="21"/>
              </w:rPr>
              <w:t>细胞大小、内部颗粒的性状，以及检测细胞表面和胞浆及胞核内抗原、细胞内核</w:t>
            </w:r>
            <w:r>
              <w:rPr>
                <w:rFonts w:hAnsi="宋体"/>
                <w:szCs w:val="21"/>
              </w:rPr>
              <w:t xml:space="preserve"> </w:t>
            </w:r>
            <w:r>
              <w:rPr>
                <w:rFonts w:hint="eastAsia" w:hAnsi="宋体"/>
                <w:szCs w:val="21"/>
              </w:rPr>
              <w:t>酸含量等性能指标。用于生物学研究，包括但不限于细胞增殖、细胞周期分析、</w:t>
            </w:r>
            <w:r>
              <w:rPr>
                <w:rFonts w:hAnsi="宋体"/>
                <w:szCs w:val="21"/>
              </w:rPr>
              <w:t xml:space="preserve"> </w:t>
            </w:r>
            <w:r>
              <w:rPr>
                <w:rFonts w:hint="eastAsia" w:hAnsi="宋体"/>
                <w:szCs w:val="21"/>
              </w:rPr>
              <w:t>细胞凋亡、</w:t>
            </w:r>
            <w:r>
              <w:rPr>
                <w:rFonts w:hAnsi="宋体"/>
                <w:szCs w:val="21"/>
              </w:rPr>
              <w:t xml:space="preserve">DNA </w:t>
            </w:r>
            <w:r>
              <w:rPr>
                <w:rFonts w:hint="eastAsia" w:hAnsi="宋体"/>
                <w:szCs w:val="21"/>
              </w:rPr>
              <w:t>分析和免疫多色分析等研究工作；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C788A">
            <w:pPr>
              <w:jc w:val="center"/>
              <w:outlineLvl w:val="0"/>
              <w:rPr>
                <w:rFonts w:hint="eastAsia" w:ascii="宋体" w:hAnsi="宋体"/>
                <w:szCs w:val="21"/>
                <w:lang w:eastAsia="zh-Hans"/>
              </w:rPr>
            </w:pPr>
            <w:r>
              <w:rPr>
                <w:rFonts w:hint="eastAsia" w:ascii="宋体" w:hAnsi="宋体"/>
                <w:szCs w:val="21"/>
                <w:lang w:eastAsia="zh-Hans"/>
              </w:rPr>
              <w:t>否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92E95">
            <w:pPr>
              <w:jc w:val="center"/>
              <w:outlineLvl w:val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264</w:t>
            </w:r>
          </w:p>
          <w:p w14:paraId="0A8CEBEA">
            <w:pPr>
              <w:jc w:val="center"/>
              <w:outlineLvl w:val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万元</w:t>
            </w:r>
          </w:p>
        </w:tc>
      </w:tr>
    </w:tbl>
    <w:p w14:paraId="39F17B01">
      <w:pPr>
        <w:pStyle w:val="3"/>
        <w:spacing w:before="0" w:after="0" w:line="360" w:lineRule="auto"/>
        <w:ind w:firstLine="480" w:firstLineChars="200"/>
        <w:jc w:val="center"/>
        <w:rPr>
          <w:rFonts w:hint="eastAsia" w:ascii="宋体" w:hAnsi="宋体" w:eastAsia="宋体"/>
          <w:b w:val="0"/>
          <w:bCs w:val="0"/>
          <w:sz w:val="24"/>
          <w:szCs w:val="24"/>
        </w:rPr>
      </w:pPr>
    </w:p>
    <w:p w14:paraId="0008A4F1">
      <w:pPr>
        <w:spacing w:line="360" w:lineRule="auto"/>
        <w:rPr>
          <w:rFonts w:hint="eastAsia" w:ascii="宋体" w:hAnsi="宋体"/>
          <w:bCs/>
          <w:sz w:val="24"/>
        </w:rPr>
      </w:pPr>
      <w:bookmarkStart w:id="4" w:name="OLE_LINK6"/>
      <w:bookmarkStart w:id="5" w:name="OLE_LINK11"/>
      <w:r>
        <w:rPr>
          <w:rFonts w:hint="eastAsia" w:ascii="宋体" w:hAnsi="宋体"/>
          <w:bCs/>
          <w:sz w:val="24"/>
        </w:rPr>
        <w:t>二、主要技术指标</w:t>
      </w:r>
      <w:bookmarkEnd w:id="4"/>
      <w:bookmarkEnd w:id="5"/>
      <w:r>
        <w:rPr>
          <w:rFonts w:hint="eastAsia" w:ascii="宋体" w:hAnsi="宋体"/>
          <w:bCs/>
          <w:sz w:val="24"/>
        </w:rPr>
        <w:t>（需实现的功能或者目标、需满足的质量、安全、技术规格、物理特性等）</w:t>
      </w:r>
    </w:p>
    <w:p w14:paraId="66AC6147">
      <w:pPr>
        <w:pStyle w:val="6"/>
        <w:spacing w:line="360" w:lineRule="auto"/>
        <w:ind w:left="480" w:hanging="480" w:hangingChars="200"/>
        <w:rPr>
          <w:rFonts w:hint="eastAsia"/>
          <w:bCs/>
          <w:kern w:val="2"/>
        </w:rPr>
      </w:pPr>
    </w:p>
    <w:p w14:paraId="7E1CD5AE">
      <w:pPr>
        <w:pStyle w:val="12"/>
        <w:spacing w:line="360" w:lineRule="auto"/>
        <w:ind w:firstLine="0" w:firstLineChars="0"/>
        <w:rPr>
          <w:rFonts w:hint="eastAsia" w:ascii="宋体" w:hAnsi="宋体" w:cs="宋体"/>
          <w:kern w:val="0"/>
          <w:sz w:val="24"/>
          <w:szCs w:val="24"/>
        </w:rPr>
      </w:pPr>
      <w:bookmarkStart w:id="6" w:name="_Toc403258042"/>
      <w:bookmarkStart w:id="7" w:name="_Toc230357439"/>
      <w:bookmarkStart w:id="8" w:name="_Toc289948435"/>
      <w:bookmarkStart w:id="9" w:name="_Toc258264687"/>
      <w:r>
        <w:rPr>
          <w:rFonts w:hint="eastAsia" w:ascii="宋体" w:hAnsi="宋体" w:cs="宋体"/>
          <w:sz w:val="24"/>
          <w:szCs w:val="24"/>
        </w:rPr>
        <w:t xml:space="preserve">1. 工作条件： </w:t>
      </w:r>
    </w:p>
    <w:p w14:paraId="333E697A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1.1 电源：电压 100-240V，电流10A，功率150-250W； </w:t>
      </w:r>
    </w:p>
    <w:p w14:paraId="7C612B22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1.2 环境温度：15 - 30 ℃； </w:t>
      </w:r>
    </w:p>
    <w:p w14:paraId="36C0B1EF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1.3 环境湿度：15% - 80%，无冷凝。 </w:t>
      </w:r>
    </w:p>
    <w:p w14:paraId="1976FDF6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2. 设备用途： </w:t>
      </w:r>
    </w:p>
    <w:p w14:paraId="04F97B92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2.1 在短时间内检测大量细胞，对同一个细胞进行多参数定量分析，可以测量 细胞大小、内部颗粒的性状，以及检测细胞表面和胞浆及胞核内抗原、细胞内核 酸含量等性能指标。用于生物学研究，包括但不限于细胞增殖、细胞周期分析、 细胞凋亡、DNA 分析和免疫多色分析等研究工作； </w:t>
      </w:r>
    </w:p>
    <w:p w14:paraId="7206422A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 技术规格： </w:t>
      </w:r>
    </w:p>
    <w:p w14:paraId="752532F3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★3.1 主机至少配置 488nm≥50mW、638nm±5nm≥50mW、405nm≥80mW、 561nm≥30mW、355±20nm≥20mW 和 730nm-900nm≥60mW 等六根独立控制的固 态激光器； </w:t>
      </w:r>
    </w:p>
    <w:p w14:paraId="2F20917C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★3.2 检测参数：可以同时检测≥22个参数，包括20个荧光参数、SSC和FSC； </w:t>
      </w:r>
    </w:p>
    <w:p w14:paraId="0F7A099B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#3.3 流动室数值孔径≥1.3 NA；（提供相关证明材料） </w:t>
      </w:r>
    </w:p>
    <w:p w14:paraId="57CF44B1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#3.4 采用光纤传导的雪崩二极管检测器阵列（APD）；（提供相关证明材料） </w:t>
      </w:r>
    </w:p>
    <w:p w14:paraId="458B1BC8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▲3.5 侧向散射光分辨率≤80nm（提供相关证明材料）； </w:t>
      </w:r>
    </w:p>
    <w:p w14:paraId="04B5AD90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▲3.6 荧光灵敏度：FITC≤30 MESF，PE≤10 MESF（提供相关证明材料）； </w:t>
      </w:r>
    </w:p>
    <w:p w14:paraId="48D021FD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3.7 荧光分辨率：rCV≤3%（G0/G1期最高峰）； </w:t>
      </w:r>
    </w:p>
    <w:p w14:paraId="73B4B4FC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3.8 无需微球的绝对计数功能，可快速经济的进行样本浓度测定； </w:t>
      </w:r>
    </w:p>
    <w:p w14:paraId="76900BB9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#3.9 信号处理：≥24bit及100万道分辨率的全数字化系统；（提供相关证明材料） </w:t>
      </w:r>
    </w:p>
    <w:p w14:paraId="0F1EB2DE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3.10 10</w:t>
      </w:r>
      <w:r>
        <w:rPr>
          <w:rFonts w:hint="eastAsia" w:ascii="宋体" w:hAnsi="宋体" w:cs="宋体"/>
          <w:sz w:val="24"/>
          <w:szCs w:val="24"/>
          <w:vertAlign w:val="superscript"/>
        </w:rPr>
        <w:t>7</w:t>
      </w:r>
      <w:r>
        <w:rPr>
          <w:rFonts w:hint="eastAsia" w:ascii="宋体" w:hAnsi="宋体" w:cs="宋体"/>
          <w:sz w:val="24"/>
          <w:szCs w:val="24"/>
        </w:rPr>
        <w:t xml:space="preserve">的线性动态范围，可以将强信号和弱信号都完全显示在一张图上； </w:t>
      </w:r>
    </w:p>
    <w:p w14:paraId="27C0AF77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3.11 支持多色荧光信号共同采集，22个参数时检测速度≥28,000事件/秒； </w:t>
      </w:r>
    </w:p>
    <w:p w14:paraId="26182047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3.12 具有补偿数据库：存储染料的荧光溢出值，随着增益的变化，准确调节补偿 矩阵； #3.13 至少具有2300万Events的数据存储能力；（提供相关证明材料） </w:t>
      </w:r>
    </w:p>
    <w:p w14:paraId="069B188A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3.14 自动化上样系统，具有自动混匀和自动清洗功能，降低样本间交叉污染； </w:t>
      </w:r>
    </w:p>
    <w:p w14:paraId="07092A52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3.15 液流系统日常维护简单、清洗简便，自带开关机程序； </w:t>
      </w:r>
    </w:p>
    <w:p w14:paraId="05A94A82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3.16 上样速度：至少具有10μL、30μL、60 μL/min三种固定流速； </w:t>
      </w:r>
    </w:p>
    <w:p w14:paraId="4A9C11FA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#3.17 具有用户可自定义流速控制模式范围：10-220 μL/min，按照1 μL增量调节； （提供相关证明材料） </w:t>
      </w:r>
    </w:p>
    <w:p w14:paraId="606A78DD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3.18 自动单管上样可使用标准流式管、1.5ml 和2.0ml EP管； </w:t>
      </w:r>
    </w:p>
    <w:p w14:paraId="6FAB9657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3.19 同时配有96孔板上样系统，可用于96孔标准平底，U和V形底板； </w:t>
      </w:r>
    </w:p>
    <w:p w14:paraId="24B38291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3.20 操作系统：Window 7或以上版本； </w:t>
      </w:r>
    </w:p>
    <w:p w14:paraId="15A4AB00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#3.21 软件支持中英文操作界面，安装无版权限制，可以任意次数安装。（提供相 关证明材料） </w:t>
      </w:r>
    </w:p>
    <w:p w14:paraId="6940ECEC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二、采购标的需执行的国家相关标准、行业标准、地方标准或者其他标准、规 范： </w:t>
      </w:r>
    </w:p>
    <w:p w14:paraId="7ACE1656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符合国家或国际相关标准。 </w:t>
      </w:r>
    </w:p>
    <w:p w14:paraId="4F3BE411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三、售后服务要求： </w:t>
      </w:r>
    </w:p>
    <w:p w14:paraId="47A93FB6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3.1 投标商应对任何由于不当包装或防护措施不利而导致的商品损坏、损失、锈 蚀、费用增长等后果负责。 </w:t>
      </w:r>
    </w:p>
    <w:p w14:paraId="42FDF34C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3.2 ★提供至少六年的免费技术支持和培训服务。合同期外，需提供永久的保障性 服务，以保障软件的正常使用。保修期内，任何由制造商选材和制造不当引起的 质量问题，制造商负责免费维修。保修期自验收签字之日起计算。保修期满前1 个月内制造商应负责一次免费全面检查，并写出正式报告，如发现潜在问题，应负责排除。 （本条只需应答，不用提供彩页等证明资料）</w:t>
      </w:r>
    </w:p>
    <w:p w14:paraId="236B7DB5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3.3 维保期间，整机任何故障在报修后立即响应，现场维修24小时内上门，并在到达后3日内解决合同货物的故障（重大故障除外），维修相关所有费用全免； 维保期间，每年至少2次上门进行维护，更换维保套件。 </w:t>
      </w:r>
    </w:p>
    <w:p w14:paraId="6DC24D16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3.4 到货安装调试完成后，免费提供制造商技术人员对采购人现场提供系统的使 用培训服务和相关技术资料。培训时间不少于 5天，直至采购人相关人员熟练 掌握为止。对整个设备所有部件和辅助设备都提供至少84个月免费维保。 </w:t>
      </w:r>
    </w:p>
    <w:p w14:paraId="52143802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四、采购标的验收标准： </w:t>
      </w:r>
    </w:p>
    <w:p w14:paraId="6CB577AB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4.1 设备安装、调试完成后，由采购人组织验收，验收合格后，采购人及中标人 双方共同签署验收文件。 </w:t>
      </w:r>
    </w:p>
    <w:p w14:paraId="08BCDE40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4.2 仪器到货：仪器到货前应将安装环境要求书面通知给采购人，并与采购人协 商足够准备时间。到货时需按采购人要求免费将设备在双方商定的时间运到指定 安装位置，并由仪器安装工程师当场进行开箱检查。 </w:t>
      </w:r>
    </w:p>
    <w:p w14:paraId="50A6EBEE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4.3 仪器安装调试：仪器经开箱检查确认一切正常后，由仪器安装工程师免费执 行安装调试直至达到验收指标（以技术规格要求指标为验收指标）。由采购人进 行使用性能方面的验收。设备的性能应符合投标人应答文件中承诺的技术指标， 所有指标验收必须由采购人确认。 </w:t>
      </w:r>
    </w:p>
    <w:p w14:paraId="2EB5E985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五、交货地点：北京大学指定地点。 </w:t>
      </w:r>
    </w:p>
    <w:p w14:paraId="13CC67EA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六、交货期： 合同签订后45日内交货并安装完毕 </w:t>
      </w:r>
    </w:p>
    <w:p w14:paraId="23BB3242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七、付款方式： </w:t>
      </w:r>
    </w:p>
    <w:p w14:paraId="5F83D4EF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国产产品：合同正式生效后，甲方支付乙方合同总额90%的合同款；设备安 装完毕由甲方验收合格后，凭甲方签字并加盖公章的验收报告由甲方支付乙方合 同总额10%的合同款。 </w:t>
      </w:r>
    </w:p>
    <w:p w14:paraId="5F8CAF30">
      <w:pPr>
        <w:pStyle w:val="12"/>
        <w:spacing w:line="360" w:lineRule="auto"/>
        <w:ind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进口产品：本次不采购进口产品。 </w:t>
      </w:r>
    </w:p>
    <w:bookmarkEnd w:id="1"/>
    <w:bookmarkEnd w:id="6"/>
    <w:bookmarkEnd w:id="7"/>
    <w:bookmarkEnd w:id="8"/>
    <w:bookmarkEnd w:id="9"/>
    <w:p w14:paraId="3329A087">
      <w:pPr>
        <w:spacing w:line="360" w:lineRule="auto"/>
        <w:rPr>
          <w:rFonts w:hint="eastAsia" w:ascii="宋体" w:hAnsi="宋体"/>
          <w:sz w:val="24"/>
        </w:rPr>
      </w:pPr>
    </w:p>
    <w:p w14:paraId="5F0017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072"/>
    <w:rsid w:val="00441E44"/>
    <w:rsid w:val="0052479E"/>
    <w:rsid w:val="0074776C"/>
    <w:rsid w:val="00B736A0"/>
    <w:rsid w:val="00E73072"/>
    <w:rsid w:val="2A48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outlineLvl w:val="0"/>
    </w:pPr>
    <w:rPr>
      <w:rFonts w:ascii="宋体" w:hAnsi="宋体" w:cs="宋体"/>
      <w:b/>
      <w:sz w:val="28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9">
    <w:name w:val="标题 1 Char"/>
    <w:basedOn w:val="8"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">
    <w:name w:val="标题 2 Char"/>
    <w:basedOn w:val="8"/>
    <w:semiHidden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1">
    <w:name w:val="中等深浅网格 1 - 着色 2 字符"/>
    <w:link w:val="12"/>
    <w:locked/>
    <w:uiPriority w:val="34"/>
    <w:rPr>
      <w:rFonts w:ascii="Calibri" w:hAnsi="Calibri" w:cs="Calibri"/>
    </w:rPr>
  </w:style>
  <w:style w:type="paragraph" w:customStyle="1" w:styleId="12">
    <w:name w:val="中等深浅网格 1 - 强调文字颜色 21"/>
    <w:basedOn w:val="1"/>
    <w:link w:val="11"/>
    <w:qFormat/>
    <w:uiPriority w:val="34"/>
    <w:pPr>
      <w:ind w:firstLine="420" w:firstLineChars="200"/>
    </w:pPr>
    <w:rPr>
      <w:rFonts w:ascii="Calibri" w:hAnsi="Calibri" w:cs="Calibri" w:eastAsiaTheme="minorEastAsia"/>
      <w:szCs w:val="22"/>
    </w:rPr>
  </w:style>
  <w:style w:type="character" w:customStyle="1" w:styleId="13">
    <w:name w:val="标题 2 字符"/>
    <w:basedOn w:val="8"/>
    <w:link w:val="3"/>
    <w:semiHidden/>
    <w:qFormat/>
    <w:locked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4">
    <w:name w:val="标题 1 字符"/>
    <w:link w:val="2"/>
    <w:qFormat/>
    <w:locked/>
    <w:uiPriority w:val="0"/>
    <w:rPr>
      <w:rFonts w:ascii="宋体" w:hAnsi="宋体" w:eastAsia="宋体" w:cs="宋体"/>
      <w:b/>
      <w:sz w:val="28"/>
      <w:szCs w:val="24"/>
    </w:rPr>
  </w:style>
  <w:style w:type="character" w:customStyle="1" w:styleId="15">
    <w:name w:val="页眉 字符"/>
    <w:basedOn w:val="8"/>
    <w:link w:val="5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页脚 字符"/>
    <w:basedOn w:val="8"/>
    <w:link w:val="4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1883</Words>
  <Characters>2148</Characters>
  <Lines>16</Lines>
  <Paragraphs>4</Paragraphs>
  <TotalTime>1</TotalTime>
  <ScaleCrop>false</ScaleCrop>
  <LinksUpToDate>false</LinksUpToDate>
  <CharactersWithSpaces>2278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2025-09-26T08:20:00Z</dcterms:created>
  <dc:creator>Lenovo</dc:creator>
  <cp:lastModifiedBy>清</cp:lastModifiedBy>
  <dcterms:modified xsi:type="dcterms:W3CDTF">2025-09-29T06:03:50Z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EC7B181DC7D9478DA4EAC7EB5C8064AE_13</vt:lpwstr>
  </property>
</Properties>
</file>