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8364C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</w:rPr>
      </w:pPr>
      <w:bookmarkStart w:id="2" w:name="_GoBack"/>
      <w:bookmarkEnd w:id="2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</w:rPr>
        <w:t>第八部分 采购需求</w:t>
      </w:r>
      <w:bookmarkEnd w:id="0"/>
    </w:p>
    <w:bookmarkEnd w:id="1"/>
    <w:p w14:paraId="0D2777FC"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货物需求一览表</w:t>
      </w:r>
    </w:p>
    <w:p w14:paraId="16AA18FF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Style w:val="38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70EAB7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597DC388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357" w:type="dxa"/>
            <w:vAlign w:val="center"/>
          </w:tcPr>
          <w:p w14:paraId="323F808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7BFAE28C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2470" w:type="dxa"/>
            <w:vAlign w:val="center"/>
          </w:tcPr>
          <w:p w14:paraId="27F1BEF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是否接受进口</w:t>
            </w:r>
          </w:p>
        </w:tc>
      </w:tr>
      <w:tr w14:paraId="247AEA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34DE5D46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357" w:type="dxa"/>
            <w:vAlign w:val="center"/>
          </w:tcPr>
          <w:p w14:paraId="709374A5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毫焦级少周期飞秒激光器</w:t>
            </w:r>
          </w:p>
        </w:tc>
        <w:tc>
          <w:tcPr>
            <w:tcW w:w="1329" w:type="dxa"/>
            <w:vAlign w:val="center"/>
          </w:tcPr>
          <w:p w14:paraId="7C7521E6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2470" w:type="dxa"/>
            <w:vAlign w:val="center"/>
          </w:tcPr>
          <w:p w14:paraId="3D0F2F20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</w:t>
            </w:r>
          </w:p>
        </w:tc>
      </w:tr>
      <w:tr w14:paraId="43A005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70C0AB5D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</w:t>
            </w:r>
          </w:p>
        </w:tc>
        <w:tc>
          <w:tcPr>
            <w:tcW w:w="2357" w:type="dxa"/>
            <w:vAlign w:val="center"/>
          </w:tcPr>
          <w:p w14:paraId="7392FF48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高能量光参量啁啾脉冲放大器</w:t>
            </w:r>
          </w:p>
        </w:tc>
        <w:tc>
          <w:tcPr>
            <w:tcW w:w="1329" w:type="dxa"/>
            <w:vAlign w:val="center"/>
          </w:tcPr>
          <w:p w14:paraId="41CB3703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2470" w:type="dxa"/>
            <w:vAlign w:val="center"/>
          </w:tcPr>
          <w:p w14:paraId="03C2B584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是</w:t>
            </w:r>
          </w:p>
        </w:tc>
      </w:tr>
    </w:tbl>
    <w:p w14:paraId="3587C4BD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1E0801B6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222B99C4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0CA38CA0">
      <w:pPr>
        <w:adjustRightInd w:val="0"/>
        <w:snapToGrid w:val="0"/>
        <w:rPr>
          <w:rFonts w:ascii="宋体" w:hAnsi="宋体"/>
          <w:szCs w:val="21"/>
        </w:rPr>
      </w:pPr>
    </w:p>
    <w:p w14:paraId="6D67B9DF">
      <w:pPr>
        <w:adjustRightInd w:val="0"/>
        <w:snapToGrid w:val="0"/>
        <w:rPr>
          <w:rFonts w:ascii="宋体" w:hAnsi="宋体"/>
          <w:szCs w:val="21"/>
        </w:rPr>
      </w:pPr>
    </w:p>
    <w:p w14:paraId="6FD12944">
      <w:pPr>
        <w:adjustRightInd w:val="0"/>
        <w:snapToGrid w:val="0"/>
        <w:rPr>
          <w:rFonts w:ascii="宋体" w:hAnsi="宋体"/>
          <w:szCs w:val="21"/>
        </w:rPr>
      </w:pPr>
    </w:p>
    <w:p w14:paraId="4C6255A5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28"/>
          <w:szCs w:val="28"/>
        </w:rPr>
        <w:t>一、总则</w:t>
      </w:r>
    </w:p>
    <w:p w14:paraId="1189A07E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t>1</w:t>
      </w:r>
      <w:r>
        <w:rPr>
          <w:rFonts w:hint="eastAsia" w:ascii="宋体" w:hAnsi="宋体"/>
          <w:b/>
          <w:sz w:val="28"/>
          <w:szCs w:val="28"/>
        </w:rPr>
        <w:t>、投标要求</w:t>
      </w:r>
    </w:p>
    <w:p w14:paraId="6AE8AADF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461774EA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C208E20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3B145053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FF7C4F3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2、评标标准</w:t>
      </w:r>
    </w:p>
    <w:p w14:paraId="2A279611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6BCE3D51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667C963E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D60EF86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2733D363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1CFEA52E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3、工作条件</w:t>
      </w:r>
    </w:p>
    <w:p w14:paraId="7901D215"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38D03D1C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2770C8B1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42AF5057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3C77BD39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F9BFA0A">
      <w:pPr>
        <w:rPr>
          <w:rFonts w:eastAsia="黑体"/>
          <w:b/>
          <w:bCs/>
          <w:kern w:val="44"/>
          <w:sz w:val="24"/>
        </w:rPr>
      </w:pPr>
    </w:p>
    <w:p w14:paraId="53177F56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4、验收标准</w:t>
      </w:r>
    </w:p>
    <w:p w14:paraId="4CFD188D">
      <w:pPr>
        <w:spacing w:after="312" w:afterLines="100"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2FDA4773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7CAE3866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3E081979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0AA2FF69">
      <w:pPr>
        <w:pStyle w:val="20"/>
        <w:spacing w:line="360" w:lineRule="auto"/>
        <w:ind w:left="410" w:hanging="410" w:hangingChars="170"/>
        <w:rPr>
          <w:rFonts w:hAnsi="宋体"/>
          <w:b/>
          <w:sz w:val="24"/>
          <w:szCs w:val="24"/>
        </w:rPr>
      </w:pPr>
    </w:p>
    <w:p w14:paraId="797556FA">
      <w:pPr>
        <w:adjustRightInd w:val="0"/>
        <w:snapToGrid w:val="0"/>
        <w:spacing w:line="360" w:lineRule="auto"/>
        <w:rPr>
          <w:rFonts w:hAnsi="宋体"/>
          <w:b/>
          <w:sz w:val="24"/>
        </w:rPr>
      </w:pPr>
      <w:r>
        <w:rPr>
          <w:rFonts w:hint="eastAsia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23F03DCE">
      <w:pPr>
        <w:adjustRightInd w:val="0"/>
        <w:snapToGrid w:val="0"/>
        <w:spacing w:line="360" w:lineRule="auto"/>
        <w:rPr>
          <w:rFonts w:ascii="宋体" w:hAnsi="宋体"/>
          <w:b/>
          <w:sz w:val="24"/>
        </w:rPr>
      </w:pPr>
    </w:p>
    <w:p w14:paraId="6161A801">
      <w:pPr>
        <w:adjustRightInd w:val="0"/>
        <w:snapToGrid w:val="0"/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6、如在具体技术规格中有本总则不一致之处，以具体技术规格中的要求为准。</w:t>
      </w:r>
    </w:p>
    <w:p w14:paraId="5F19E369">
      <w:pPr>
        <w:adjustRightInd w:val="0"/>
        <w:snapToGrid w:val="0"/>
        <w:spacing w:line="360" w:lineRule="auto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  <w:szCs w:val="28"/>
        </w:rPr>
        <w:t>二、具体技术规格</w:t>
      </w:r>
    </w:p>
    <w:p w14:paraId="75018A49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第1包 毫焦级少周期飞秒激光器</w:t>
      </w:r>
    </w:p>
    <w:p w14:paraId="0C7C309B">
      <w:pPr>
        <w:rPr>
          <w:b/>
          <w:sz w:val="24"/>
        </w:rPr>
      </w:pPr>
    </w:p>
    <w:p w14:paraId="4FBCAF18">
      <w:pPr>
        <w:rPr>
          <w:b/>
          <w:sz w:val="24"/>
        </w:rPr>
      </w:pPr>
    </w:p>
    <w:p w14:paraId="5A789D9E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59291F01">
      <w:pPr>
        <w:rPr>
          <w:b/>
          <w:sz w:val="24"/>
        </w:rPr>
      </w:pPr>
    </w:p>
    <w:p w14:paraId="797DD48A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工作条件：</w:t>
      </w:r>
    </w:p>
    <w:p w14:paraId="72FFA1C4">
      <w:pPr>
        <w:spacing w:line="360" w:lineRule="auto"/>
        <w:rPr>
          <w:sz w:val="24"/>
        </w:rPr>
      </w:pPr>
      <w:r>
        <w:rPr>
          <w:rFonts w:hint="eastAsia"/>
          <w:sz w:val="24"/>
        </w:rPr>
        <w:t>1）</w:t>
      </w:r>
      <w:r>
        <w:rPr>
          <w:sz w:val="24"/>
        </w:rPr>
        <w:t>工作电压：AC 220V(±15%)，</w:t>
      </w:r>
    </w:p>
    <w:p w14:paraId="5D3B4807">
      <w:pPr>
        <w:spacing w:line="360" w:lineRule="auto"/>
        <w:rPr>
          <w:sz w:val="24"/>
        </w:rPr>
      </w:pPr>
      <w:r>
        <w:rPr>
          <w:rFonts w:hint="eastAsia"/>
          <w:sz w:val="24"/>
        </w:rPr>
        <w:t>2）</w:t>
      </w:r>
      <w:r>
        <w:rPr>
          <w:sz w:val="24"/>
        </w:rPr>
        <w:t>环境温度：18～28℃</w:t>
      </w:r>
    </w:p>
    <w:p w14:paraId="2AC51917">
      <w:pPr>
        <w:spacing w:line="360" w:lineRule="auto"/>
        <w:rPr>
          <w:sz w:val="24"/>
        </w:rPr>
      </w:pPr>
      <w:r>
        <w:rPr>
          <w:rFonts w:hint="eastAsia"/>
          <w:sz w:val="24"/>
        </w:rPr>
        <w:t>3）</w:t>
      </w:r>
      <w:r>
        <w:rPr>
          <w:sz w:val="24"/>
        </w:rPr>
        <w:t>相对湿度：20%～80%</w:t>
      </w:r>
    </w:p>
    <w:p w14:paraId="73D4C2D5">
      <w:pPr>
        <w:spacing w:line="360" w:lineRule="auto"/>
        <w:rPr>
          <w:sz w:val="24"/>
        </w:rPr>
      </w:pPr>
      <w:r>
        <w:rPr>
          <w:rFonts w:hint="eastAsia"/>
          <w:sz w:val="24"/>
        </w:rPr>
        <w:t>4）</w:t>
      </w:r>
      <w:r>
        <w:rPr>
          <w:sz w:val="24"/>
        </w:rPr>
        <w:t>仪器运行的持久性：可连续运行</w:t>
      </w:r>
    </w:p>
    <w:p w14:paraId="6BF4786E">
      <w:pPr>
        <w:spacing w:line="360" w:lineRule="auto"/>
        <w:ind w:left="435" w:firstLine="240"/>
        <w:rPr>
          <w:sz w:val="24"/>
        </w:rPr>
      </w:pPr>
    </w:p>
    <w:p w14:paraId="031EEECE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21F4A7F0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非线性光学晶体测试、紫外/深紫外新型高能量激光系统研制</w:t>
      </w:r>
    </w:p>
    <w:p w14:paraId="68AABB1E">
      <w:pPr>
        <w:spacing w:line="360" w:lineRule="auto"/>
        <w:rPr>
          <w:sz w:val="24"/>
        </w:rPr>
      </w:pPr>
    </w:p>
    <w:p w14:paraId="2D485773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技术规格：</w:t>
      </w:r>
    </w:p>
    <w:p w14:paraId="512751A8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3.1中心波长：1030 ± 10 nm；</w:t>
      </w:r>
    </w:p>
    <w:p w14:paraId="51013955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3.2最大平均功率：≥20W @10-200kHz；</w:t>
      </w:r>
    </w:p>
    <w:p w14:paraId="08E8ED93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★3.3脉宽：&lt; 190 fs；</w:t>
      </w:r>
    </w:p>
    <w:p w14:paraId="5F16F375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3.4脉宽调谐范围：支持190fs-10ps可调</w:t>
      </w:r>
    </w:p>
    <w:p w14:paraId="54D34846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#3.5最大单脉冲能量：≥2mJ @1Hz-10kHz；</w:t>
      </w:r>
    </w:p>
    <w:p w14:paraId="25B14BD9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#3.6重复频率1Hz-200kHz范围内可调；</w:t>
      </w:r>
    </w:p>
    <w:p w14:paraId="7F4D1DD4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3.7光束质量：&lt; 1.3；</w:t>
      </w:r>
    </w:p>
    <w:p w14:paraId="3339C853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3.8光斑直径：6.8 ± 0.7 mm</w:t>
      </w:r>
    </w:p>
    <w:p w14:paraId="51670F2F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3.9后脉冲对比度：&lt;1:200</w:t>
      </w:r>
    </w:p>
    <w:p w14:paraId="51073949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3.10前脉冲对比度：&lt;1:1000</w:t>
      </w:r>
    </w:p>
    <w:p w14:paraId="15952F7E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3.11偏振态：线偏振，水平方向</w:t>
      </w:r>
    </w:p>
    <w:p w14:paraId="3EF7D12A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#3.12谐波产生器输出波长：515 nm, 343 nm, 257 nm, 206 nm；</w:t>
      </w:r>
    </w:p>
    <w:p w14:paraId="20A0C2D3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#3.13重复频率锁定；</w:t>
      </w:r>
    </w:p>
    <w:p w14:paraId="3D646D5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★3.14可同步腔长振荡器包括腔内压电定位器，振荡器输出功率1W，含腔内压电定位器</w:t>
      </w:r>
    </w:p>
    <w:p w14:paraId="07258F1E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★3.15脉冲与脉冲能量稳定性：&lt;0.5% rms 24小时以上</w:t>
      </w:r>
    </w:p>
    <w:p w14:paraId="17DBC0EC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★3.16长期功率稳定性：&lt;0.5% rms 100小时以上</w:t>
      </w:r>
    </w:p>
    <w:p w14:paraId="06FD4BB2">
      <w:pPr>
        <w:spacing w:line="360" w:lineRule="auto"/>
        <w:ind w:firstLine="480"/>
        <w:rPr>
          <w:rFonts w:hint="eastAsia" w:eastAsia="宋体"/>
          <w:sz w:val="24"/>
          <w:lang w:eastAsia="zh-CN"/>
        </w:rPr>
      </w:pPr>
      <w:r>
        <w:rPr>
          <w:rFonts w:hint="eastAsia"/>
          <w:sz w:val="24"/>
        </w:rPr>
        <w:t>#3.17光束指向稳定性：&lt; 20 µrad/</w:t>
      </w:r>
      <w:r>
        <w:rPr>
          <w:rFonts w:hint="eastAsia"/>
          <w:sz w:val="24"/>
          <w:lang w:val="en-US" w:eastAsia="zh-CN"/>
        </w:rPr>
        <w:t>℃</w:t>
      </w:r>
    </w:p>
    <w:p w14:paraId="1C97D590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3.18尺寸：因系统集成需要，长宽高尺寸不超过735mmx420mmx235mm</w:t>
      </w:r>
    </w:p>
    <w:p w14:paraId="5EE25708">
      <w:pPr>
        <w:spacing w:line="360" w:lineRule="auto"/>
        <w:ind w:firstLine="480"/>
        <w:rPr>
          <w:rFonts w:hint="eastAsia"/>
          <w:sz w:val="24"/>
        </w:rPr>
      </w:pPr>
    </w:p>
    <w:p w14:paraId="6F60208F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产品配置要求</w:t>
      </w:r>
    </w:p>
    <w:p w14:paraId="2A906BAE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（1）毫焦级少周期飞秒激光器，一台</w:t>
      </w:r>
    </w:p>
    <w:p w14:paraId="5324EA40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（2）水冷机，一台</w:t>
      </w:r>
      <w:r>
        <w:rPr>
          <w:rFonts w:hint="eastAsia"/>
          <w:sz w:val="24"/>
        </w:rPr>
        <w:br w:type="textWrapping"/>
      </w:r>
      <w:r>
        <w:rPr>
          <w:rFonts w:hint="eastAsia"/>
          <w:sz w:val="24"/>
        </w:rPr>
        <w:t>（3）电源，一套</w:t>
      </w:r>
    </w:p>
    <w:p w14:paraId="4F35A158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</w:p>
    <w:p w14:paraId="21771CF6"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5.  技术文件：</w:t>
      </w:r>
    </w:p>
    <w:p w14:paraId="5D78BA9D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提供仪器电子版说明书</w:t>
      </w:r>
    </w:p>
    <w:p w14:paraId="5110F583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提供电子版操作手册</w:t>
      </w:r>
    </w:p>
    <w:p w14:paraId="2BA654BA">
      <w:pPr>
        <w:spacing w:line="360" w:lineRule="auto"/>
        <w:rPr>
          <w:sz w:val="24"/>
        </w:rPr>
      </w:pPr>
    </w:p>
    <w:p w14:paraId="79FFE6D0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5E197F5D">
      <w:pPr>
        <w:spacing w:line="360" w:lineRule="auto"/>
        <w:rPr>
          <w:sz w:val="24"/>
        </w:rPr>
      </w:pPr>
      <w:r>
        <w:rPr>
          <w:rFonts w:hint="eastAsia"/>
          <w:sz w:val="24"/>
        </w:rPr>
        <w:t>1 设备安装调试</w:t>
      </w:r>
    </w:p>
    <w:p w14:paraId="13380E58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1.1 最终验收在买方用户现场进行，验收应执行双方协议认可后签订的技术协议。</w:t>
      </w:r>
    </w:p>
    <w:p w14:paraId="688B0D9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1.2 卖方在设备出厂时应随设备带有质检合格证书，内容包括设备各项检测记录。</w:t>
      </w:r>
    </w:p>
    <w:p w14:paraId="3995994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1.3 投标人设备发货前告知买方，并讲明设备安装和场地要求。在设备到货后到买方使用现场安装设备，安装后进行检验、验收。</w:t>
      </w:r>
    </w:p>
    <w:p w14:paraId="3B26D5F8">
      <w:pPr>
        <w:spacing w:line="360" w:lineRule="auto"/>
        <w:rPr>
          <w:rFonts w:ascii="宋体"/>
          <w:sz w:val="24"/>
        </w:rPr>
      </w:pPr>
      <w:r>
        <w:rPr>
          <w:rFonts w:hint="eastAsia"/>
          <w:sz w:val="24"/>
        </w:rPr>
        <w:t>2 技术培训：使用现场培训：投标人在买方使用现场就所供设备的测量原理、操作和维修等对买方实际操作人员进行培训。投标人对培训效果和质量负责，投标人保证派有经验的技术专家担任教员，并保证买方人员在培训后能够独立地完成设备操作、管理和维护等工作。</w:t>
      </w:r>
    </w:p>
    <w:p w14:paraId="5BEB715F">
      <w:pPr>
        <w:spacing w:line="360" w:lineRule="auto"/>
        <w:rPr>
          <w:sz w:val="24"/>
        </w:rPr>
      </w:pPr>
      <w:r>
        <w:rPr>
          <w:rFonts w:hint="eastAsia"/>
          <w:sz w:val="24"/>
        </w:rPr>
        <w:t>3 保修期</w:t>
      </w:r>
    </w:p>
    <w:p w14:paraId="7269210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 设备保质期为设备最终验收之日起12个月。在质量保证期内，如有非人为原因造成的零部件损坏。乙方应无偿更换。</w:t>
      </w:r>
    </w:p>
    <w:p w14:paraId="4624E960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3.2在设备保修期内，如果设备发生故障，卖方在接到买方书面通知后48小时内做出响应，同时派有经验的技术人员赶到现场，免费维修或更换有缺陷的货物或部件。若属于现场可修好的故障，从故障报出到设备恢复正常运行的时间不超过72小时；若需返厂维修，从故障报出到送至买方现场设备恢复正常运行的时间不超过两个月。所有相关费用均由卖方负担。同时，设备保修期应相应顺延。</w:t>
      </w:r>
    </w:p>
    <w:p w14:paraId="1119EE0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3.3如果卖方收到通知后72小时内没有以合理的速度排除故障，买方可采取必要的补救措施，但其风险和费用将由卖方承担，买方根据合同规定对卖方行使的其他权力不受影响。</w:t>
      </w:r>
    </w:p>
    <w:p w14:paraId="2ACC65F2">
      <w:pPr>
        <w:spacing w:line="360" w:lineRule="auto"/>
        <w:rPr>
          <w:sz w:val="24"/>
        </w:rPr>
      </w:pPr>
      <w:r>
        <w:rPr>
          <w:rFonts w:hint="eastAsia"/>
          <w:sz w:val="24"/>
        </w:rPr>
        <w:t>4 卖方保证所供设备是投标型号，含有招标文件要求的设计和材料的全部最新改进，并且是全新的、未使用过的产品，无任何旧货或翻新的零部件和附件。卖方保证所提供的全部货物没有设计、材料或工艺上的缺陷，这些缺陷是所供货物在最终目的地现行条件下正常使用可能产生的。</w:t>
      </w:r>
    </w:p>
    <w:p w14:paraId="7E6FB69F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5 卖方应在中国（大陆地区）境内有常设的维修服务中心。中心应有充足的备件供应，具备专门针对该产品进行校准升级和维修的能力。</w:t>
      </w:r>
    </w:p>
    <w:p w14:paraId="77A0F34B"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*6</w:t>
      </w:r>
      <w:r>
        <w:rPr>
          <w:rFonts w:hint="eastAsia"/>
          <w:sz w:val="24"/>
        </w:rPr>
        <w:t>需要与用户共同进行激光器的二次开发，必须满足用户要求</w:t>
      </w:r>
    </w:p>
    <w:p w14:paraId="2059E8FE">
      <w:pPr>
        <w:spacing w:line="360" w:lineRule="auto"/>
        <w:rPr>
          <w:sz w:val="24"/>
        </w:rPr>
      </w:pPr>
    </w:p>
    <w:p w14:paraId="13DFA0B8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1D272D73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毫焦级少周期飞秒激光器，1套</w:t>
      </w:r>
    </w:p>
    <w:p w14:paraId="5FE0D4FD">
      <w:pPr>
        <w:spacing w:line="360" w:lineRule="auto"/>
        <w:rPr>
          <w:sz w:val="24"/>
        </w:rPr>
      </w:pPr>
    </w:p>
    <w:p w14:paraId="4CAFDDC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（四）交货日期和交货地点（项目现场）：</w:t>
      </w:r>
    </w:p>
    <w:p w14:paraId="5398A036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交货日期：合同生效后10个月内</w:t>
      </w:r>
    </w:p>
    <w:p w14:paraId="214715E2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交货地点：中国科学院新疆理化技术研究所</w:t>
      </w:r>
    </w:p>
    <w:p w14:paraId="423C2051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</w:t>
      </w:r>
    </w:p>
    <w:p w14:paraId="193141B9"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 xml:space="preserve">（五）付款方式：   </w:t>
      </w:r>
      <w:r>
        <w:rPr>
          <w:rFonts w:hint="eastAsia"/>
          <w:sz w:val="24"/>
        </w:rPr>
        <w:t xml:space="preserve">                                      </w:t>
      </w:r>
    </w:p>
    <w:p w14:paraId="59BDD8CA">
      <w:pPr>
        <w:adjustRightInd w:val="0"/>
        <w:snapToGrid w:val="0"/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对于国产产品，100%凭用户代表签字并加盖单位公章后的验收报告支付；</w:t>
      </w:r>
    </w:p>
    <w:p w14:paraId="2EBBE689">
      <w:pPr>
        <w:adjustRightInd w:val="0"/>
        <w:snapToGrid w:val="0"/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对于进口产品，采用即期不可撤消信用证等国际贸易支付条件支付：</w:t>
      </w:r>
    </w:p>
    <w:p w14:paraId="1B24A1B3">
      <w:pPr>
        <w:adjustRightInd w:val="0"/>
        <w:snapToGrid w:val="0"/>
        <w:spacing w:line="360" w:lineRule="auto"/>
        <w:ind w:firstLine="960" w:firstLineChars="400"/>
        <w:rPr>
          <w:sz w:val="24"/>
        </w:rPr>
      </w:pPr>
      <w:r>
        <w:rPr>
          <w:rFonts w:hint="eastAsia"/>
          <w:sz w:val="24"/>
        </w:rPr>
        <w:t>90%凭合同要求单据支付；</w:t>
      </w:r>
    </w:p>
    <w:p w14:paraId="5EBD1916">
      <w:pPr>
        <w:adjustRightInd w:val="0"/>
        <w:snapToGrid w:val="0"/>
        <w:spacing w:line="360" w:lineRule="auto"/>
        <w:ind w:firstLine="960" w:firstLineChars="400"/>
        <w:rPr>
          <w:b/>
          <w:kern w:val="44"/>
          <w:sz w:val="48"/>
          <w:szCs w:val="20"/>
        </w:rPr>
      </w:pPr>
      <w:r>
        <w:rPr>
          <w:rFonts w:hint="eastAsia"/>
          <w:sz w:val="24"/>
        </w:rPr>
        <w:t>10%凭用户代表签字并加盖单位公章后的验收报告支付。</w:t>
      </w:r>
    </w:p>
    <w:p w14:paraId="4C04AC4F">
      <w:pPr>
        <w:rPr>
          <w:b/>
          <w:kern w:val="44"/>
          <w:sz w:val="48"/>
          <w:szCs w:val="20"/>
        </w:rPr>
      </w:pPr>
      <w:r>
        <w:rPr>
          <w:b/>
          <w:kern w:val="44"/>
          <w:sz w:val="48"/>
          <w:szCs w:val="20"/>
        </w:rPr>
        <w:br w:type="page"/>
      </w:r>
    </w:p>
    <w:p w14:paraId="1238E4AC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第2包 高能量光参量啁啾脉冲放大器</w:t>
      </w:r>
    </w:p>
    <w:p w14:paraId="71C88557">
      <w:pPr>
        <w:rPr>
          <w:b/>
          <w:sz w:val="24"/>
        </w:rPr>
      </w:pPr>
    </w:p>
    <w:p w14:paraId="7375D2BB">
      <w:pPr>
        <w:rPr>
          <w:b/>
          <w:sz w:val="24"/>
        </w:rPr>
      </w:pPr>
    </w:p>
    <w:p w14:paraId="4F3B921B">
      <w:pPr>
        <w:numPr>
          <w:ilvl w:val="0"/>
          <w:numId w:val="3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71A5126E">
      <w:pPr>
        <w:rPr>
          <w:b/>
          <w:sz w:val="24"/>
        </w:rPr>
      </w:pPr>
    </w:p>
    <w:p w14:paraId="65DB8E63">
      <w:pPr>
        <w:numPr>
          <w:ilvl w:val="0"/>
          <w:numId w:val="4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工作条件：</w:t>
      </w:r>
    </w:p>
    <w:p w14:paraId="00007E25">
      <w:pPr>
        <w:spacing w:line="360" w:lineRule="auto"/>
        <w:rPr>
          <w:sz w:val="24"/>
        </w:rPr>
      </w:pPr>
      <w:r>
        <w:rPr>
          <w:rFonts w:hint="eastAsia"/>
          <w:sz w:val="24"/>
        </w:rPr>
        <w:t>1）</w:t>
      </w:r>
      <w:r>
        <w:rPr>
          <w:sz w:val="24"/>
        </w:rPr>
        <w:t>工作电压：AC 220V(±15%)，</w:t>
      </w:r>
      <w:r>
        <w:rPr>
          <w:rFonts w:hint="eastAsia"/>
          <w:sz w:val="24"/>
        </w:rPr>
        <w:t>单相47-63Hz</w:t>
      </w:r>
      <w:r>
        <w:rPr>
          <w:sz w:val="24"/>
        </w:rPr>
        <w:br w:type="textWrapping"/>
      </w:r>
      <w:r>
        <w:rPr>
          <w:rFonts w:hint="eastAsia"/>
          <w:sz w:val="24"/>
        </w:rPr>
        <w:t>2）</w:t>
      </w:r>
      <w:r>
        <w:rPr>
          <w:sz w:val="24"/>
        </w:rPr>
        <w:t>环境温度：</w:t>
      </w:r>
      <w:r>
        <w:rPr>
          <w:rFonts w:hint="eastAsia"/>
          <w:sz w:val="24"/>
        </w:rPr>
        <w:t>22±2</w:t>
      </w:r>
      <w:r>
        <w:rPr>
          <w:sz w:val="24"/>
        </w:rPr>
        <w:t>℃</w:t>
      </w:r>
    </w:p>
    <w:p w14:paraId="3B267AD9">
      <w:pPr>
        <w:spacing w:line="360" w:lineRule="auto"/>
        <w:rPr>
          <w:sz w:val="24"/>
        </w:rPr>
      </w:pPr>
      <w:r>
        <w:rPr>
          <w:rFonts w:hint="eastAsia"/>
          <w:sz w:val="24"/>
        </w:rPr>
        <w:t>3）</w:t>
      </w:r>
      <w:r>
        <w:rPr>
          <w:sz w:val="24"/>
        </w:rPr>
        <w:t>相对湿度：</w:t>
      </w:r>
      <w:r>
        <w:rPr>
          <w:rFonts w:hint="eastAsia"/>
          <w:sz w:val="24"/>
        </w:rPr>
        <w:t>≤</w:t>
      </w:r>
      <w:r>
        <w:rPr>
          <w:sz w:val="24"/>
        </w:rPr>
        <w:t>80%</w:t>
      </w:r>
    </w:p>
    <w:p w14:paraId="4E47C44D">
      <w:pPr>
        <w:spacing w:line="360" w:lineRule="auto"/>
        <w:rPr>
          <w:sz w:val="24"/>
        </w:rPr>
      </w:pPr>
      <w:r>
        <w:rPr>
          <w:rFonts w:hint="eastAsia"/>
          <w:sz w:val="24"/>
        </w:rPr>
        <w:t>4）</w:t>
      </w:r>
      <w:r>
        <w:rPr>
          <w:sz w:val="24"/>
        </w:rPr>
        <w:t>仪器运行的持久性：可连续运行</w:t>
      </w:r>
    </w:p>
    <w:p w14:paraId="4B387E95">
      <w:pPr>
        <w:spacing w:line="360" w:lineRule="auto"/>
        <w:rPr>
          <w:sz w:val="24"/>
        </w:rPr>
      </w:pPr>
    </w:p>
    <w:p w14:paraId="6C2E9DBC">
      <w:pPr>
        <w:numPr>
          <w:ilvl w:val="0"/>
          <w:numId w:val="4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56CFCEC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非线性光学晶体测试、紫外/深紫外新型激光系统研制</w:t>
      </w:r>
    </w:p>
    <w:p w14:paraId="02306026">
      <w:pPr>
        <w:spacing w:line="360" w:lineRule="auto"/>
        <w:rPr>
          <w:sz w:val="24"/>
        </w:rPr>
      </w:pPr>
    </w:p>
    <w:p w14:paraId="3D1D71FA">
      <w:pPr>
        <w:numPr>
          <w:ilvl w:val="0"/>
          <w:numId w:val="4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技术规格：</w:t>
      </w:r>
    </w:p>
    <w:p w14:paraId="400E175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3.1中心波长：750–960 nm，375–480 nm，250–320 nm，210–230 nm；</w:t>
      </w:r>
    </w:p>
    <w:p w14:paraId="7C1039DB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3.2脉冲持续时间：40±20 fs；</w:t>
      </w:r>
    </w:p>
    <w:p w14:paraId="50F7BA6B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3.3最大脉冲能量：50 mJ@750–960 nm，3.5 mJ@375–480 nm，1.2 mJ@250–320 nm，0.3 mJ@210–230 nm；</w:t>
      </w:r>
    </w:p>
    <w:p w14:paraId="70F1B011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#3.4脉冲能量稳定性≤1.5 %；</w:t>
      </w:r>
    </w:p>
    <w:p w14:paraId="64CA62F9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3.5脉宽：≤35±5fs</w:t>
      </w:r>
    </w:p>
    <w:p w14:paraId="5E7BF5B1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★3.6长时间功率稳定性：±1.5 %</w:t>
      </w:r>
    </w:p>
    <w:p w14:paraId="3E9211A5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★3.7波长可调谐精度：≤5nm</w:t>
      </w:r>
    </w:p>
    <w:p w14:paraId="13078B3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★3.8普通光电脉冲抖动：≤50 ps；</w:t>
      </w:r>
    </w:p>
    <w:p w14:paraId="79316525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★3.9精准光电脉冲抖动：≤10 ps；</w:t>
      </w:r>
    </w:p>
    <w:p w14:paraId="30791F4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</w:t>
      </w:r>
      <w:r>
        <w:rPr>
          <w:rFonts w:hint="eastAsia"/>
          <w:sz w:val="24"/>
          <w:lang w:val="en-US" w:eastAsia="zh-CN"/>
        </w:rPr>
        <w:t>0</w:t>
      </w:r>
      <w:r>
        <w:rPr>
          <w:rFonts w:hint="eastAsia"/>
          <w:sz w:val="24"/>
        </w:rPr>
        <w:t>脉冲重复频率10Hz；</w:t>
      </w:r>
    </w:p>
    <w:p w14:paraId="2C72E41E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偏振态：线偏振，水平偏振；</w:t>
      </w:r>
    </w:p>
    <w:p w14:paraId="27F99CBB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3.1</w:t>
      </w:r>
      <w:r>
        <w:rPr>
          <w:rFonts w:hint="eastAsia"/>
          <w:sz w:val="24"/>
          <w:lang w:val="en-US" w:eastAsia="zh-CN"/>
        </w:rPr>
        <w:t>2</w:t>
      </w:r>
      <w:r>
        <w:rPr>
          <w:rFonts w:hint="eastAsia"/>
          <w:sz w:val="24"/>
        </w:rPr>
        <w:t>光束空间分布：近场超高斯分布；</w:t>
      </w:r>
    </w:p>
    <w:p w14:paraId="76288289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</w:t>
      </w:r>
      <w:r>
        <w:rPr>
          <w:rFonts w:hint="eastAsia"/>
          <w:sz w:val="24"/>
          <w:lang w:val="en-US" w:eastAsia="zh-CN"/>
        </w:rPr>
        <w:t>3</w:t>
      </w:r>
      <w:r>
        <w:rPr>
          <w:rFonts w:hint="eastAsia"/>
          <w:sz w:val="24"/>
        </w:rPr>
        <w:t>可扩展倍频模块升级；</w:t>
      </w:r>
    </w:p>
    <w:p w14:paraId="1CA9FA90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光束直径：≤10 mm；</w:t>
      </w:r>
    </w:p>
    <w:p w14:paraId="19693F3E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#3.1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光束指向性稳定性≤ 30 µrad/；</w:t>
      </w:r>
    </w:p>
    <w:p w14:paraId="31155E0F">
      <w:pPr>
        <w:spacing w:line="360" w:lineRule="auto"/>
        <w:ind w:firstLine="480"/>
        <w:rPr>
          <w:rFonts w:hint="eastAsia"/>
          <w:sz w:val="24"/>
        </w:rPr>
      </w:pPr>
      <w:r>
        <w:rPr>
          <w:rFonts w:hint="eastAsia"/>
          <w:sz w:val="24"/>
        </w:rPr>
        <w:t>#3.1</w:t>
      </w:r>
      <w:r>
        <w:rPr>
          <w:rFonts w:hint="eastAsia"/>
          <w:sz w:val="24"/>
          <w:lang w:val="en-US" w:eastAsia="zh-CN"/>
        </w:rPr>
        <w:t>6</w:t>
      </w:r>
      <w:r>
        <w:rPr>
          <w:rFonts w:hint="eastAsia"/>
          <w:sz w:val="24"/>
        </w:rPr>
        <w:t>配套软件控制，可实现激光器的控制以及参数调节；</w:t>
      </w:r>
    </w:p>
    <w:p w14:paraId="598B1321">
      <w:pPr>
        <w:spacing w:line="360" w:lineRule="auto"/>
        <w:ind w:firstLine="480"/>
        <w:rPr>
          <w:rFonts w:hint="eastAsia"/>
          <w:sz w:val="24"/>
        </w:rPr>
      </w:pPr>
    </w:p>
    <w:p w14:paraId="08825962">
      <w:pPr>
        <w:numPr>
          <w:ilvl w:val="0"/>
          <w:numId w:val="4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产品配置要求</w:t>
      </w:r>
    </w:p>
    <w:p w14:paraId="3A4B2254">
      <w:pPr>
        <w:spacing w:line="360" w:lineRule="auto"/>
        <w:ind w:left="420" w:leftChars="200"/>
        <w:rPr>
          <w:bCs/>
          <w:sz w:val="24"/>
        </w:rPr>
      </w:pPr>
      <w:r>
        <w:rPr>
          <w:rFonts w:hint="eastAsia"/>
          <w:bCs/>
          <w:sz w:val="24"/>
        </w:rPr>
        <w:t>（1）高能量光参量啁啾脉冲放大器主机，一台</w:t>
      </w:r>
    </w:p>
    <w:p w14:paraId="3DC1218F">
      <w:pPr>
        <w:spacing w:line="360" w:lineRule="auto"/>
        <w:ind w:left="420" w:leftChars="200"/>
        <w:rPr>
          <w:bCs/>
          <w:sz w:val="24"/>
        </w:rPr>
      </w:pPr>
      <w:r>
        <w:rPr>
          <w:rFonts w:hint="eastAsia"/>
          <w:bCs/>
          <w:sz w:val="24"/>
        </w:rPr>
        <w:t>（2）水冷机，一台</w:t>
      </w:r>
    </w:p>
    <w:p w14:paraId="65DEBE32">
      <w:pPr>
        <w:spacing w:line="360" w:lineRule="auto"/>
        <w:ind w:left="420" w:leftChars="200"/>
        <w:rPr>
          <w:bCs/>
          <w:sz w:val="24"/>
        </w:rPr>
      </w:pPr>
      <w:r>
        <w:rPr>
          <w:rFonts w:hint="eastAsia"/>
          <w:bCs/>
          <w:sz w:val="24"/>
        </w:rPr>
        <w:t>（3）电源，一套</w:t>
      </w:r>
    </w:p>
    <w:p w14:paraId="70E5A7FE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</w:p>
    <w:p w14:paraId="58BC1E8B"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5.  技术文件：</w:t>
      </w:r>
    </w:p>
    <w:p w14:paraId="0296D116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提供仪器电子版说明书</w:t>
      </w:r>
    </w:p>
    <w:p w14:paraId="751EB08D">
      <w:pPr>
        <w:spacing w:line="360" w:lineRule="auto"/>
        <w:ind w:left="420" w:leftChars="200"/>
        <w:rPr>
          <w:sz w:val="24"/>
        </w:rPr>
      </w:pPr>
      <w:r>
        <w:rPr>
          <w:rFonts w:hint="eastAsia"/>
          <w:sz w:val="24"/>
        </w:rPr>
        <w:t>提供电子版操作手册</w:t>
      </w:r>
    </w:p>
    <w:p w14:paraId="439025A3">
      <w:pPr>
        <w:spacing w:line="360" w:lineRule="auto"/>
        <w:rPr>
          <w:sz w:val="24"/>
        </w:rPr>
      </w:pPr>
    </w:p>
    <w:p w14:paraId="6643F077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3B57C0DE">
      <w:pPr>
        <w:spacing w:line="360" w:lineRule="auto"/>
        <w:rPr>
          <w:sz w:val="24"/>
        </w:rPr>
      </w:pPr>
      <w:r>
        <w:rPr>
          <w:rFonts w:hint="eastAsia"/>
          <w:sz w:val="24"/>
        </w:rPr>
        <w:t>1 设备安装调试</w:t>
      </w:r>
    </w:p>
    <w:p w14:paraId="39CDDC2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1.1 最终验收在买方用户现场进行，验收应执行双方协议认可后签订的技术协议。</w:t>
      </w:r>
    </w:p>
    <w:p w14:paraId="79BE230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1.2 卖方在设备出厂时应随设备带有质检合格证书，内容包括设备各项检测记录。</w:t>
      </w:r>
    </w:p>
    <w:p w14:paraId="0D0A820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1.3 投标人设备发货前告知买方，并讲明设备安装和场地要求。在设备到货后到买方使用现场安装设备，安装后进行检验、验收。</w:t>
      </w:r>
    </w:p>
    <w:p w14:paraId="52078652">
      <w:pPr>
        <w:spacing w:line="360" w:lineRule="auto"/>
        <w:rPr>
          <w:rFonts w:ascii="宋体"/>
          <w:sz w:val="24"/>
        </w:rPr>
      </w:pPr>
      <w:r>
        <w:rPr>
          <w:rFonts w:hint="eastAsia"/>
          <w:sz w:val="24"/>
        </w:rPr>
        <w:t>2 技术培训：使用现场培训：投标人在买方使用现场就所供设备的测量原理、操作和维修等对买方实际操作人员进行培训。投标人对培训效果和质量负责，投标人保证派有经验的技术专家担任教员，并保证买方人员在培训后能够独立地完成设备操作、管理和维护等工作。</w:t>
      </w:r>
    </w:p>
    <w:p w14:paraId="1B5F7789">
      <w:pPr>
        <w:spacing w:line="360" w:lineRule="auto"/>
        <w:rPr>
          <w:sz w:val="24"/>
        </w:rPr>
      </w:pPr>
      <w:r>
        <w:rPr>
          <w:rFonts w:hint="eastAsia"/>
          <w:sz w:val="24"/>
        </w:rPr>
        <w:t>3 保修期</w:t>
      </w:r>
    </w:p>
    <w:p w14:paraId="3B5BDF6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3.1 设备保质期为设备最终验收之日起12个月。在质量保证期内，如有非人为原因造成的零部件损坏。乙方应无偿更换。</w:t>
      </w:r>
    </w:p>
    <w:p w14:paraId="1706602B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3.2在设备保修期内，如果设备发生故障，卖方在接到买方书面通知后48小时内做出响应，同时派有经验的技术人员赶到现场，免费维修或更换有缺陷的货物或部件。若属于现场可修好的故障，从故障报出到设备恢复正常运行的时间不超过72小时；若需返厂维修，从故障报出到送至买方现场设备恢复正常运行的时间不超过两个月。所有相关费用均由卖方负担。同时，设备保修期应相应顺延。</w:t>
      </w:r>
    </w:p>
    <w:p w14:paraId="5051BC6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3.3如果卖方收到通知后72小时内没有以合理的速度排除故障，买方可采取必要的补救措施，但其风险和费用将由卖方承担，买方根据合同规定对卖方行使的其他权力不受影响。</w:t>
      </w:r>
    </w:p>
    <w:p w14:paraId="1C4AFAED">
      <w:pPr>
        <w:spacing w:line="360" w:lineRule="auto"/>
        <w:rPr>
          <w:sz w:val="24"/>
        </w:rPr>
      </w:pPr>
      <w:r>
        <w:rPr>
          <w:rFonts w:hint="eastAsia"/>
          <w:sz w:val="24"/>
        </w:rPr>
        <w:t>4 卖方保证所供设备是投标型号，含有招标文件要求的设计和材料的全部最新改进，并且是全新的、未使用过的产品，无任何旧货或翻新的零部件和附件。卖方保证所提供的全部货物没有设计、材料或工艺上的缺陷，这些缺陷是所供货物在最终目的地现行条件下正常使用可能产生的。</w:t>
      </w:r>
    </w:p>
    <w:p w14:paraId="7A29BA77">
      <w:pPr>
        <w:spacing w:line="360" w:lineRule="auto"/>
        <w:rPr>
          <w:sz w:val="24"/>
        </w:rPr>
      </w:pPr>
      <w:r>
        <w:rPr>
          <w:rFonts w:hint="eastAsia"/>
          <w:sz w:val="24"/>
        </w:rPr>
        <w:t>5 卖方应在中国（大陆地区）境内有常设的维修服务中心。中心应有充足的备件供应，具备专门针对该产品进行校准升级和维修的能力。</w:t>
      </w:r>
    </w:p>
    <w:p w14:paraId="00C9E99B"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*6</w:t>
      </w:r>
      <w:r>
        <w:rPr>
          <w:rFonts w:hint="eastAsia"/>
          <w:sz w:val="24"/>
        </w:rPr>
        <w:t>需要与用户共同进行激光器的二次开发，必须满足用户要求；</w:t>
      </w:r>
    </w:p>
    <w:p w14:paraId="2B254D89">
      <w:pPr>
        <w:spacing w:line="360" w:lineRule="auto"/>
        <w:rPr>
          <w:sz w:val="24"/>
        </w:rPr>
      </w:pPr>
    </w:p>
    <w:p w14:paraId="4EBBCAC6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3C9D501C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高能量光参量啁啾脉冲放大器，1套</w:t>
      </w:r>
    </w:p>
    <w:p w14:paraId="753000FE">
      <w:pPr>
        <w:spacing w:line="360" w:lineRule="auto"/>
        <w:rPr>
          <w:sz w:val="24"/>
        </w:rPr>
      </w:pPr>
    </w:p>
    <w:p w14:paraId="37F2B67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（四）交货日期和交货地点（项目现场）：</w:t>
      </w:r>
    </w:p>
    <w:p w14:paraId="761419DF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交货日期：合同生效后12个月内</w:t>
      </w:r>
    </w:p>
    <w:p w14:paraId="092E0415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交货地点：中国科学院新疆理化技术研究所</w:t>
      </w:r>
    </w:p>
    <w:p w14:paraId="298805E2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</w:t>
      </w:r>
    </w:p>
    <w:p w14:paraId="74178DF5">
      <w:pPr>
        <w:spacing w:line="360" w:lineRule="auto"/>
        <w:rPr>
          <w:sz w:val="24"/>
        </w:rPr>
      </w:pPr>
      <w:r>
        <w:rPr>
          <w:rFonts w:hint="eastAsia"/>
          <w:b/>
          <w:sz w:val="24"/>
        </w:rPr>
        <w:t xml:space="preserve">（五）付款方式：   </w:t>
      </w:r>
      <w:r>
        <w:rPr>
          <w:rFonts w:hint="eastAsia"/>
          <w:sz w:val="24"/>
        </w:rPr>
        <w:t xml:space="preserve">                                      </w:t>
      </w:r>
    </w:p>
    <w:p w14:paraId="42590528">
      <w:pPr>
        <w:adjustRightInd w:val="0"/>
        <w:snapToGrid w:val="0"/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对于国产产品，100%凭用户代表签字并加盖单位公章后的验收报告支付；</w:t>
      </w:r>
    </w:p>
    <w:p w14:paraId="315E8E65">
      <w:pPr>
        <w:adjustRightInd w:val="0"/>
        <w:snapToGrid w:val="0"/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对于进口产品，采用即期不可撤消信用证等国际贸易支付条件支付：</w:t>
      </w:r>
    </w:p>
    <w:p w14:paraId="11E3D74A">
      <w:pPr>
        <w:adjustRightInd w:val="0"/>
        <w:snapToGrid w:val="0"/>
        <w:spacing w:line="360" w:lineRule="auto"/>
        <w:ind w:firstLine="960" w:firstLineChars="400"/>
        <w:rPr>
          <w:sz w:val="24"/>
        </w:rPr>
      </w:pPr>
      <w:r>
        <w:rPr>
          <w:rFonts w:hint="eastAsia"/>
          <w:sz w:val="24"/>
        </w:rPr>
        <w:t>90%凭合同要求单据支付；</w:t>
      </w:r>
    </w:p>
    <w:p w14:paraId="62B13620">
      <w:pPr>
        <w:adjustRightInd w:val="0"/>
        <w:snapToGrid w:val="0"/>
        <w:spacing w:line="360" w:lineRule="auto"/>
        <w:ind w:firstLine="960" w:firstLineChars="400"/>
        <w:rPr>
          <w:b/>
          <w:kern w:val="44"/>
          <w:sz w:val="48"/>
          <w:szCs w:val="20"/>
        </w:rPr>
      </w:pPr>
      <w:r>
        <w:rPr>
          <w:rFonts w:hint="eastAsia"/>
          <w:sz w:val="24"/>
        </w:rPr>
        <w:t>10%凭用户代表签字并加盖单位公章后的验收报告支付。</w:t>
      </w:r>
    </w:p>
    <w:p w14:paraId="5821CE62">
      <w:pPr>
        <w:adjustRightInd w:val="0"/>
        <w:snapToGrid w:val="0"/>
        <w:spacing w:line="360" w:lineRule="auto"/>
        <w:ind w:firstLine="1928" w:firstLineChars="400"/>
        <w:jc w:val="left"/>
        <w:rPr>
          <w:rFonts w:asciiTheme="minorEastAsia" w:hAnsiTheme="minorEastAsia" w:eastAsiaTheme="minorEastAsia" w:cstheme="minorEastAsia"/>
          <w:b/>
          <w:kern w:val="44"/>
          <w:sz w:val="48"/>
          <w:szCs w:val="20"/>
        </w:rPr>
      </w:pPr>
    </w:p>
    <w:p w14:paraId="79D11A56">
      <w:pPr>
        <w:tabs>
          <w:tab w:val="left" w:pos="1977"/>
        </w:tabs>
        <w:jc w:val="left"/>
      </w:pP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8CB4CD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3AADE0">
    <w:pPr>
      <w:pStyle w:val="2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9A53A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09F97D"/>
    <w:multiLevelType w:val="multilevel"/>
    <w:tmpl w:val="A709F97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195C2109"/>
    <w:multiLevelType w:val="singleLevel"/>
    <w:tmpl w:val="195C210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50A2"/>
    <w:rsid w:val="00021A2F"/>
    <w:rsid w:val="00027C8D"/>
    <w:rsid w:val="00040005"/>
    <w:rsid w:val="000543E7"/>
    <w:rsid w:val="0006010D"/>
    <w:rsid w:val="000668DC"/>
    <w:rsid w:val="00081ADD"/>
    <w:rsid w:val="000969BB"/>
    <w:rsid w:val="000973D2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235CA"/>
    <w:rsid w:val="00137D93"/>
    <w:rsid w:val="001437EA"/>
    <w:rsid w:val="001444BD"/>
    <w:rsid w:val="00144505"/>
    <w:rsid w:val="00144DDA"/>
    <w:rsid w:val="0014761F"/>
    <w:rsid w:val="00153F11"/>
    <w:rsid w:val="00154F47"/>
    <w:rsid w:val="00155A34"/>
    <w:rsid w:val="00164E27"/>
    <w:rsid w:val="00183E43"/>
    <w:rsid w:val="001921CA"/>
    <w:rsid w:val="00194900"/>
    <w:rsid w:val="001A0E56"/>
    <w:rsid w:val="001A5D41"/>
    <w:rsid w:val="001A6E63"/>
    <w:rsid w:val="001B195C"/>
    <w:rsid w:val="001B62CC"/>
    <w:rsid w:val="001B66E1"/>
    <w:rsid w:val="001B6E57"/>
    <w:rsid w:val="001D7301"/>
    <w:rsid w:val="001E1467"/>
    <w:rsid w:val="001E152C"/>
    <w:rsid w:val="001E3480"/>
    <w:rsid w:val="001F18B7"/>
    <w:rsid w:val="001F1D2B"/>
    <w:rsid w:val="001F5FAD"/>
    <w:rsid w:val="001F79B6"/>
    <w:rsid w:val="002024C7"/>
    <w:rsid w:val="00206639"/>
    <w:rsid w:val="0021259E"/>
    <w:rsid w:val="00213C28"/>
    <w:rsid w:val="00224FE7"/>
    <w:rsid w:val="00233C8A"/>
    <w:rsid w:val="00240E7B"/>
    <w:rsid w:val="00247ED0"/>
    <w:rsid w:val="00251DB7"/>
    <w:rsid w:val="002672D1"/>
    <w:rsid w:val="00275598"/>
    <w:rsid w:val="002761A3"/>
    <w:rsid w:val="0028124D"/>
    <w:rsid w:val="00282A80"/>
    <w:rsid w:val="00282F14"/>
    <w:rsid w:val="00292E0B"/>
    <w:rsid w:val="002B44BD"/>
    <w:rsid w:val="002B6E7A"/>
    <w:rsid w:val="002B7380"/>
    <w:rsid w:val="002C47B5"/>
    <w:rsid w:val="002D5C47"/>
    <w:rsid w:val="002E03AA"/>
    <w:rsid w:val="002E6A76"/>
    <w:rsid w:val="002F1704"/>
    <w:rsid w:val="002F6DE0"/>
    <w:rsid w:val="002F6FCA"/>
    <w:rsid w:val="002F7EF8"/>
    <w:rsid w:val="00301191"/>
    <w:rsid w:val="00322611"/>
    <w:rsid w:val="003248D5"/>
    <w:rsid w:val="00326BCC"/>
    <w:rsid w:val="00326D72"/>
    <w:rsid w:val="0033189B"/>
    <w:rsid w:val="003442AE"/>
    <w:rsid w:val="0034443A"/>
    <w:rsid w:val="003474B8"/>
    <w:rsid w:val="00353E66"/>
    <w:rsid w:val="00357C16"/>
    <w:rsid w:val="003637C6"/>
    <w:rsid w:val="003732CC"/>
    <w:rsid w:val="00373B63"/>
    <w:rsid w:val="00374F9A"/>
    <w:rsid w:val="00382C0C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15144"/>
    <w:rsid w:val="00420D92"/>
    <w:rsid w:val="0042297A"/>
    <w:rsid w:val="004234EE"/>
    <w:rsid w:val="004362C7"/>
    <w:rsid w:val="0044106E"/>
    <w:rsid w:val="00446E68"/>
    <w:rsid w:val="00447503"/>
    <w:rsid w:val="00457522"/>
    <w:rsid w:val="0046038A"/>
    <w:rsid w:val="00471176"/>
    <w:rsid w:val="004735F5"/>
    <w:rsid w:val="00484FF8"/>
    <w:rsid w:val="004A0EB1"/>
    <w:rsid w:val="004A3B49"/>
    <w:rsid w:val="004A5C14"/>
    <w:rsid w:val="004A5E82"/>
    <w:rsid w:val="004B3476"/>
    <w:rsid w:val="004B36B8"/>
    <w:rsid w:val="004C387C"/>
    <w:rsid w:val="004D0AB9"/>
    <w:rsid w:val="004E042A"/>
    <w:rsid w:val="004E4504"/>
    <w:rsid w:val="004F0FDE"/>
    <w:rsid w:val="004F3E07"/>
    <w:rsid w:val="00504FD3"/>
    <w:rsid w:val="00512882"/>
    <w:rsid w:val="005143FF"/>
    <w:rsid w:val="00516FEB"/>
    <w:rsid w:val="005244F5"/>
    <w:rsid w:val="00524665"/>
    <w:rsid w:val="00543C0A"/>
    <w:rsid w:val="0054699B"/>
    <w:rsid w:val="005515EB"/>
    <w:rsid w:val="0055226E"/>
    <w:rsid w:val="00552E7C"/>
    <w:rsid w:val="005556EB"/>
    <w:rsid w:val="005601D0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52D6"/>
    <w:rsid w:val="005C574A"/>
    <w:rsid w:val="005D09A0"/>
    <w:rsid w:val="005D479D"/>
    <w:rsid w:val="005E416B"/>
    <w:rsid w:val="005E7A21"/>
    <w:rsid w:val="005F24B2"/>
    <w:rsid w:val="0060103A"/>
    <w:rsid w:val="00602911"/>
    <w:rsid w:val="00602A7A"/>
    <w:rsid w:val="0060509A"/>
    <w:rsid w:val="006125F5"/>
    <w:rsid w:val="00612A9B"/>
    <w:rsid w:val="00614D00"/>
    <w:rsid w:val="006225E2"/>
    <w:rsid w:val="0062676A"/>
    <w:rsid w:val="00640DB1"/>
    <w:rsid w:val="006416E9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377B"/>
    <w:rsid w:val="006B0930"/>
    <w:rsid w:val="006C4384"/>
    <w:rsid w:val="006C5135"/>
    <w:rsid w:val="006C546E"/>
    <w:rsid w:val="006D29F2"/>
    <w:rsid w:val="006E2DE0"/>
    <w:rsid w:val="006E5A8E"/>
    <w:rsid w:val="0070081C"/>
    <w:rsid w:val="00701EBD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3776"/>
    <w:rsid w:val="00751428"/>
    <w:rsid w:val="0075674B"/>
    <w:rsid w:val="00761F2B"/>
    <w:rsid w:val="00763B74"/>
    <w:rsid w:val="007731D0"/>
    <w:rsid w:val="00775B16"/>
    <w:rsid w:val="00785A0A"/>
    <w:rsid w:val="00787CED"/>
    <w:rsid w:val="007967F8"/>
    <w:rsid w:val="007A3772"/>
    <w:rsid w:val="007C2696"/>
    <w:rsid w:val="007C4C31"/>
    <w:rsid w:val="007C5EA5"/>
    <w:rsid w:val="007D381E"/>
    <w:rsid w:val="007D3EE2"/>
    <w:rsid w:val="007E03CA"/>
    <w:rsid w:val="007E6193"/>
    <w:rsid w:val="007F2F97"/>
    <w:rsid w:val="007F387D"/>
    <w:rsid w:val="007F7152"/>
    <w:rsid w:val="008203E6"/>
    <w:rsid w:val="00822633"/>
    <w:rsid w:val="00830107"/>
    <w:rsid w:val="00831B02"/>
    <w:rsid w:val="00833174"/>
    <w:rsid w:val="00846609"/>
    <w:rsid w:val="00852958"/>
    <w:rsid w:val="0085467F"/>
    <w:rsid w:val="00864F77"/>
    <w:rsid w:val="008661F8"/>
    <w:rsid w:val="008712FA"/>
    <w:rsid w:val="00876AA9"/>
    <w:rsid w:val="00876EFF"/>
    <w:rsid w:val="00882892"/>
    <w:rsid w:val="00883AB2"/>
    <w:rsid w:val="008861B2"/>
    <w:rsid w:val="00887A5A"/>
    <w:rsid w:val="00896377"/>
    <w:rsid w:val="008A09F5"/>
    <w:rsid w:val="008A4B18"/>
    <w:rsid w:val="008A738C"/>
    <w:rsid w:val="008B2645"/>
    <w:rsid w:val="008C36D3"/>
    <w:rsid w:val="008C53FD"/>
    <w:rsid w:val="008D0675"/>
    <w:rsid w:val="008D1425"/>
    <w:rsid w:val="008D3BC8"/>
    <w:rsid w:val="008D6F23"/>
    <w:rsid w:val="008E5EB5"/>
    <w:rsid w:val="008F04C7"/>
    <w:rsid w:val="008F21A5"/>
    <w:rsid w:val="008F2440"/>
    <w:rsid w:val="00914619"/>
    <w:rsid w:val="009202C8"/>
    <w:rsid w:val="009246BA"/>
    <w:rsid w:val="00930CDE"/>
    <w:rsid w:val="00935AA1"/>
    <w:rsid w:val="009451DC"/>
    <w:rsid w:val="009467F2"/>
    <w:rsid w:val="0095655E"/>
    <w:rsid w:val="009718ED"/>
    <w:rsid w:val="0097297B"/>
    <w:rsid w:val="009753DE"/>
    <w:rsid w:val="0098154C"/>
    <w:rsid w:val="0098549E"/>
    <w:rsid w:val="009857EF"/>
    <w:rsid w:val="009941D8"/>
    <w:rsid w:val="009A2C18"/>
    <w:rsid w:val="009C0A0B"/>
    <w:rsid w:val="009C14BD"/>
    <w:rsid w:val="009D1AF8"/>
    <w:rsid w:val="009D32B1"/>
    <w:rsid w:val="009E1C84"/>
    <w:rsid w:val="009E32D4"/>
    <w:rsid w:val="009E4080"/>
    <w:rsid w:val="009E4DCB"/>
    <w:rsid w:val="009E580F"/>
    <w:rsid w:val="009F5A6A"/>
    <w:rsid w:val="00A01B3A"/>
    <w:rsid w:val="00A0205F"/>
    <w:rsid w:val="00A04E9D"/>
    <w:rsid w:val="00A06893"/>
    <w:rsid w:val="00A21886"/>
    <w:rsid w:val="00A25682"/>
    <w:rsid w:val="00A2638C"/>
    <w:rsid w:val="00A27417"/>
    <w:rsid w:val="00A27AFD"/>
    <w:rsid w:val="00A354A8"/>
    <w:rsid w:val="00A4031E"/>
    <w:rsid w:val="00A44A2B"/>
    <w:rsid w:val="00A46F60"/>
    <w:rsid w:val="00A53234"/>
    <w:rsid w:val="00A57F47"/>
    <w:rsid w:val="00A8199A"/>
    <w:rsid w:val="00AA7A0D"/>
    <w:rsid w:val="00AB113B"/>
    <w:rsid w:val="00AD2FD2"/>
    <w:rsid w:val="00AD41E6"/>
    <w:rsid w:val="00AD4ECF"/>
    <w:rsid w:val="00AD70C8"/>
    <w:rsid w:val="00AF6067"/>
    <w:rsid w:val="00B04039"/>
    <w:rsid w:val="00B07AAD"/>
    <w:rsid w:val="00B15273"/>
    <w:rsid w:val="00B16887"/>
    <w:rsid w:val="00B1746F"/>
    <w:rsid w:val="00B27A2B"/>
    <w:rsid w:val="00B31F00"/>
    <w:rsid w:val="00B342D0"/>
    <w:rsid w:val="00B351A2"/>
    <w:rsid w:val="00B41959"/>
    <w:rsid w:val="00B42C18"/>
    <w:rsid w:val="00B43CF7"/>
    <w:rsid w:val="00B44327"/>
    <w:rsid w:val="00B53944"/>
    <w:rsid w:val="00B61FDD"/>
    <w:rsid w:val="00B758E7"/>
    <w:rsid w:val="00B75B80"/>
    <w:rsid w:val="00B81149"/>
    <w:rsid w:val="00B8672D"/>
    <w:rsid w:val="00B94FB1"/>
    <w:rsid w:val="00BC7FBC"/>
    <w:rsid w:val="00BD11D6"/>
    <w:rsid w:val="00BD2A3B"/>
    <w:rsid w:val="00BD646D"/>
    <w:rsid w:val="00BD6A33"/>
    <w:rsid w:val="00BD7ED0"/>
    <w:rsid w:val="00BE5E06"/>
    <w:rsid w:val="00BE643E"/>
    <w:rsid w:val="00BE7CED"/>
    <w:rsid w:val="00BF59BF"/>
    <w:rsid w:val="00BF6B4E"/>
    <w:rsid w:val="00C056B5"/>
    <w:rsid w:val="00C10630"/>
    <w:rsid w:val="00C12939"/>
    <w:rsid w:val="00C14E3B"/>
    <w:rsid w:val="00C23BA4"/>
    <w:rsid w:val="00C241B2"/>
    <w:rsid w:val="00C34485"/>
    <w:rsid w:val="00C40AB3"/>
    <w:rsid w:val="00C43805"/>
    <w:rsid w:val="00C43E24"/>
    <w:rsid w:val="00C45235"/>
    <w:rsid w:val="00C60EF2"/>
    <w:rsid w:val="00C615B2"/>
    <w:rsid w:val="00C702F0"/>
    <w:rsid w:val="00C74553"/>
    <w:rsid w:val="00C8112C"/>
    <w:rsid w:val="00C87EF4"/>
    <w:rsid w:val="00CA623E"/>
    <w:rsid w:val="00CA630F"/>
    <w:rsid w:val="00CB4EB2"/>
    <w:rsid w:val="00CB7A41"/>
    <w:rsid w:val="00CC7A0B"/>
    <w:rsid w:val="00CD0A52"/>
    <w:rsid w:val="00CD0EEF"/>
    <w:rsid w:val="00CD64CD"/>
    <w:rsid w:val="00CE2041"/>
    <w:rsid w:val="00CE3059"/>
    <w:rsid w:val="00CE4960"/>
    <w:rsid w:val="00CE5371"/>
    <w:rsid w:val="00CE56FA"/>
    <w:rsid w:val="00CF0912"/>
    <w:rsid w:val="00CF7B4D"/>
    <w:rsid w:val="00D0060C"/>
    <w:rsid w:val="00D027B8"/>
    <w:rsid w:val="00D04134"/>
    <w:rsid w:val="00D0571C"/>
    <w:rsid w:val="00D0679B"/>
    <w:rsid w:val="00D11879"/>
    <w:rsid w:val="00D12547"/>
    <w:rsid w:val="00D22D44"/>
    <w:rsid w:val="00D378BA"/>
    <w:rsid w:val="00D40668"/>
    <w:rsid w:val="00D6263A"/>
    <w:rsid w:val="00D778D7"/>
    <w:rsid w:val="00D83934"/>
    <w:rsid w:val="00D861C3"/>
    <w:rsid w:val="00D91A0C"/>
    <w:rsid w:val="00D9239C"/>
    <w:rsid w:val="00D95955"/>
    <w:rsid w:val="00D979AB"/>
    <w:rsid w:val="00DA590C"/>
    <w:rsid w:val="00DA703D"/>
    <w:rsid w:val="00DB54CF"/>
    <w:rsid w:val="00DC1546"/>
    <w:rsid w:val="00DD2172"/>
    <w:rsid w:val="00DD4A09"/>
    <w:rsid w:val="00DD4C25"/>
    <w:rsid w:val="00DD6A1F"/>
    <w:rsid w:val="00DE4C00"/>
    <w:rsid w:val="00DE5C67"/>
    <w:rsid w:val="00DF11D8"/>
    <w:rsid w:val="00DF2449"/>
    <w:rsid w:val="00DF7ACF"/>
    <w:rsid w:val="00E004CA"/>
    <w:rsid w:val="00E03391"/>
    <w:rsid w:val="00E0373B"/>
    <w:rsid w:val="00E07308"/>
    <w:rsid w:val="00E14474"/>
    <w:rsid w:val="00E179B5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83E40"/>
    <w:rsid w:val="00E857B8"/>
    <w:rsid w:val="00E907E5"/>
    <w:rsid w:val="00E943B8"/>
    <w:rsid w:val="00EA11F7"/>
    <w:rsid w:val="00EA20B9"/>
    <w:rsid w:val="00EA4549"/>
    <w:rsid w:val="00ED0B37"/>
    <w:rsid w:val="00ED22DF"/>
    <w:rsid w:val="00ED4C66"/>
    <w:rsid w:val="00ED6781"/>
    <w:rsid w:val="00EE4BD8"/>
    <w:rsid w:val="00EF5BA0"/>
    <w:rsid w:val="00F13600"/>
    <w:rsid w:val="00F15FC0"/>
    <w:rsid w:val="00F17042"/>
    <w:rsid w:val="00F175D1"/>
    <w:rsid w:val="00F21DA9"/>
    <w:rsid w:val="00F22A75"/>
    <w:rsid w:val="00F30C1E"/>
    <w:rsid w:val="00F3185D"/>
    <w:rsid w:val="00F35217"/>
    <w:rsid w:val="00F35C50"/>
    <w:rsid w:val="00F42D68"/>
    <w:rsid w:val="00F436FE"/>
    <w:rsid w:val="00F500D2"/>
    <w:rsid w:val="00F51A9D"/>
    <w:rsid w:val="00F57792"/>
    <w:rsid w:val="00F60048"/>
    <w:rsid w:val="00F6185A"/>
    <w:rsid w:val="00F73FE2"/>
    <w:rsid w:val="00F74944"/>
    <w:rsid w:val="00F8497C"/>
    <w:rsid w:val="00F91E41"/>
    <w:rsid w:val="00FA238D"/>
    <w:rsid w:val="00FA3835"/>
    <w:rsid w:val="00FA6816"/>
    <w:rsid w:val="00FB5D79"/>
    <w:rsid w:val="00FE3D91"/>
    <w:rsid w:val="00FE55D2"/>
    <w:rsid w:val="00FF5179"/>
    <w:rsid w:val="00FF728E"/>
    <w:rsid w:val="016A347B"/>
    <w:rsid w:val="01A67536"/>
    <w:rsid w:val="020B291A"/>
    <w:rsid w:val="04A647CA"/>
    <w:rsid w:val="053E2C54"/>
    <w:rsid w:val="054F59E9"/>
    <w:rsid w:val="055E4102"/>
    <w:rsid w:val="05C106F9"/>
    <w:rsid w:val="05E93999"/>
    <w:rsid w:val="0762073E"/>
    <w:rsid w:val="08A04AF6"/>
    <w:rsid w:val="09120680"/>
    <w:rsid w:val="09A45050"/>
    <w:rsid w:val="09FA1199"/>
    <w:rsid w:val="0A5B05D9"/>
    <w:rsid w:val="0AE0030A"/>
    <w:rsid w:val="0CB7459B"/>
    <w:rsid w:val="0D6B0DE4"/>
    <w:rsid w:val="0D8A6F81"/>
    <w:rsid w:val="0E0458FF"/>
    <w:rsid w:val="0E39045D"/>
    <w:rsid w:val="0E936CC2"/>
    <w:rsid w:val="0EE967FA"/>
    <w:rsid w:val="0F4075C9"/>
    <w:rsid w:val="0F4672D5"/>
    <w:rsid w:val="0F4E40DD"/>
    <w:rsid w:val="0F6F4465"/>
    <w:rsid w:val="10E279BE"/>
    <w:rsid w:val="11F50142"/>
    <w:rsid w:val="122E6778"/>
    <w:rsid w:val="124636C7"/>
    <w:rsid w:val="124949E7"/>
    <w:rsid w:val="15567B46"/>
    <w:rsid w:val="15D708BB"/>
    <w:rsid w:val="15F52619"/>
    <w:rsid w:val="15FF11AF"/>
    <w:rsid w:val="17CB6513"/>
    <w:rsid w:val="17E30CEE"/>
    <w:rsid w:val="185D6BC0"/>
    <w:rsid w:val="19340553"/>
    <w:rsid w:val="196D36B1"/>
    <w:rsid w:val="19AE7309"/>
    <w:rsid w:val="19B328F1"/>
    <w:rsid w:val="1A18361C"/>
    <w:rsid w:val="1A902BB0"/>
    <w:rsid w:val="1B9E3D36"/>
    <w:rsid w:val="1BB16445"/>
    <w:rsid w:val="1BBA3A2F"/>
    <w:rsid w:val="1BDB32BF"/>
    <w:rsid w:val="1C686EB5"/>
    <w:rsid w:val="1C8F2A04"/>
    <w:rsid w:val="1D4709C5"/>
    <w:rsid w:val="1D8B6157"/>
    <w:rsid w:val="1EC748E6"/>
    <w:rsid w:val="1FB2465F"/>
    <w:rsid w:val="20365C75"/>
    <w:rsid w:val="20863AF3"/>
    <w:rsid w:val="20CC6772"/>
    <w:rsid w:val="20FD3BD3"/>
    <w:rsid w:val="213E293A"/>
    <w:rsid w:val="218B2C39"/>
    <w:rsid w:val="22597BF6"/>
    <w:rsid w:val="22737F8A"/>
    <w:rsid w:val="227819CB"/>
    <w:rsid w:val="23256975"/>
    <w:rsid w:val="23423424"/>
    <w:rsid w:val="240C4724"/>
    <w:rsid w:val="243F7370"/>
    <w:rsid w:val="26053E04"/>
    <w:rsid w:val="26984472"/>
    <w:rsid w:val="269A7125"/>
    <w:rsid w:val="26DD3CEE"/>
    <w:rsid w:val="270359EC"/>
    <w:rsid w:val="27F05BD9"/>
    <w:rsid w:val="27F12816"/>
    <w:rsid w:val="285164E5"/>
    <w:rsid w:val="29071C72"/>
    <w:rsid w:val="2A52058E"/>
    <w:rsid w:val="2A8E004C"/>
    <w:rsid w:val="2ACC7B67"/>
    <w:rsid w:val="2B6A1BE2"/>
    <w:rsid w:val="2C957AE2"/>
    <w:rsid w:val="2CB90995"/>
    <w:rsid w:val="2CED26E7"/>
    <w:rsid w:val="2D5179CF"/>
    <w:rsid w:val="2E5F5A1F"/>
    <w:rsid w:val="2ED5581D"/>
    <w:rsid w:val="2F043E2F"/>
    <w:rsid w:val="2F25260C"/>
    <w:rsid w:val="308A097E"/>
    <w:rsid w:val="319039E6"/>
    <w:rsid w:val="32085AE3"/>
    <w:rsid w:val="327F0D3B"/>
    <w:rsid w:val="331A4758"/>
    <w:rsid w:val="3369385E"/>
    <w:rsid w:val="33CA23C6"/>
    <w:rsid w:val="35C0542C"/>
    <w:rsid w:val="36EE7C0D"/>
    <w:rsid w:val="372B2789"/>
    <w:rsid w:val="384F06F9"/>
    <w:rsid w:val="38FB3349"/>
    <w:rsid w:val="395026E3"/>
    <w:rsid w:val="39A43A9C"/>
    <w:rsid w:val="3AE72E6B"/>
    <w:rsid w:val="3AFF33E8"/>
    <w:rsid w:val="3C2D3B80"/>
    <w:rsid w:val="3C9057B4"/>
    <w:rsid w:val="3D476359"/>
    <w:rsid w:val="3D9A658C"/>
    <w:rsid w:val="3DE10046"/>
    <w:rsid w:val="3DEE1D80"/>
    <w:rsid w:val="3DF338D5"/>
    <w:rsid w:val="3EA378DA"/>
    <w:rsid w:val="3EF73899"/>
    <w:rsid w:val="3F651E10"/>
    <w:rsid w:val="401A55E8"/>
    <w:rsid w:val="413B7A6D"/>
    <w:rsid w:val="426C16E4"/>
    <w:rsid w:val="42C41CE4"/>
    <w:rsid w:val="435F1712"/>
    <w:rsid w:val="43D85920"/>
    <w:rsid w:val="442742D8"/>
    <w:rsid w:val="442F62DC"/>
    <w:rsid w:val="443B5FD6"/>
    <w:rsid w:val="459220B9"/>
    <w:rsid w:val="46DB7A17"/>
    <w:rsid w:val="48333FF5"/>
    <w:rsid w:val="485E6BC5"/>
    <w:rsid w:val="48664A8B"/>
    <w:rsid w:val="48A22FB6"/>
    <w:rsid w:val="49430615"/>
    <w:rsid w:val="49B72972"/>
    <w:rsid w:val="49E2478A"/>
    <w:rsid w:val="49FA5FEB"/>
    <w:rsid w:val="4A3E0C6F"/>
    <w:rsid w:val="4B914BF5"/>
    <w:rsid w:val="4C7D3400"/>
    <w:rsid w:val="4CB171D5"/>
    <w:rsid w:val="4CB230FF"/>
    <w:rsid w:val="4D413CB4"/>
    <w:rsid w:val="4E800A41"/>
    <w:rsid w:val="4EE564B0"/>
    <w:rsid w:val="4FFC159D"/>
    <w:rsid w:val="50FC37C6"/>
    <w:rsid w:val="51CD3614"/>
    <w:rsid w:val="51CF66C7"/>
    <w:rsid w:val="522400A9"/>
    <w:rsid w:val="531539E5"/>
    <w:rsid w:val="53D55AFF"/>
    <w:rsid w:val="53FC6986"/>
    <w:rsid w:val="54A60BE9"/>
    <w:rsid w:val="55466588"/>
    <w:rsid w:val="559A7000"/>
    <w:rsid w:val="55BD5BF6"/>
    <w:rsid w:val="5628185A"/>
    <w:rsid w:val="565C4CCB"/>
    <w:rsid w:val="56770AFB"/>
    <w:rsid w:val="56894032"/>
    <w:rsid w:val="56D71B8E"/>
    <w:rsid w:val="57121C01"/>
    <w:rsid w:val="573C6F55"/>
    <w:rsid w:val="57D63A28"/>
    <w:rsid w:val="57F95C42"/>
    <w:rsid w:val="581B6CF3"/>
    <w:rsid w:val="58527420"/>
    <w:rsid w:val="585F0652"/>
    <w:rsid w:val="591A5625"/>
    <w:rsid w:val="5980136F"/>
    <w:rsid w:val="59DD58A1"/>
    <w:rsid w:val="5A6731DF"/>
    <w:rsid w:val="5AE900E2"/>
    <w:rsid w:val="5C7F1F93"/>
    <w:rsid w:val="5D6231AF"/>
    <w:rsid w:val="5E72647F"/>
    <w:rsid w:val="5E834DD9"/>
    <w:rsid w:val="5F236DE7"/>
    <w:rsid w:val="608E3660"/>
    <w:rsid w:val="60E37145"/>
    <w:rsid w:val="614B4126"/>
    <w:rsid w:val="617B7B59"/>
    <w:rsid w:val="620B4DE2"/>
    <w:rsid w:val="621505DC"/>
    <w:rsid w:val="625D22A8"/>
    <w:rsid w:val="62685D90"/>
    <w:rsid w:val="63025693"/>
    <w:rsid w:val="638E7A78"/>
    <w:rsid w:val="63E646EC"/>
    <w:rsid w:val="648D7D30"/>
    <w:rsid w:val="649D6C72"/>
    <w:rsid w:val="64FD5243"/>
    <w:rsid w:val="657340D8"/>
    <w:rsid w:val="65A115C7"/>
    <w:rsid w:val="65C0401D"/>
    <w:rsid w:val="65C45F55"/>
    <w:rsid w:val="662648F8"/>
    <w:rsid w:val="665F1537"/>
    <w:rsid w:val="678F4E88"/>
    <w:rsid w:val="67BA52E0"/>
    <w:rsid w:val="67D85B6C"/>
    <w:rsid w:val="67F65BEC"/>
    <w:rsid w:val="682616CA"/>
    <w:rsid w:val="68ED6A71"/>
    <w:rsid w:val="69317B0A"/>
    <w:rsid w:val="69F67FAD"/>
    <w:rsid w:val="6C5B7D72"/>
    <w:rsid w:val="6C67192F"/>
    <w:rsid w:val="6C72015B"/>
    <w:rsid w:val="6CE60189"/>
    <w:rsid w:val="6E04301E"/>
    <w:rsid w:val="6F135C55"/>
    <w:rsid w:val="6F215C44"/>
    <w:rsid w:val="6F4F630E"/>
    <w:rsid w:val="6F5A2F04"/>
    <w:rsid w:val="6FC94BD6"/>
    <w:rsid w:val="6FDB37E3"/>
    <w:rsid w:val="70207CAA"/>
    <w:rsid w:val="70626232"/>
    <w:rsid w:val="71361DC2"/>
    <w:rsid w:val="72B631D2"/>
    <w:rsid w:val="732820F7"/>
    <w:rsid w:val="734D446A"/>
    <w:rsid w:val="740972B4"/>
    <w:rsid w:val="74C80B12"/>
    <w:rsid w:val="75134E49"/>
    <w:rsid w:val="77FE4FE3"/>
    <w:rsid w:val="78617CDA"/>
    <w:rsid w:val="78C830A0"/>
    <w:rsid w:val="78D36201"/>
    <w:rsid w:val="792F1A3C"/>
    <w:rsid w:val="79B5177D"/>
    <w:rsid w:val="7A463EB9"/>
    <w:rsid w:val="7A8377B3"/>
    <w:rsid w:val="7ACE0B28"/>
    <w:rsid w:val="7D9D4043"/>
    <w:rsid w:val="7DC84D0D"/>
    <w:rsid w:val="7DCF2303"/>
    <w:rsid w:val="7DE54E45"/>
    <w:rsid w:val="7E123E81"/>
    <w:rsid w:val="7E6E109E"/>
    <w:rsid w:val="7E9D0BC6"/>
    <w:rsid w:val="7F8942DD"/>
    <w:rsid w:val="7FD2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3">
    <w:name w:val="Document Map"/>
    <w:basedOn w:val="1"/>
    <w:semiHidden/>
    <w:qFormat/>
    <w:uiPriority w:val="0"/>
    <w:pPr>
      <w:shd w:val="clear" w:color="auto" w:fill="000080"/>
    </w:pPr>
  </w:style>
  <w:style w:type="paragraph" w:styleId="14">
    <w:name w:val="annotation text"/>
    <w:basedOn w:val="1"/>
    <w:link w:val="47"/>
    <w:qFormat/>
    <w:uiPriority w:val="99"/>
    <w:pPr>
      <w:jc w:val="left"/>
    </w:pPr>
    <w:rPr>
      <w:rFonts w:ascii="Cambria" w:hAnsi="Cambria"/>
      <w:szCs w:val="21"/>
    </w:rPr>
  </w:style>
  <w:style w:type="paragraph" w:styleId="15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6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7">
    <w:name w:val="Body Text Indent"/>
    <w:basedOn w:val="1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19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0">
    <w:name w:val="Plain Text"/>
    <w:basedOn w:val="1"/>
    <w:link w:val="48"/>
    <w:qFormat/>
    <w:uiPriority w:val="99"/>
    <w:rPr>
      <w:rFonts w:ascii="宋体" w:hAnsi="Courier New"/>
      <w:szCs w:val="20"/>
    </w:rPr>
  </w:style>
  <w:style w:type="paragraph" w:styleId="21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2">
    <w:name w:val="Date"/>
    <w:basedOn w:val="1"/>
    <w:next w:val="1"/>
    <w:link w:val="49"/>
    <w:qFormat/>
    <w:uiPriority w:val="0"/>
    <w:rPr>
      <w:szCs w:val="20"/>
    </w:rPr>
  </w:style>
  <w:style w:type="paragraph" w:styleId="23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5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6">
    <w:name w:val="header"/>
    <w:basedOn w:val="1"/>
    <w:link w:val="5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8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29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0">
    <w:name w:val="Body Text Indent 3"/>
    <w:basedOn w:val="1"/>
    <w:link w:val="52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1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2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3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5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6">
    <w:name w:val="Title"/>
    <w:basedOn w:val="1"/>
    <w:qFormat/>
    <w:uiPriority w:val="0"/>
    <w:pPr>
      <w:jc w:val="center"/>
    </w:pPr>
    <w:rPr>
      <w:sz w:val="30"/>
    </w:rPr>
  </w:style>
  <w:style w:type="paragraph" w:styleId="37">
    <w:name w:val="annotation subject"/>
    <w:basedOn w:val="14"/>
    <w:next w:val="14"/>
    <w:link w:val="70"/>
    <w:qFormat/>
    <w:uiPriority w:val="0"/>
    <w:pPr>
      <w:jc w:val="both"/>
    </w:pPr>
    <w:rPr>
      <w:rFonts w:ascii="Times New Roman" w:hAnsi="Times New Roman"/>
      <w:b/>
      <w:bCs/>
      <w:sz w:val="20"/>
      <w:szCs w:val="20"/>
    </w:rPr>
  </w:style>
  <w:style w:type="table" w:styleId="39">
    <w:name w:val="Table Grid"/>
    <w:basedOn w:val="3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1">
    <w:name w:val="Strong"/>
    <w:qFormat/>
    <w:uiPriority w:val="22"/>
    <w:rPr>
      <w:b/>
      <w:bCs/>
    </w:rPr>
  </w:style>
  <w:style w:type="character" w:styleId="42">
    <w:name w:val="page number"/>
    <w:qFormat/>
    <w:uiPriority w:val="0"/>
  </w:style>
  <w:style w:type="character" w:styleId="43">
    <w:name w:val="FollowedHyperlink"/>
    <w:qFormat/>
    <w:uiPriority w:val="0"/>
    <w:rPr>
      <w:color w:val="800080"/>
      <w:u w:val="single"/>
    </w:rPr>
  </w:style>
  <w:style w:type="character" w:styleId="44">
    <w:name w:val="Emphasis"/>
    <w:qFormat/>
    <w:uiPriority w:val="20"/>
    <w:rPr>
      <w:i/>
      <w:iCs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basedOn w:val="40"/>
    <w:qFormat/>
    <w:uiPriority w:val="99"/>
    <w:rPr>
      <w:sz w:val="21"/>
      <w:szCs w:val="21"/>
    </w:rPr>
  </w:style>
  <w:style w:type="character" w:customStyle="1" w:styleId="47">
    <w:name w:val="批注文字 字符"/>
    <w:link w:val="14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48">
    <w:name w:val="纯文本 字符"/>
    <w:link w:val="20"/>
    <w:qFormat/>
    <w:uiPriority w:val="99"/>
    <w:rPr>
      <w:rFonts w:ascii="宋体" w:hAnsi="Courier New"/>
      <w:kern w:val="2"/>
      <w:sz w:val="21"/>
    </w:rPr>
  </w:style>
  <w:style w:type="character" w:customStyle="1" w:styleId="49">
    <w:name w:val="日期 字符"/>
    <w:link w:val="22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0">
    <w:name w:val="页脚 字符"/>
    <w:link w:val="25"/>
    <w:qFormat/>
    <w:uiPriority w:val="99"/>
    <w:rPr>
      <w:kern w:val="2"/>
      <w:sz w:val="18"/>
      <w:szCs w:val="18"/>
    </w:rPr>
  </w:style>
  <w:style w:type="character" w:customStyle="1" w:styleId="51">
    <w:name w:val="页眉 字符"/>
    <w:link w:val="26"/>
    <w:qFormat/>
    <w:uiPriority w:val="0"/>
    <w:rPr>
      <w:kern w:val="2"/>
      <w:sz w:val="18"/>
      <w:szCs w:val="18"/>
    </w:rPr>
  </w:style>
  <w:style w:type="character" w:customStyle="1" w:styleId="52">
    <w:name w:val="正文文本缩进 3 字符"/>
    <w:link w:val="30"/>
    <w:qFormat/>
    <w:uiPriority w:val="0"/>
    <w:rPr>
      <w:rFonts w:ascii="宋体" w:hAnsi="Cambria" w:cs="宋体"/>
      <w:sz w:val="24"/>
      <w:szCs w:val="24"/>
    </w:rPr>
  </w:style>
  <w:style w:type="character" w:customStyle="1" w:styleId="53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4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5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6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57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58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59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0">
    <w:name w:val="标题1"/>
    <w:basedOn w:val="36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1">
    <w:name w:val="附录标题3"/>
    <w:basedOn w:val="1"/>
    <w:next w:val="4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2">
    <w:name w:val="样式"/>
    <w:basedOn w:val="1"/>
    <w:next w:val="20"/>
    <w:qFormat/>
    <w:uiPriority w:val="0"/>
    <w:rPr>
      <w:rFonts w:ascii="宋体" w:hAnsi="Courier New" w:cs="宋体"/>
      <w:szCs w:val="21"/>
    </w:rPr>
  </w:style>
  <w:style w:type="paragraph" w:customStyle="1" w:styleId="63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4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5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6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67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8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69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character" w:customStyle="1" w:styleId="70">
    <w:name w:val="批注主题 字符"/>
    <w:basedOn w:val="47"/>
    <w:link w:val="37"/>
    <w:qFormat/>
    <w:uiPriority w:val="0"/>
    <w:rPr>
      <w:rFonts w:ascii="Cambria" w:hAnsi="Cambria"/>
      <w:b/>
      <w:bCs/>
      <w:kern w:val="2"/>
      <w:sz w:val="21"/>
      <w:szCs w:val="21"/>
    </w:rPr>
  </w:style>
  <w:style w:type="paragraph" w:customStyle="1" w:styleId="71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9</Pages>
  <Words>4303</Words>
  <Characters>4739</Characters>
  <Lines>335</Lines>
  <Paragraphs>94</Paragraphs>
  <TotalTime>91</TotalTime>
  <ScaleCrop>false</ScaleCrop>
  <LinksUpToDate>false</LinksUpToDate>
  <CharactersWithSpaces>4941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2025-09-12T04:18:00Z</dcterms:created>
  <dc:creator>caowuning</dc:creator>
  <cp:lastModifiedBy>清</cp:lastModifiedBy>
  <cp:lastPrinted>2009-04-21T09:03:00Z</cp:lastPrinted>
  <dcterms:modified xsi:type="dcterms:W3CDTF">2025-09-25T07:09:09Z</dcterms:modified>
  <dc:title>北 京 市 政 府 采 购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DF2AA328D8654C92899DDB76A426D224_13</vt:lpwstr>
  </property>
  <property fmtid="{D5CDD505-2E9C-101B-9397-08002B2CF9AE}" pid="4" name="KSOTemplateDocerSaveRecord">
    <vt:lpwstr>eyJoZGlkIjoiNTI5ZmZjMjA2MjdiMDFiYzZmZWIzNjQ5YThhMzQxMzIiLCJ1c2VySWQiOiIxMDI1MTk0NTMzIn0=</vt:lpwstr>
  </property>
</Properties>
</file>