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45DBBC">
      <w:pPr>
        <w:adjustRightInd w:val="0"/>
        <w:snapToGrid w:val="0"/>
        <w:spacing w:after="156" w:afterLines="50" w:line="360" w:lineRule="auto"/>
        <w:jc w:val="center"/>
        <w:outlineLvl w:val="0"/>
        <w:rPr>
          <w:rFonts w:hint="eastAsia" w:ascii="黑体" w:eastAsia="黑体"/>
          <w:b/>
          <w:kern w:val="44"/>
          <w:sz w:val="48"/>
          <w:szCs w:val="20"/>
        </w:rPr>
      </w:pPr>
      <w:bookmarkStart w:id="3" w:name="_GoBack"/>
      <w:bookmarkEnd w:id="3"/>
      <w:bookmarkStart w:id="0" w:name="_Toc129880039"/>
      <w:r>
        <w:rPr>
          <w:rFonts w:hint="eastAsia" w:ascii="宋体" w:hAnsi="宋体"/>
          <w:b/>
          <w:sz w:val="30"/>
          <w:szCs w:val="30"/>
        </w:rPr>
        <w:t>第八部分 采购需求</w:t>
      </w:r>
      <w:bookmarkEnd w:id="0"/>
    </w:p>
    <w:p w14:paraId="7135880C">
      <w:pPr>
        <w:adjustRightInd w:val="0"/>
        <w:snapToGrid w:val="0"/>
        <w:spacing w:before="156" w:beforeLines="50" w:after="156" w:afterLines="50" w:line="360" w:lineRule="auto"/>
        <w:jc w:val="center"/>
        <w:rPr>
          <w:rFonts w:hint="eastAsia" w:ascii="宋体" w:hAnsi="宋体"/>
          <w:b/>
          <w:sz w:val="24"/>
        </w:rPr>
      </w:pPr>
      <w:r>
        <w:rPr>
          <w:rFonts w:hint="eastAsia" w:ascii="宋体" w:hAnsi="宋体"/>
          <w:b/>
          <w:sz w:val="24"/>
        </w:rPr>
        <w:t>货物需求一览表</w:t>
      </w:r>
    </w:p>
    <w:p w14:paraId="55A18457">
      <w:pPr>
        <w:adjustRightInd w:val="0"/>
        <w:snapToGrid w:val="0"/>
        <w:jc w:val="center"/>
        <w:rPr>
          <w:rFonts w:hint="eastAsia" w:ascii="宋体" w:hAnsi="宋体"/>
          <w:b/>
          <w:sz w:val="30"/>
          <w:szCs w:val="30"/>
        </w:rPr>
      </w:pPr>
    </w:p>
    <w:tbl>
      <w:tblPr>
        <w:tblStyle w:val="5"/>
        <w:tblW w:w="94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1893"/>
        <w:gridCol w:w="2410"/>
      </w:tblGrid>
      <w:tr w14:paraId="1BE44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noWrap w:val="0"/>
            <w:vAlign w:val="center"/>
          </w:tcPr>
          <w:p w14:paraId="46E6757F">
            <w:pPr>
              <w:jc w:val="center"/>
              <w:rPr>
                <w:rFonts w:ascii="宋体" w:hAnsi="Bookman Old Style"/>
                <w:sz w:val="24"/>
              </w:rPr>
            </w:pPr>
            <w:r>
              <w:rPr>
                <w:rFonts w:hint="eastAsia" w:ascii="宋体" w:hAnsi="Bookman Old Style"/>
                <w:sz w:val="24"/>
              </w:rPr>
              <w:t>包号</w:t>
            </w:r>
          </w:p>
        </w:tc>
        <w:tc>
          <w:tcPr>
            <w:tcW w:w="2357" w:type="dxa"/>
            <w:noWrap w:val="0"/>
            <w:vAlign w:val="center"/>
          </w:tcPr>
          <w:p w14:paraId="6F9EE3A3">
            <w:pPr>
              <w:jc w:val="center"/>
              <w:rPr>
                <w:rFonts w:ascii="宋体" w:hAnsi="Bookman Old Style"/>
                <w:sz w:val="24"/>
              </w:rPr>
            </w:pPr>
            <w:r>
              <w:rPr>
                <w:rFonts w:hint="eastAsia" w:ascii="宋体" w:hAnsi="Bookman Old Style"/>
                <w:sz w:val="24"/>
              </w:rPr>
              <w:t>货物名称</w:t>
            </w:r>
          </w:p>
        </w:tc>
        <w:tc>
          <w:tcPr>
            <w:tcW w:w="1329" w:type="dxa"/>
            <w:noWrap w:val="0"/>
            <w:vAlign w:val="center"/>
          </w:tcPr>
          <w:p w14:paraId="512E77F6">
            <w:pPr>
              <w:jc w:val="center"/>
              <w:rPr>
                <w:rFonts w:ascii="宋体" w:hAnsi="Bookman Old Style"/>
                <w:sz w:val="24"/>
              </w:rPr>
            </w:pPr>
            <w:r>
              <w:rPr>
                <w:rFonts w:hint="eastAsia" w:ascii="宋体" w:hAnsi="Bookman Old Style"/>
                <w:sz w:val="24"/>
              </w:rPr>
              <w:t>数量</w:t>
            </w:r>
          </w:p>
        </w:tc>
        <w:tc>
          <w:tcPr>
            <w:tcW w:w="1893" w:type="dxa"/>
            <w:noWrap w:val="0"/>
            <w:vAlign w:val="center"/>
          </w:tcPr>
          <w:p w14:paraId="56A71166">
            <w:pPr>
              <w:jc w:val="center"/>
              <w:rPr>
                <w:rFonts w:ascii="宋体" w:hAnsi="Bookman Old Style"/>
                <w:sz w:val="24"/>
              </w:rPr>
            </w:pPr>
            <w:r>
              <w:rPr>
                <w:rFonts w:hint="eastAsia" w:ascii="宋体" w:hAnsi="Bookman Old Style"/>
                <w:sz w:val="24"/>
              </w:rPr>
              <w:t>是否接受进口</w:t>
            </w:r>
          </w:p>
        </w:tc>
        <w:tc>
          <w:tcPr>
            <w:tcW w:w="2410" w:type="dxa"/>
            <w:noWrap w:val="0"/>
            <w:vAlign w:val="center"/>
          </w:tcPr>
          <w:p w14:paraId="237CD001">
            <w:pPr>
              <w:jc w:val="center"/>
              <w:rPr>
                <w:rFonts w:hint="eastAsia" w:ascii="宋体" w:hAnsi="Bookman Old Style"/>
                <w:sz w:val="24"/>
              </w:rPr>
            </w:pPr>
            <w:r>
              <w:rPr>
                <w:rFonts w:hint="eastAsia" w:ascii="宋体" w:hAnsi="Bookman Old Style"/>
                <w:sz w:val="24"/>
              </w:rPr>
              <w:t>项目现场（交货地点）</w:t>
            </w:r>
          </w:p>
        </w:tc>
      </w:tr>
      <w:tr w14:paraId="3BAFA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noWrap w:val="0"/>
            <w:vAlign w:val="center"/>
          </w:tcPr>
          <w:p w14:paraId="6C1552E1">
            <w:pPr>
              <w:jc w:val="center"/>
              <w:rPr>
                <w:rFonts w:hint="eastAsia" w:ascii="宋体"/>
                <w:sz w:val="24"/>
              </w:rPr>
            </w:pPr>
            <w:r>
              <w:rPr>
                <w:rFonts w:hint="eastAsia" w:ascii="宋体"/>
                <w:sz w:val="24"/>
              </w:rPr>
              <w:t>1</w:t>
            </w:r>
          </w:p>
        </w:tc>
        <w:tc>
          <w:tcPr>
            <w:tcW w:w="2357" w:type="dxa"/>
            <w:noWrap w:val="0"/>
            <w:vAlign w:val="center"/>
          </w:tcPr>
          <w:p w14:paraId="7729ABA6">
            <w:pPr>
              <w:jc w:val="center"/>
              <w:rPr>
                <w:rFonts w:hint="eastAsia" w:ascii="Bookman Old Style" w:hAnsi="Bookman Old Style"/>
                <w:sz w:val="24"/>
              </w:rPr>
            </w:pPr>
            <w:r>
              <w:rPr>
                <w:rFonts w:hint="eastAsia" w:ascii="Bookman Old Style" w:hAnsi="Bookman Old Style"/>
                <w:sz w:val="24"/>
              </w:rPr>
              <w:t>稳定同位素比质谱仪</w:t>
            </w:r>
          </w:p>
        </w:tc>
        <w:tc>
          <w:tcPr>
            <w:tcW w:w="1329" w:type="dxa"/>
            <w:noWrap w:val="0"/>
            <w:vAlign w:val="center"/>
          </w:tcPr>
          <w:p w14:paraId="211F82D9">
            <w:pPr>
              <w:jc w:val="center"/>
              <w:rPr>
                <w:rFonts w:hint="eastAsia" w:ascii="宋体" w:hAnsi="Bookman Old Style"/>
                <w:sz w:val="24"/>
              </w:rPr>
            </w:pPr>
            <w:r>
              <w:rPr>
                <w:rFonts w:hint="eastAsia" w:ascii="宋体" w:hAnsi="Bookman Old Style"/>
                <w:sz w:val="24"/>
              </w:rPr>
              <w:t>1套</w:t>
            </w:r>
          </w:p>
        </w:tc>
        <w:tc>
          <w:tcPr>
            <w:tcW w:w="1893" w:type="dxa"/>
            <w:noWrap w:val="0"/>
            <w:vAlign w:val="center"/>
          </w:tcPr>
          <w:p w14:paraId="35B7F869">
            <w:pPr>
              <w:jc w:val="center"/>
              <w:rPr>
                <w:rFonts w:hint="eastAsia" w:ascii="宋体" w:hAnsi="Bookman Old Style"/>
                <w:sz w:val="24"/>
              </w:rPr>
            </w:pPr>
            <w:r>
              <w:rPr>
                <w:rFonts w:hint="eastAsia" w:ascii="宋体" w:hAnsi="Bookman Old Style"/>
                <w:sz w:val="24"/>
              </w:rPr>
              <w:t>是</w:t>
            </w:r>
          </w:p>
        </w:tc>
        <w:tc>
          <w:tcPr>
            <w:tcW w:w="2410" w:type="dxa"/>
            <w:noWrap w:val="0"/>
            <w:vAlign w:val="center"/>
          </w:tcPr>
          <w:p w14:paraId="6BB378F4">
            <w:pPr>
              <w:jc w:val="center"/>
              <w:rPr>
                <w:rFonts w:hint="eastAsia" w:ascii="宋体" w:hAnsi="Bookman Old Style"/>
                <w:sz w:val="24"/>
              </w:rPr>
            </w:pPr>
            <w:r>
              <w:rPr>
                <w:rFonts w:hint="eastAsia" w:ascii="宋体" w:hAnsi="Bookman Old Style"/>
                <w:sz w:val="24"/>
              </w:rPr>
              <w:t>甲方指定地点</w:t>
            </w:r>
          </w:p>
        </w:tc>
      </w:tr>
    </w:tbl>
    <w:p w14:paraId="6337044F">
      <w:pPr>
        <w:adjustRightInd w:val="0"/>
        <w:snapToGrid w:val="0"/>
        <w:jc w:val="center"/>
        <w:rPr>
          <w:rFonts w:ascii="宋体" w:hAnsi="宋体"/>
          <w:b/>
          <w:sz w:val="30"/>
          <w:szCs w:val="30"/>
        </w:rPr>
      </w:pPr>
    </w:p>
    <w:p w14:paraId="6EE24705">
      <w:pPr>
        <w:adjustRightInd w:val="0"/>
        <w:snapToGrid w:val="0"/>
        <w:jc w:val="center"/>
        <w:rPr>
          <w:rFonts w:hint="eastAsia" w:ascii="宋体" w:hAnsi="宋体"/>
          <w:b/>
          <w:sz w:val="30"/>
          <w:szCs w:val="30"/>
        </w:rPr>
      </w:pPr>
    </w:p>
    <w:p w14:paraId="454A19D4">
      <w:pPr>
        <w:rPr>
          <w:rFonts w:hint="eastAsia"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14:paraId="09A8AC3E">
      <w:pPr>
        <w:adjustRightInd w:val="0"/>
        <w:snapToGrid w:val="0"/>
        <w:rPr>
          <w:rFonts w:hint="eastAsia" w:ascii="宋体" w:hAnsi="宋体"/>
          <w:szCs w:val="21"/>
        </w:rPr>
      </w:pPr>
    </w:p>
    <w:p w14:paraId="1D4F9E99">
      <w:pPr>
        <w:adjustRightInd w:val="0"/>
        <w:snapToGrid w:val="0"/>
        <w:rPr>
          <w:rFonts w:hint="eastAsia" w:ascii="宋体" w:hAnsi="宋体"/>
          <w:szCs w:val="21"/>
        </w:rPr>
      </w:pPr>
    </w:p>
    <w:p w14:paraId="3D73CCD9">
      <w:pPr>
        <w:adjustRightInd w:val="0"/>
        <w:snapToGrid w:val="0"/>
        <w:rPr>
          <w:rFonts w:hint="eastAsia" w:ascii="宋体" w:hAnsi="宋体"/>
          <w:szCs w:val="21"/>
        </w:rPr>
      </w:pPr>
    </w:p>
    <w:p w14:paraId="1EB7AE08">
      <w:pPr>
        <w:adjustRightInd w:val="0"/>
        <w:snapToGrid w:val="0"/>
        <w:spacing w:line="360" w:lineRule="auto"/>
        <w:rPr>
          <w:rFonts w:ascii="宋体" w:hAnsi="宋体"/>
          <w:b/>
          <w:sz w:val="28"/>
          <w:szCs w:val="28"/>
        </w:rPr>
      </w:pPr>
      <w:r>
        <w:rPr>
          <w:rFonts w:ascii="宋体" w:hAnsi="宋体"/>
          <w:b/>
          <w:sz w:val="30"/>
          <w:szCs w:val="30"/>
        </w:rPr>
        <w:br w:type="page"/>
      </w:r>
      <w:r>
        <w:rPr>
          <w:rFonts w:hint="eastAsia" w:ascii="宋体" w:hAnsi="宋体"/>
          <w:b/>
          <w:sz w:val="28"/>
          <w:szCs w:val="28"/>
        </w:rPr>
        <w:t>一、总则</w:t>
      </w:r>
    </w:p>
    <w:p w14:paraId="155D6465">
      <w:pPr>
        <w:adjustRightInd w:val="0"/>
        <w:snapToGrid w:val="0"/>
        <w:spacing w:line="360" w:lineRule="auto"/>
        <w:rPr>
          <w:rFonts w:ascii="宋体" w:hAnsi="宋体"/>
          <w:b/>
          <w:sz w:val="28"/>
          <w:szCs w:val="28"/>
        </w:rPr>
      </w:pPr>
      <w:r>
        <w:rPr>
          <w:rFonts w:ascii="宋体" w:hAnsi="宋体"/>
          <w:b/>
          <w:sz w:val="28"/>
          <w:szCs w:val="28"/>
        </w:rPr>
        <w:t>1</w:t>
      </w:r>
      <w:r>
        <w:rPr>
          <w:rFonts w:hint="eastAsia" w:ascii="宋体" w:hAnsi="宋体"/>
          <w:b/>
          <w:sz w:val="28"/>
          <w:szCs w:val="28"/>
        </w:rPr>
        <w:t>、投标要求</w:t>
      </w:r>
    </w:p>
    <w:p w14:paraId="40347C31">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2CC02FC4">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6A226AE2">
      <w:pPr>
        <w:spacing w:line="360" w:lineRule="auto"/>
        <w:ind w:left="554" w:hanging="554" w:hangingChars="231"/>
        <w:rPr>
          <w:rFonts w:hint="eastAsia"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3EE809B8">
      <w:pPr>
        <w:spacing w:line="360" w:lineRule="auto"/>
        <w:ind w:left="554" w:hanging="554" w:hangingChars="231"/>
        <w:rPr>
          <w:rFonts w:hint="eastAsia"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4F563012">
      <w:pPr>
        <w:adjustRightInd w:val="0"/>
        <w:snapToGrid w:val="0"/>
        <w:spacing w:line="360" w:lineRule="auto"/>
        <w:rPr>
          <w:rFonts w:ascii="宋体" w:hAnsi="宋体"/>
          <w:b/>
          <w:sz w:val="28"/>
          <w:szCs w:val="28"/>
        </w:rPr>
      </w:pPr>
      <w:r>
        <w:rPr>
          <w:rFonts w:hint="eastAsia" w:ascii="宋体" w:hAnsi="宋体"/>
          <w:b/>
          <w:sz w:val="28"/>
          <w:szCs w:val="28"/>
        </w:rPr>
        <w:t>2、评标标准</w:t>
      </w:r>
    </w:p>
    <w:p w14:paraId="6A443D01">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0D983091">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4AC135ED">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2FE5C8CB">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06CA8C50">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22BD1A6B">
      <w:pPr>
        <w:adjustRightInd w:val="0"/>
        <w:snapToGrid w:val="0"/>
        <w:spacing w:line="360" w:lineRule="auto"/>
        <w:rPr>
          <w:rFonts w:hint="eastAsia" w:ascii="宋体" w:hAnsi="宋体"/>
          <w:b/>
          <w:sz w:val="28"/>
          <w:szCs w:val="28"/>
        </w:rPr>
      </w:pPr>
      <w:r>
        <w:rPr>
          <w:rFonts w:hint="eastAsia" w:ascii="宋体" w:hAnsi="宋体"/>
          <w:b/>
          <w:sz w:val="28"/>
          <w:szCs w:val="28"/>
        </w:rPr>
        <w:t>3、工作条件</w:t>
      </w:r>
    </w:p>
    <w:p w14:paraId="03CE1B39">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42FB186E">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21409D76">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531C61AB">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24904E46">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05C9E374">
      <w:pPr>
        <w:rPr>
          <w:rFonts w:hint="eastAsia" w:eastAsia="黑体"/>
          <w:b/>
          <w:bCs/>
          <w:kern w:val="44"/>
          <w:sz w:val="24"/>
        </w:rPr>
      </w:pPr>
    </w:p>
    <w:p w14:paraId="52EEA12B">
      <w:pPr>
        <w:adjustRightInd w:val="0"/>
        <w:snapToGrid w:val="0"/>
        <w:spacing w:line="360" w:lineRule="auto"/>
        <w:rPr>
          <w:rFonts w:hint="eastAsia" w:ascii="宋体" w:hAnsi="宋体"/>
          <w:b/>
          <w:sz w:val="28"/>
          <w:szCs w:val="28"/>
        </w:rPr>
      </w:pPr>
      <w:r>
        <w:rPr>
          <w:rFonts w:hint="eastAsia" w:ascii="宋体" w:hAnsi="宋体"/>
          <w:b/>
          <w:sz w:val="28"/>
          <w:szCs w:val="28"/>
        </w:rPr>
        <w:t>4、验收标准</w:t>
      </w:r>
    </w:p>
    <w:p w14:paraId="5E090872">
      <w:pPr>
        <w:spacing w:after="312" w:afterLines="100" w:line="360" w:lineRule="auto"/>
        <w:rPr>
          <w:rFonts w:hint="eastAsia" w:ascii="宋体" w:hAnsi="宋体"/>
          <w:sz w:val="24"/>
        </w:rPr>
      </w:pPr>
      <w:r>
        <w:rPr>
          <w:rFonts w:hint="eastAsia" w:ascii="宋体" w:hAnsi="宋体"/>
          <w:sz w:val="24"/>
        </w:rPr>
        <w:t>除非另有说明，所有仪器、设备和系统按下列要求进行验收：</w:t>
      </w:r>
      <w:r>
        <w:rPr>
          <w:rFonts w:ascii="宋体" w:hAnsi="宋体"/>
          <w:sz w:val="24"/>
        </w:rPr>
        <w:t xml:space="preserve"> </w:t>
      </w:r>
    </w:p>
    <w:p w14:paraId="62B35495">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49FDF0F9">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6C2D6FF0">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05DDE5E1">
      <w:pPr>
        <w:pStyle w:val="3"/>
        <w:spacing w:line="360" w:lineRule="auto"/>
        <w:ind w:left="410" w:hanging="410" w:hangingChars="170"/>
        <w:rPr>
          <w:rFonts w:hint="eastAsia" w:hAnsi="宋体"/>
          <w:b/>
          <w:sz w:val="24"/>
          <w:szCs w:val="24"/>
        </w:rPr>
      </w:pPr>
    </w:p>
    <w:p w14:paraId="15FFECCE">
      <w:pPr>
        <w:adjustRightInd w:val="0"/>
        <w:snapToGrid w:val="0"/>
        <w:spacing w:line="360" w:lineRule="auto"/>
        <w:rPr>
          <w:rFonts w:hint="eastAsia" w:hAnsi="宋体"/>
          <w:b/>
          <w:sz w:val="24"/>
        </w:rPr>
      </w:pPr>
      <w:r>
        <w:rPr>
          <w:rFonts w:hint="eastAsia"/>
          <w:b/>
          <w:bCs/>
          <w:sz w:val="24"/>
        </w:rPr>
        <w:t>5、本采购需求书中标注“★”号技术条款的为实质性要求，不满足其投标将视为无效投标被拒绝。</w:t>
      </w:r>
    </w:p>
    <w:p w14:paraId="21414B7A">
      <w:pPr>
        <w:adjustRightInd w:val="0"/>
        <w:snapToGrid w:val="0"/>
        <w:spacing w:line="360" w:lineRule="auto"/>
        <w:rPr>
          <w:rFonts w:hint="eastAsia" w:ascii="宋体" w:hAnsi="宋体"/>
          <w:b/>
          <w:sz w:val="24"/>
        </w:rPr>
      </w:pPr>
    </w:p>
    <w:p w14:paraId="758BFA47">
      <w:pPr>
        <w:adjustRightInd w:val="0"/>
        <w:snapToGrid w:val="0"/>
        <w:spacing w:line="360" w:lineRule="auto"/>
        <w:rPr>
          <w:rFonts w:hint="eastAsia" w:ascii="宋体" w:hAnsi="宋体"/>
          <w:b/>
          <w:sz w:val="24"/>
        </w:rPr>
      </w:pPr>
      <w:r>
        <w:rPr>
          <w:rFonts w:hint="eastAsia" w:ascii="宋体" w:hAnsi="宋体"/>
          <w:b/>
          <w:sz w:val="24"/>
        </w:rPr>
        <w:t>6、如在具体规格要求中有本总则不一致之处，以具体规格中的要求为准。</w:t>
      </w:r>
    </w:p>
    <w:p w14:paraId="4627DBA8">
      <w:pPr>
        <w:adjustRightInd w:val="0"/>
        <w:snapToGrid w:val="0"/>
        <w:spacing w:line="360" w:lineRule="auto"/>
        <w:rPr>
          <w:rFonts w:hint="eastAsia" w:ascii="宋体" w:hAnsi="宋体"/>
          <w:b/>
          <w:sz w:val="28"/>
          <w:szCs w:val="28"/>
        </w:rPr>
      </w:pPr>
      <w:r>
        <w:rPr>
          <w:rFonts w:ascii="宋体" w:hAnsi="宋体"/>
          <w:b/>
          <w:sz w:val="28"/>
        </w:rPr>
        <w:br w:type="page"/>
      </w:r>
      <w:r>
        <w:rPr>
          <w:rFonts w:hint="eastAsia" w:ascii="宋体" w:hAnsi="宋体"/>
          <w:b/>
          <w:sz w:val="28"/>
          <w:szCs w:val="28"/>
        </w:rPr>
        <w:t>二、具体规格要求</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0"/>
        <w:gridCol w:w="1605"/>
        <w:gridCol w:w="1842"/>
        <w:gridCol w:w="3649"/>
      </w:tblGrid>
      <w:tr w14:paraId="2777D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179" w:type="pct"/>
            <w:tcBorders>
              <w:top w:val="single" w:color="auto" w:sz="4" w:space="0"/>
            </w:tcBorders>
            <w:noWrap w:val="0"/>
            <w:vAlign w:val="center"/>
          </w:tcPr>
          <w:p w14:paraId="10CF9C8E">
            <w:pPr>
              <w:pStyle w:val="4"/>
              <w:spacing w:beforeAutospacing="0" w:afterAutospacing="0"/>
              <w:jc w:val="center"/>
              <w:rPr>
                <w:rFonts w:hint="eastAsia" w:ascii="宋体" w:hAnsi="宋体" w:eastAsia="宋体"/>
              </w:rPr>
            </w:pPr>
            <w:r>
              <w:rPr>
                <w:rFonts w:hint="eastAsia" w:ascii="宋体" w:hAnsi="宋体" w:eastAsia="宋体"/>
              </w:rPr>
              <w:t>货物</w:t>
            </w:r>
            <w:r>
              <w:rPr>
                <w:rFonts w:ascii="宋体" w:hAnsi="宋体" w:eastAsia="宋体"/>
              </w:rPr>
              <w:t>名称</w:t>
            </w:r>
          </w:p>
        </w:tc>
        <w:tc>
          <w:tcPr>
            <w:tcW w:w="3821" w:type="pct"/>
            <w:gridSpan w:val="3"/>
            <w:tcBorders>
              <w:top w:val="single" w:color="auto" w:sz="4" w:space="0"/>
            </w:tcBorders>
            <w:noWrap w:val="0"/>
            <w:vAlign w:val="center"/>
          </w:tcPr>
          <w:p w14:paraId="4B3912DF">
            <w:pPr>
              <w:jc w:val="center"/>
              <w:rPr>
                <w:rFonts w:ascii="宋体" w:hAnsi="宋体"/>
                <w:sz w:val="24"/>
              </w:rPr>
            </w:pPr>
            <w:r>
              <w:rPr>
                <w:rFonts w:ascii="宋体" w:hAnsi="宋体"/>
                <w:sz w:val="24"/>
              </w:rPr>
              <w:t>稳定同位素比质谱仪</w:t>
            </w:r>
          </w:p>
        </w:tc>
      </w:tr>
      <w:tr w14:paraId="7B09B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1179" w:type="pct"/>
            <w:tcBorders>
              <w:top w:val="single" w:color="auto" w:sz="4" w:space="0"/>
            </w:tcBorders>
            <w:noWrap w:val="0"/>
            <w:vAlign w:val="center"/>
          </w:tcPr>
          <w:p w14:paraId="5CB7BC9B">
            <w:pPr>
              <w:jc w:val="center"/>
              <w:rPr>
                <w:rFonts w:ascii="宋体" w:hAnsi="宋体"/>
                <w:sz w:val="24"/>
              </w:rPr>
            </w:pPr>
            <w:r>
              <w:rPr>
                <w:rFonts w:ascii="宋体" w:hAnsi="宋体"/>
                <w:sz w:val="24"/>
              </w:rPr>
              <w:t>项目需求与用途</w:t>
            </w:r>
          </w:p>
        </w:tc>
        <w:tc>
          <w:tcPr>
            <w:tcW w:w="3821" w:type="pct"/>
            <w:gridSpan w:val="3"/>
            <w:tcBorders>
              <w:top w:val="single" w:color="auto" w:sz="4" w:space="0"/>
            </w:tcBorders>
            <w:noWrap w:val="0"/>
            <w:vAlign w:val="top"/>
          </w:tcPr>
          <w:p w14:paraId="5BA1DA7E">
            <w:pPr>
              <w:spacing w:before="156" w:beforeLines="50" w:line="360" w:lineRule="auto"/>
              <w:ind w:firstLine="480" w:firstLineChars="200"/>
              <w:rPr>
                <w:sz w:val="24"/>
              </w:rPr>
            </w:pPr>
            <w:r>
              <w:rPr>
                <w:sz w:val="24"/>
              </w:rPr>
              <w:t>实验室的稳定同位素比质谱仪使用年限超过15年，长期处于超负荷运行状态，零部件过度损耗，维修成本过高，严重影响了仪器的稳定性和测量精度，无法满足科研人员对高精度同位素数据的迫切需求，因此申请重新购置一台稳定同位素比质谱仪，用于替换旧设备。该设备通过测定碳（δ</w:t>
            </w:r>
            <w:r>
              <w:rPr>
                <w:sz w:val="24"/>
                <w:vertAlign w:val="superscript"/>
              </w:rPr>
              <w:t>13</w:t>
            </w:r>
            <w:r>
              <w:rPr>
                <w:sz w:val="24"/>
              </w:rPr>
              <w:t>C）、氢（δD）、氧（δ</w:t>
            </w:r>
            <w:r>
              <w:rPr>
                <w:sz w:val="24"/>
                <w:vertAlign w:val="superscript"/>
              </w:rPr>
              <w:t>18</w:t>
            </w:r>
            <w:r>
              <w:rPr>
                <w:sz w:val="24"/>
              </w:rPr>
              <w:t>O）、氮（δ</w:t>
            </w:r>
            <w:r>
              <w:rPr>
                <w:sz w:val="24"/>
                <w:vertAlign w:val="superscript"/>
              </w:rPr>
              <w:t>15</w:t>
            </w:r>
            <w:r>
              <w:rPr>
                <w:sz w:val="24"/>
              </w:rPr>
              <w:t>N）、硫（δ</w:t>
            </w:r>
            <w:r>
              <w:rPr>
                <w:sz w:val="24"/>
                <w:vertAlign w:val="superscript"/>
              </w:rPr>
              <w:t>34</w:t>
            </w:r>
            <w:r>
              <w:rPr>
                <w:sz w:val="24"/>
              </w:rPr>
              <w:t>S）同位素比值，能够定量开展水文循环的示踪研究、干旱区植物水分来源和水分利用策略研究、水-土-气-生中碳和氮的循环过程研究、温室气体污染物溯源和解译环境演化研究等，助力完成科技支撑盐碱地改良后备粮仓、北方沙漠化精准防治与绿色发展和干旱区内陆河流域水安全保障科学基础三大制高点任务，保障相关领域在研的国家重大科研项目顺利实施和高效完成。</w:t>
            </w:r>
          </w:p>
        </w:tc>
      </w:tr>
      <w:tr w14:paraId="1AABA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79" w:type="pct"/>
            <w:noWrap w:val="0"/>
            <w:vAlign w:val="center"/>
          </w:tcPr>
          <w:p w14:paraId="186637DD">
            <w:pPr>
              <w:jc w:val="center"/>
              <w:rPr>
                <w:rFonts w:ascii="宋体" w:hAnsi="宋体"/>
                <w:sz w:val="24"/>
              </w:rPr>
            </w:pPr>
            <w:r>
              <w:rPr>
                <w:rFonts w:ascii="宋体" w:hAnsi="宋体"/>
                <w:sz w:val="24"/>
              </w:rPr>
              <w:t>预算金额（万元）</w:t>
            </w:r>
          </w:p>
        </w:tc>
        <w:tc>
          <w:tcPr>
            <w:tcW w:w="3821" w:type="pct"/>
            <w:gridSpan w:val="3"/>
            <w:noWrap w:val="0"/>
            <w:vAlign w:val="center"/>
          </w:tcPr>
          <w:p w14:paraId="7CF766C1">
            <w:pPr>
              <w:jc w:val="center"/>
              <w:rPr>
                <w:rFonts w:ascii="宋体" w:hAnsi="宋体"/>
                <w:sz w:val="24"/>
              </w:rPr>
            </w:pPr>
            <w:r>
              <w:rPr>
                <w:rFonts w:ascii="宋体" w:hAnsi="宋体"/>
                <w:sz w:val="24"/>
              </w:rPr>
              <w:t>¥</w:t>
            </w:r>
            <w:r>
              <w:rPr>
                <w:rFonts w:hint="eastAsia" w:ascii="宋体" w:hAnsi="宋体"/>
                <w:sz w:val="24"/>
                <w:u w:val="single"/>
              </w:rPr>
              <w:t xml:space="preserve">  296.5 </w:t>
            </w:r>
            <w:r>
              <w:rPr>
                <w:rFonts w:ascii="宋体" w:hAnsi="宋体"/>
                <w:sz w:val="24"/>
                <w:u w:val="single"/>
              </w:rPr>
              <w:t xml:space="preserve"> </w:t>
            </w:r>
            <w:r>
              <w:rPr>
                <w:rFonts w:ascii="宋体" w:hAnsi="宋体"/>
                <w:sz w:val="24"/>
              </w:rPr>
              <w:t>万元</w:t>
            </w:r>
          </w:p>
        </w:tc>
      </w:tr>
      <w:tr w14:paraId="46BCB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179" w:type="pct"/>
            <w:noWrap w:val="0"/>
            <w:vAlign w:val="center"/>
          </w:tcPr>
          <w:p w14:paraId="7539B512">
            <w:pPr>
              <w:jc w:val="center"/>
              <w:rPr>
                <w:rFonts w:ascii="宋体" w:hAnsi="宋体"/>
                <w:sz w:val="24"/>
              </w:rPr>
            </w:pPr>
            <w:r>
              <w:rPr>
                <w:rFonts w:ascii="宋体" w:hAnsi="宋体"/>
                <w:sz w:val="24"/>
              </w:rPr>
              <w:t>采购数量</w:t>
            </w:r>
          </w:p>
        </w:tc>
        <w:tc>
          <w:tcPr>
            <w:tcW w:w="864" w:type="pct"/>
            <w:noWrap w:val="0"/>
            <w:vAlign w:val="center"/>
          </w:tcPr>
          <w:p w14:paraId="62353A99">
            <w:pPr>
              <w:jc w:val="center"/>
              <w:rPr>
                <w:rFonts w:ascii="宋体" w:hAnsi="宋体"/>
                <w:sz w:val="24"/>
              </w:rPr>
            </w:pPr>
            <w:r>
              <w:rPr>
                <w:rFonts w:ascii="宋体" w:hAnsi="宋体"/>
                <w:sz w:val="24"/>
              </w:rPr>
              <w:t>1</w:t>
            </w:r>
            <w:r>
              <w:rPr>
                <w:rFonts w:hint="eastAsia" w:ascii="宋体" w:hAnsi="宋体"/>
                <w:sz w:val="24"/>
              </w:rPr>
              <w:t>套</w:t>
            </w:r>
          </w:p>
        </w:tc>
        <w:tc>
          <w:tcPr>
            <w:tcW w:w="992" w:type="pct"/>
            <w:noWrap w:val="0"/>
            <w:vAlign w:val="center"/>
          </w:tcPr>
          <w:p w14:paraId="32255230">
            <w:pPr>
              <w:jc w:val="center"/>
              <w:rPr>
                <w:rFonts w:ascii="宋体" w:hAnsi="宋体"/>
                <w:sz w:val="24"/>
              </w:rPr>
            </w:pPr>
            <w:r>
              <w:rPr>
                <w:rFonts w:ascii="宋体" w:hAnsi="宋体"/>
                <w:sz w:val="24"/>
              </w:rPr>
              <w:t>交货期</w:t>
            </w:r>
          </w:p>
        </w:tc>
        <w:tc>
          <w:tcPr>
            <w:tcW w:w="1965" w:type="pct"/>
            <w:noWrap w:val="0"/>
            <w:vAlign w:val="center"/>
          </w:tcPr>
          <w:p w14:paraId="7A9BC734">
            <w:pPr>
              <w:jc w:val="center"/>
              <w:rPr>
                <w:rFonts w:ascii="宋体" w:hAnsi="宋体"/>
                <w:sz w:val="24"/>
              </w:rPr>
            </w:pPr>
            <w:r>
              <w:rPr>
                <w:rFonts w:ascii="宋体" w:hAnsi="宋体"/>
                <w:sz w:val="24"/>
              </w:rPr>
              <w:t>招标完成，合同签订后</w:t>
            </w:r>
            <w:r>
              <w:rPr>
                <w:rFonts w:ascii="宋体" w:hAnsi="宋体"/>
                <w:sz w:val="24"/>
                <w:u w:val="single"/>
              </w:rPr>
              <w:t xml:space="preserve"> </w:t>
            </w:r>
            <w:r>
              <w:rPr>
                <w:rFonts w:hint="eastAsia" w:ascii="宋体" w:hAnsi="宋体"/>
                <w:sz w:val="24"/>
                <w:u w:val="single"/>
              </w:rPr>
              <w:t>6</w:t>
            </w:r>
            <w:r>
              <w:rPr>
                <w:rFonts w:ascii="宋体" w:hAnsi="宋体"/>
                <w:sz w:val="24"/>
                <w:u w:val="single"/>
              </w:rPr>
              <w:t xml:space="preserve"> </w:t>
            </w:r>
            <w:r>
              <w:rPr>
                <w:rFonts w:ascii="宋体" w:hAnsi="宋体"/>
                <w:sz w:val="24"/>
              </w:rPr>
              <w:t>个月</w:t>
            </w:r>
          </w:p>
        </w:tc>
      </w:tr>
      <w:tr w14:paraId="00998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3" w:hRule="atLeast"/>
        </w:trPr>
        <w:tc>
          <w:tcPr>
            <w:tcW w:w="1179" w:type="pct"/>
            <w:tcBorders>
              <w:right w:val="single" w:color="auto" w:sz="4" w:space="0"/>
            </w:tcBorders>
            <w:noWrap w:val="0"/>
            <w:vAlign w:val="center"/>
          </w:tcPr>
          <w:p w14:paraId="6E793439">
            <w:pPr>
              <w:jc w:val="center"/>
              <w:rPr>
                <w:rFonts w:ascii="宋体" w:hAnsi="宋体"/>
                <w:sz w:val="24"/>
              </w:rPr>
            </w:pPr>
            <w:r>
              <w:rPr>
                <w:rFonts w:ascii="宋体" w:hAnsi="宋体"/>
                <w:sz w:val="24"/>
              </w:rPr>
              <w:t>拟采购项目的</w:t>
            </w:r>
          </w:p>
          <w:p w14:paraId="1790E3F1">
            <w:pPr>
              <w:jc w:val="center"/>
              <w:rPr>
                <w:rFonts w:ascii="宋体" w:hAnsi="宋体"/>
                <w:sz w:val="24"/>
              </w:rPr>
            </w:pPr>
            <w:r>
              <w:rPr>
                <w:rFonts w:ascii="宋体" w:hAnsi="宋体"/>
                <w:sz w:val="24"/>
              </w:rPr>
              <w:t>配置要求</w:t>
            </w:r>
          </w:p>
        </w:tc>
        <w:tc>
          <w:tcPr>
            <w:tcW w:w="3821" w:type="pct"/>
            <w:gridSpan w:val="3"/>
            <w:tcBorders>
              <w:top w:val="single" w:color="auto" w:sz="4" w:space="0"/>
              <w:left w:val="single" w:color="auto" w:sz="4" w:space="0"/>
              <w:right w:val="single" w:color="auto" w:sz="4" w:space="0"/>
            </w:tcBorders>
            <w:noWrap w:val="0"/>
            <w:vAlign w:val="top"/>
          </w:tcPr>
          <w:p w14:paraId="4FF749DE">
            <w:pPr>
              <w:spacing w:line="360" w:lineRule="auto"/>
              <w:rPr>
                <w:rFonts w:ascii="宋体" w:hAnsi="宋体"/>
                <w:bCs/>
                <w:sz w:val="24"/>
              </w:rPr>
            </w:pPr>
            <w:r>
              <w:rPr>
                <w:rFonts w:ascii="宋体" w:hAnsi="宋体"/>
                <w:bCs/>
                <w:sz w:val="24"/>
              </w:rPr>
              <w:t>1.稳定同位素比质谱仪主机（含万用连续流接口） 1套；</w:t>
            </w:r>
          </w:p>
          <w:p w14:paraId="701A952D">
            <w:pPr>
              <w:spacing w:line="360" w:lineRule="auto"/>
              <w:rPr>
                <w:rFonts w:ascii="宋体" w:hAnsi="宋体"/>
                <w:bCs/>
                <w:sz w:val="24"/>
              </w:rPr>
            </w:pPr>
            <w:r>
              <w:rPr>
                <w:rFonts w:ascii="宋体" w:hAnsi="宋体"/>
                <w:bCs/>
                <w:sz w:val="24"/>
              </w:rPr>
              <w:t>2.气体制备系统 1套；</w:t>
            </w:r>
          </w:p>
          <w:p w14:paraId="7EA86AF1">
            <w:pPr>
              <w:spacing w:line="360" w:lineRule="auto"/>
              <w:rPr>
                <w:rFonts w:ascii="宋体" w:hAnsi="宋体"/>
                <w:bCs/>
                <w:sz w:val="24"/>
              </w:rPr>
            </w:pPr>
            <w:r>
              <w:rPr>
                <w:rFonts w:ascii="宋体" w:hAnsi="宋体"/>
                <w:bCs/>
                <w:sz w:val="24"/>
              </w:rPr>
              <w:t>3.稳定同位素比质谱仪工作站软件 1套；</w:t>
            </w:r>
          </w:p>
          <w:p w14:paraId="6CF356FF">
            <w:pPr>
              <w:spacing w:line="360" w:lineRule="auto"/>
              <w:rPr>
                <w:rFonts w:ascii="宋体" w:hAnsi="宋体"/>
                <w:bCs/>
                <w:sz w:val="24"/>
              </w:rPr>
            </w:pPr>
            <w:r>
              <w:rPr>
                <w:rFonts w:ascii="宋体" w:hAnsi="宋体"/>
                <w:bCs/>
                <w:sz w:val="24"/>
              </w:rPr>
              <w:t>4.数据库管理软件  1套；</w:t>
            </w:r>
          </w:p>
          <w:p w14:paraId="52D335D8">
            <w:pPr>
              <w:spacing w:line="360" w:lineRule="auto"/>
              <w:rPr>
                <w:rFonts w:ascii="宋体" w:hAnsi="宋体"/>
                <w:bCs/>
                <w:sz w:val="24"/>
              </w:rPr>
            </w:pPr>
            <w:r>
              <w:rPr>
                <w:rFonts w:ascii="宋体" w:hAnsi="宋体"/>
                <w:bCs/>
                <w:sz w:val="24"/>
              </w:rPr>
              <w:t>5.百万分之一天平 1台</w:t>
            </w:r>
            <w:r>
              <w:rPr>
                <w:rFonts w:hint="eastAsia" w:ascii="宋体" w:hAnsi="宋体"/>
                <w:bCs/>
                <w:sz w:val="24"/>
              </w:rPr>
              <w:t>；</w:t>
            </w:r>
          </w:p>
          <w:p w14:paraId="69DB9414">
            <w:pPr>
              <w:spacing w:line="360" w:lineRule="auto"/>
              <w:rPr>
                <w:rFonts w:ascii="宋体" w:hAnsi="宋体"/>
                <w:bCs/>
                <w:sz w:val="24"/>
              </w:rPr>
            </w:pPr>
            <w:r>
              <w:rPr>
                <w:rFonts w:ascii="宋体" w:hAnsi="宋体"/>
                <w:bCs/>
                <w:sz w:val="24"/>
              </w:rPr>
              <w:t>6.质谱仪气路系统 1套</w:t>
            </w:r>
            <w:r>
              <w:rPr>
                <w:rFonts w:hint="eastAsia" w:ascii="宋体" w:hAnsi="宋体"/>
                <w:bCs/>
                <w:sz w:val="24"/>
              </w:rPr>
              <w:t>；</w:t>
            </w:r>
          </w:p>
          <w:p w14:paraId="24DD3452">
            <w:pPr>
              <w:spacing w:line="360" w:lineRule="auto"/>
              <w:rPr>
                <w:rFonts w:ascii="宋体" w:hAnsi="宋体"/>
                <w:bCs/>
                <w:sz w:val="24"/>
              </w:rPr>
            </w:pPr>
            <w:r>
              <w:rPr>
                <w:rFonts w:ascii="宋体" w:hAnsi="宋体"/>
                <w:bCs/>
                <w:sz w:val="24"/>
              </w:rPr>
              <w:t>7.同位素质谱仪样品前处理系统 1套</w:t>
            </w:r>
            <w:r>
              <w:rPr>
                <w:rFonts w:hint="eastAsia" w:ascii="宋体" w:hAnsi="宋体"/>
                <w:bCs/>
                <w:sz w:val="24"/>
              </w:rPr>
              <w:t>；</w:t>
            </w:r>
          </w:p>
          <w:p w14:paraId="6E9D98B5">
            <w:pPr>
              <w:spacing w:line="360" w:lineRule="auto"/>
              <w:rPr>
                <w:rFonts w:hint="eastAsia" w:ascii="宋体" w:hAnsi="宋体"/>
                <w:bCs/>
                <w:sz w:val="24"/>
              </w:rPr>
            </w:pPr>
            <w:r>
              <w:rPr>
                <w:rFonts w:ascii="宋体" w:hAnsi="宋体"/>
                <w:bCs/>
                <w:sz w:val="24"/>
              </w:rPr>
              <w:t>8.计算机（i7处理器、32G内存、1T硬盘、27寸高清屏幕）1套</w:t>
            </w:r>
            <w:r>
              <w:rPr>
                <w:rFonts w:hint="eastAsia" w:ascii="宋体" w:hAnsi="宋体"/>
                <w:bCs/>
                <w:sz w:val="24"/>
              </w:rPr>
              <w:t>；</w:t>
            </w:r>
          </w:p>
          <w:p w14:paraId="62E672D5">
            <w:pPr>
              <w:spacing w:line="360" w:lineRule="auto"/>
              <w:rPr>
                <w:rFonts w:ascii="宋体" w:hAnsi="宋体"/>
                <w:bCs/>
                <w:sz w:val="24"/>
              </w:rPr>
            </w:pPr>
            <w:r>
              <w:rPr>
                <w:rFonts w:ascii="宋体" w:hAnsi="宋体"/>
                <w:bCs/>
                <w:sz w:val="24"/>
              </w:rPr>
              <w:t>9.</w:t>
            </w:r>
            <w:r>
              <w:rPr>
                <w:rFonts w:hint="eastAsia" w:ascii="宋体" w:hAnsi="宋体"/>
                <w:bCs/>
                <w:sz w:val="24"/>
              </w:rPr>
              <w:t>数据输出</w:t>
            </w:r>
            <w:r>
              <w:rPr>
                <w:rFonts w:ascii="宋体" w:hAnsi="宋体"/>
                <w:bCs/>
                <w:sz w:val="24"/>
              </w:rPr>
              <w:t>打印机（打印、复印、扫描一体、无线连接）1套；</w:t>
            </w:r>
          </w:p>
          <w:p w14:paraId="2E59D377">
            <w:pPr>
              <w:spacing w:line="360" w:lineRule="auto"/>
              <w:rPr>
                <w:rFonts w:ascii="宋体" w:hAnsi="宋体"/>
                <w:bCs/>
                <w:sz w:val="24"/>
              </w:rPr>
            </w:pPr>
            <w:r>
              <w:rPr>
                <w:rFonts w:ascii="宋体" w:hAnsi="宋体"/>
                <w:bCs/>
                <w:sz w:val="24"/>
              </w:rPr>
              <w:t>10.载气、参考气</w:t>
            </w:r>
            <w:r>
              <w:rPr>
                <w:rFonts w:hint="eastAsia" w:ascii="宋体" w:hAnsi="宋体"/>
                <w:bCs/>
                <w:sz w:val="24"/>
              </w:rPr>
              <w:t>、</w:t>
            </w:r>
            <w:r>
              <w:rPr>
                <w:rFonts w:ascii="宋体" w:hAnsi="宋体"/>
                <w:bCs/>
                <w:sz w:val="24"/>
              </w:rPr>
              <w:t>相应减压阀</w:t>
            </w:r>
            <w:r>
              <w:rPr>
                <w:rFonts w:hint="eastAsia" w:ascii="宋体" w:hAnsi="宋体"/>
                <w:bCs/>
                <w:sz w:val="24"/>
              </w:rPr>
              <w:t>及质谱仪零</w:t>
            </w:r>
            <w:r>
              <w:rPr>
                <w:rFonts w:ascii="宋体" w:hAnsi="宋体"/>
                <w:bCs/>
                <w:sz w:val="24"/>
              </w:rPr>
              <w:t>配件  1套；</w:t>
            </w:r>
          </w:p>
          <w:p w14:paraId="07B4FBB8">
            <w:pPr>
              <w:spacing w:line="360" w:lineRule="auto"/>
              <w:rPr>
                <w:rFonts w:ascii="宋体" w:hAnsi="宋体"/>
                <w:bCs/>
                <w:sz w:val="24"/>
              </w:rPr>
            </w:pPr>
            <w:r>
              <w:rPr>
                <w:rFonts w:ascii="宋体" w:hAnsi="宋体"/>
                <w:bCs/>
                <w:sz w:val="24"/>
              </w:rPr>
              <w:t>11.UPS电源（10KVA、断电延时≥2h） 1套；</w:t>
            </w:r>
          </w:p>
          <w:p w14:paraId="3048FAE2">
            <w:pPr>
              <w:spacing w:line="360" w:lineRule="auto"/>
              <w:rPr>
                <w:rFonts w:ascii="宋体" w:hAnsi="宋体"/>
                <w:sz w:val="24"/>
              </w:rPr>
            </w:pPr>
            <w:r>
              <w:rPr>
                <w:rFonts w:ascii="宋体" w:hAnsi="宋体"/>
                <w:bCs/>
                <w:sz w:val="24"/>
              </w:rPr>
              <w:t xml:space="preserve">12.同位素标准样品（CNSHO） </w:t>
            </w:r>
            <w:r>
              <w:rPr>
                <w:rFonts w:hint="eastAsia" w:ascii="宋体" w:hAnsi="宋体"/>
                <w:bCs/>
                <w:sz w:val="24"/>
              </w:rPr>
              <w:t>1</w:t>
            </w:r>
            <w:r>
              <w:rPr>
                <w:rFonts w:ascii="宋体" w:hAnsi="宋体"/>
                <w:bCs/>
                <w:sz w:val="24"/>
              </w:rPr>
              <w:t>套；</w:t>
            </w:r>
          </w:p>
        </w:tc>
      </w:tr>
      <w:tr w14:paraId="17FB5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exact"/>
        </w:trPr>
        <w:tc>
          <w:tcPr>
            <w:tcW w:w="1179" w:type="pct"/>
            <w:vMerge w:val="restart"/>
            <w:tcBorders>
              <w:top w:val="single" w:color="auto" w:sz="4" w:space="0"/>
              <w:left w:val="single" w:color="auto" w:sz="4" w:space="0"/>
              <w:bottom w:val="single" w:color="auto" w:sz="4" w:space="0"/>
              <w:right w:val="single" w:color="auto" w:sz="4" w:space="0"/>
            </w:tcBorders>
            <w:noWrap w:val="0"/>
            <w:vAlign w:val="center"/>
          </w:tcPr>
          <w:p w14:paraId="0E0C100F">
            <w:pPr>
              <w:jc w:val="center"/>
              <w:rPr>
                <w:rFonts w:ascii="宋体" w:hAnsi="宋体"/>
                <w:sz w:val="24"/>
              </w:rPr>
            </w:pPr>
            <w:r>
              <w:rPr>
                <w:rFonts w:ascii="宋体" w:hAnsi="宋体"/>
                <w:sz w:val="24"/>
              </w:rPr>
              <w:t>拟采购项目的</w:t>
            </w:r>
          </w:p>
          <w:p w14:paraId="4D078182">
            <w:pPr>
              <w:jc w:val="center"/>
              <w:rPr>
                <w:rFonts w:ascii="宋体" w:hAnsi="宋体"/>
                <w:sz w:val="24"/>
              </w:rPr>
            </w:pPr>
            <w:r>
              <w:rPr>
                <w:rFonts w:ascii="宋体" w:hAnsi="宋体"/>
                <w:sz w:val="24"/>
              </w:rPr>
              <w:t>技术指标</w:t>
            </w:r>
          </w:p>
        </w:tc>
        <w:tc>
          <w:tcPr>
            <w:tcW w:w="3821" w:type="pct"/>
            <w:gridSpan w:val="3"/>
            <w:tcBorders>
              <w:top w:val="single" w:color="auto" w:sz="4" w:space="0"/>
              <w:left w:val="single" w:color="auto" w:sz="4" w:space="0"/>
              <w:bottom w:val="nil"/>
              <w:right w:val="single" w:color="auto" w:sz="4" w:space="0"/>
            </w:tcBorders>
            <w:noWrap w:val="0"/>
            <w:vAlign w:val="top"/>
          </w:tcPr>
          <w:p w14:paraId="3FCC8C72">
            <w:pPr>
              <w:pStyle w:val="4"/>
              <w:spacing w:beforeAutospacing="0" w:afterAutospacing="0"/>
              <w:jc w:val="both"/>
              <w:rPr>
                <w:rFonts w:ascii="宋体" w:hAnsi="宋体" w:eastAsia="宋体"/>
              </w:rPr>
            </w:pPr>
          </w:p>
        </w:tc>
      </w:tr>
      <w:tr w14:paraId="26E71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79" w:type="pct"/>
            <w:vMerge w:val="continue"/>
            <w:tcBorders>
              <w:top w:val="single" w:color="auto" w:sz="4" w:space="0"/>
              <w:left w:val="single" w:color="auto" w:sz="4" w:space="0"/>
              <w:bottom w:val="single" w:color="auto" w:sz="4" w:space="0"/>
              <w:right w:val="single" w:color="auto" w:sz="4" w:space="0"/>
            </w:tcBorders>
            <w:noWrap w:val="0"/>
            <w:vAlign w:val="center"/>
          </w:tcPr>
          <w:p w14:paraId="211A9022">
            <w:pPr>
              <w:pStyle w:val="4"/>
              <w:spacing w:beforeAutospacing="0" w:afterAutospacing="0"/>
              <w:jc w:val="both"/>
              <w:rPr>
                <w:rFonts w:ascii="宋体" w:hAnsi="宋体" w:eastAsia="宋体"/>
              </w:rPr>
            </w:pPr>
          </w:p>
        </w:tc>
        <w:tc>
          <w:tcPr>
            <w:tcW w:w="3821" w:type="pct"/>
            <w:gridSpan w:val="3"/>
            <w:tcBorders>
              <w:top w:val="nil"/>
              <w:left w:val="single" w:color="auto" w:sz="4" w:space="0"/>
              <w:bottom w:val="single" w:color="auto" w:sz="4" w:space="0"/>
              <w:right w:val="single" w:color="auto" w:sz="4" w:space="0"/>
            </w:tcBorders>
            <w:noWrap w:val="0"/>
            <w:vAlign w:val="top"/>
          </w:tcPr>
          <w:p w14:paraId="6A9A9DB4">
            <w:pPr>
              <w:adjustRightInd w:val="0"/>
              <w:snapToGrid w:val="0"/>
              <w:spacing w:line="360" w:lineRule="auto"/>
              <w:rPr>
                <w:b/>
                <w:bCs/>
                <w:color w:val="000000"/>
                <w:sz w:val="24"/>
              </w:rPr>
            </w:pPr>
            <w:r>
              <w:rPr>
                <w:b/>
                <w:bCs/>
                <w:color w:val="000000"/>
                <w:sz w:val="24"/>
              </w:rPr>
              <w:t>一、技术指标</w:t>
            </w:r>
          </w:p>
          <w:p w14:paraId="549CAAC2">
            <w:pPr>
              <w:adjustRightInd w:val="0"/>
              <w:snapToGrid w:val="0"/>
              <w:spacing w:line="360" w:lineRule="auto"/>
              <w:rPr>
                <w:b/>
                <w:bCs/>
                <w:color w:val="000000"/>
                <w:sz w:val="24"/>
              </w:rPr>
            </w:pPr>
            <w:r>
              <w:rPr>
                <w:b/>
                <w:bCs/>
                <w:color w:val="000000"/>
                <w:sz w:val="24"/>
              </w:rPr>
              <w:t>1. 稳定同位素比质谱仪主机</w:t>
            </w:r>
          </w:p>
          <w:p w14:paraId="376365D3">
            <w:pPr>
              <w:adjustRightInd w:val="0"/>
              <w:snapToGrid w:val="0"/>
              <w:spacing w:line="360" w:lineRule="auto"/>
              <w:rPr>
                <w:bCs/>
                <w:color w:val="000000"/>
                <w:sz w:val="24"/>
              </w:rPr>
            </w:pPr>
            <w:r>
              <w:rPr>
                <w:rFonts w:hint="eastAsia"/>
              </w:rPr>
              <w:t>★</w:t>
            </w:r>
            <w:r>
              <w:rPr>
                <w:bCs/>
                <w:color w:val="000000"/>
                <w:sz w:val="24"/>
              </w:rPr>
              <w:t>1.1 离子源：含涂层抗氧化灯丝的高灵敏度电子轰击源。</w:t>
            </w:r>
          </w:p>
          <w:p w14:paraId="58B2BB48">
            <w:pPr>
              <w:widowControl/>
              <w:spacing w:line="360" w:lineRule="auto"/>
              <w:jc w:val="left"/>
              <w:rPr>
                <w:bCs/>
                <w:color w:val="000000"/>
                <w:sz w:val="24"/>
              </w:rPr>
            </w:pPr>
            <w:r>
              <w:rPr>
                <w:rFonts w:hint="eastAsia"/>
              </w:rPr>
              <w:t>★</w:t>
            </w:r>
            <w:r>
              <w:rPr>
                <w:bCs/>
                <w:color w:val="000000"/>
                <w:sz w:val="24"/>
              </w:rPr>
              <w:t>1.2 真空腔室：不锈钢材质，采用高度抛光技术，系统无需烘烤即可消除记忆效应和水汽等本底污染。</w:t>
            </w:r>
            <w:r>
              <w:rPr>
                <w:rFonts w:hint="eastAsia" w:cs="宋体"/>
                <w:sz w:val="24"/>
              </w:rPr>
              <w:t>高真空能够达到10</w:t>
            </w:r>
            <w:r>
              <w:rPr>
                <w:rFonts w:hint="eastAsia" w:cs="宋体"/>
                <w:sz w:val="24"/>
                <w:vertAlign w:val="superscript"/>
              </w:rPr>
              <w:t>-8</w:t>
            </w:r>
            <w:r>
              <w:rPr>
                <w:rFonts w:hint="eastAsia" w:cs="宋体"/>
                <w:sz w:val="24"/>
              </w:rPr>
              <w:t xml:space="preserve"> mbar。</w:t>
            </w:r>
          </w:p>
          <w:p w14:paraId="5D002E8C">
            <w:pPr>
              <w:adjustRightInd w:val="0"/>
              <w:snapToGrid w:val="0"/>
              <w:spacing w:line="360" w:lineRule="auto"/>
              <w:rPr>
                <w:bCs/>
                <w:color w:val="000000"/>
                <w:sz w:val="24"/>
              </w:rPr>
            </w:pPr>
            <w:r>
              <w:rPr>
                <w:rFonts w:hint="eastAsia"/>
              </w:rPr>
              <w:t>★</w:t>
            </w:r>
            <w:r>
              <w:rPr>
                <w:bCs/>
                <w:color w:val="000000"/>
                <w:sz w:val="24"/>
              </w:rPr>
              <w:t>1.3 前置放大器：采用</w:t>
            </w:r>
            <w:r>
              <w:rPr>
                <w:rFonts w:hint="eastAsia" w:cs="宋体"/>
                <w:szCs w:val="21"/>
              </w:rPr>
              <w:t>≥</w:t>
            </w:r>
            <w:r>
              <w:rPr>
                <w:bCs/>
                <w:color w:val="000000"/>
                <w:sz w:val="24"/>
              </w:rPr>
              <w:t>55V最大电压的放大器技术，能实现宽范围样品检测，在无需切换增益的前提下通过元素分析仪分析高碳氮比、碳硫比样品。</w:t>
            </w:r>
          </w:p>
          <w:p w14:paraId="01ABC04F">
            <w:pPr>
              <w:adjustRightInd w:val="0"/>
              <w:snapToGrid w:val="0"/>
              <w:spacing w:line="360" w:lineRule="auto"/>
              <w:rPr>
                <w:bCs/>
                <w:color w:val="000000"/>
                <w:sz w:val="24"/>
              </w:rPr>
            </w:pPr>
            <w:r>
              <w:rPr>
                <w:rFonts w:hint="eastAsia"/>
              </w:rPr>
              <w:t>★</w:t>
            </w:r>
            <w:r>
              <w:rPr>
                <w:bCs/>
                <w:color w:val="000000"/>
                <w:sz w:val="24"/>
              </w:rPr>
              <w:t>1.4 真空系统：带有涡轮分子泵和前级真空泵的自动真空系统，带有自动隔离装置，在断电时保护高真空，配有前缘线捕集器。</w:t>
            </w:r>
          </w:p>
          <w:p w14:paraId="12092B19">
            <w:pPr>
              <w:adjustRightInd w:val="0"/>
              <w:snapToGrid w:val="0"/>
              <w:spacing w:line="360" w:lineRule="auto"/>
              <w:rPr>
                <w:bCs/>
                <w:color w:val="000000"/>
                <w:sz w:val="24"/>
              </w:rPr>
            </w:pPr>
            <w:r>
              <w:rPr>
                <w:rFonts w:hint="eastAsia" w:ascii="宋体" w:hAnsi="宋体"/>
              </w:rPr>
              <w:t>#</w:t>
            </w:r>
            <w:r>
              <w:rPr>
                <w:bCs/>
                <w:color w:val="000000"/>
                <w:sz w:val="24"/>
              </w:rPr>
              <w:t>1.5接收器：配置万用的法拉第杯接收器，内置静电过滤装置，消除HD</w:t>
            </w:r>
            <w:r>
              <w:rPr>
                <w:bCs/>
                <w:color w:val="000000"/>
                <w:sz w:val="24"/>
                <w:vertAlign w:val="superscript"/>
              </w:rPr>
              <w:t>+</w:t>
            </w:r>
            <w:r>
              <w:rPr>
                <w:bCs/>
                <w:color w:val="000000"/>
                <w:sz w:val="24"/>
              </w:rPr>
              <w:t>以外所有离子的干扰，能有效分析δ</w:t>
            </w:r>
            <w:r>
              <w:rPr>
                <w:bCs/>
                <w:color w:val="000000"/>
                <w:sz w:val="24"/>
                <w:vertAlign w:val="superscript"/>
              </w:rPr>
              <w:t>13</w:t>
            </w:r>
            <w:r>
              <w:rPr>
                <w:bCs/>
                <w:color w:val="000000"/>
                <w:sz w:val="24"/>
              </w:rPr>
              <w:t>C</w:t>
            </w:r>
            <w:r>
              <w:rPr>
                <w:rFonts w:hint="eastAsia"/>
                <w:bCs/>
                <w:color w:val="000000"/>
                <w:sz w:val="24"/>
              </w:rPr>
              <w:t>、</w:t>
            </w:r>
            <w:r>
              <w:rPr>
                <w:bCs/>
                <w:color w:val="000000"/>
                <w:sz w:val="24"/>
              </w:rPr>
              <w:t>δ</w:t>
            </w:r>
            <w:r>
              <w:rPr>
                <w:bCs/>
                <w:color w:val="000000"/>
                <w:sz w:val="24"/>
                <w:vertAlign w:val="superscript"/>
              </w:rPr>
              <w:t>15</w:t>
            </w:r>
            <w:r>
              <w:rPr>
                <w:bCs/>
                <w:color w:val="000000"/>
                <w:sz w:val="24"/>
              </w:rPr>
              <w:t>N</w:t>
            </w:r>
            <w:r>
              <w:rPr>
                <w:rFonts w:hint="eastAsia"/>
                <w:bCs/>
                <w:color w:val="000000"/>
                <w:sz w:val="24"/>
              </w:rPr>
              <w:t>、</w:t>
            </w:r>
            <w:r>
              <w:rPr>
                <w:bCs/>
                <w:color w:val="000000"/>
                <w:sz w:val="24"/>
              </w:rPr>
              <w:t>δ</w:t>
            </w:r>
            <w:r>
              <w:rPr>
                <w:bCs/>
                <w:color w:val="000000"/>
                <w:sz w:val="24"/>
                <w:vertAlign w:val="superscript"/>
              </w:rPr>
              <w:t>18</w:t>
            </w:r>
            <w:r>
              <w:rPr>
                <w:bCs/>
                <w:color w:val="000000"/>
                <w:sz w:val="24"/>
              </w:rPr>
              <w:t>O</w:t>
            </w:r>
            <w:r>
              <w:rPr>
                <w:rFonts w:hint="eastAsia"/>
                <w:bCs/>
                <w:color w:val="000000"/>
                <w:sz w:val="24"/>
              </w:rPr>
              <w:t>、</w:t>
            </w:r>
            <w:r>
              <w:rPr>
                <w:bCs/>
                <w:color w:val="000000"/>
                <w:sz w:val="24"/>
              </w:rPr>
              <w:t>δ</w:t>
            </w:r>
            <w:r>
              <w:rPr>
                <w:bCs/>
                <w:color w:val="000000"/>
                <w:sz w:val="24"/>
                <w:vertAlign w:val="superscript"/>
              </w:rPr>
              <w:t>2</w:t>
            </w:r>
            <w:r>
              <w:rPr>
                <w:bCs/>
                <w:color w:val="000000"/>
                <w:sz w:val="24"/>
              </w:rPr>
              <w:t xml:space="preserve">H </w:t>
            </w:r>
            <w:r>
              <w:rPr>
                <w:rFonts w:hint="eastAsia"/>
                <w:bCs/>
                <w:color w:val="000000"/>
                <w:sz w:val="24"/>
              </w:rPr>
              <w:t>、</w:t>
            </w:r>
            <w:r>
              <w:rPr>
                <w:bCs/>
                <w:color w:val="000000"/>
                <w:sz w:val="24"/>
              </w:rPr>
              <w:t>δ</w:t>
            </w:r>
            <w:r>
              <w:rPr>
                <w:bCs/>
                <w:color w:val="000000"/>
                <w:sz w:val="24"/>
                <w:vertAlign w:val="superscript"/>
              </w:rPr>
              <w:t>34</w:t>
            </w:r>
            <w:r>
              <w:rPr>
                <w:bCs/>
                <w:color w:val="000000"/>
                <w:sz w:val="24"/>
              </w:rPr>
              <w:t>S。</w:t>
            </w:r>
            <w:r>
              <w:rPr>
                <w:rFonts w:hint="eastAsia"/>
                <w:bCs/>
                <w:color w:val="000000"/>
                <w:sz w:val="24"/>
              </w:rPr>
              <w:t>所有法拉第杯检测器提供≥10年保修期。</w:t>
            </w:r>
          </w:p>
          <w:p w14:paraId="3BFE5DD8">
            <w:pPr>
              <w:adjustRightInd w:val="0"/>
              <w:snapToGrid w:val="0"/>
              <w:spacing w:line="360" w:lineRule="auto"/>
              <w:rPr>
                <w:bCs/>
                <w:color w:val="000000"/>
                <w:sz w:val="24"/>
              </w:rPr>
            </w:pPr>
            <w:r>
              <w:rPr>
                <w:rFonts w:hint="eastAsia" w:ascii="宋体" w:hAnsi="宋体"/>
              </w:rPr>
              <w:t>#</w:t>
            </w:r>
            <w:r>
              <w:rPr>
                <w:bCs/>
                <w:color w:val="000000"/>
                <w:sz w:val="24"/>
              </w:rPr>
              <w:t>1.</w:t>
            </w:r>
            <w:r>
              <w:rPr>
                <w:rFonts w:hint="eastAsia"/>
                <w:bCs/>
                <w:color w:val="000000"/>
                <w:sz w:val="24"/>
              </w:rPr>
              <w:t>6</w:t>
            </w:r>
            <w:r>
              <w:rPr>
                <w:bCs/>
                <w:color w:val="000000"/>
                <w:sz w:val="24"/>
              </w:rPr>
              <w:t xml:space="preserve"> 技术参数</w:t>
            </w:r>
          </w:p>
          <w:p w14:paraId="0E6649C1">
            <w:pPr>
              <w:adjustRightInd w:val="0"/>
              <w:snapToGrid w:val="0"/>
              <w:spacing w:line="360" w:lineRule="auto"/>
              <w:rPr>
                <w:b/>
                <w:bCs/>
                <w:color w:val="000000"/>
                <w:sz w:val="24"/>
              </w:rPr>
            </w:pPr>
            <w:r>
              <w:rPr>
                <w:bCs/>
                <w:color w:val="000000"/>
                <w:sz w:val="24"/>
              </w:rPr>
              <w:t>1.</w:t>
            </w:r>
            <w:r>
              <w:rPr>
                <w:rFonts w:hint="eastAsia"/>
                <w:bCs/>
                <w:color w:val="000000"/>
                <w:sz w:val="24"/>
              </w:rPr>
              <w:t>6</w:t>
            </w:r>
            <w:r>
              <w:rPr>
                <w:bCs/>
                <w:color w:val="000000"/>
                <w:sz w:val="24"/>
              </w:rPr>
              <w:t>.1最大加速电压</w:t>
            </w:r>
            <w:r>
              <w:rPr>
                <w:rFonts w:hint="eastAsia" w:cs="宋体"/>
                <w:szCs w:val="21"/>
              </w:rPr>
              <w:t>≥</w:t>
            </w:r>
            <w:r>
              <w:rPr>
                <w:bCs/>
                <w:color w:val="000000"/>
                <w:sz w:val="24"/>
              </w:rPr>
              <w:t>5kV，最大质量数</w:t>
            </w:r>
            <w:r>
              <w:rPr>
                <w:rFonts w:hint="eastAsia" w:cs="宋体"/>
                <w:szCs w:val="21"/>
              </w:rPr>
              <w:t>≥</w:t>
            </w:r>
            <w:r>
              <w:rPr>
                <w:bCs/>
                <w:color w:val="000000"/>
                <w:sz w:val="24"/>
              </w:rPr>
              <w:t>96 dalton</w:t>
            </w:r>
          </w:p>
          <w:p w14:paraId="6A1E7F2C">
            <w:pPr>
              <w:adjustRightInd w:val="0"/>
              <w:snapToGrid w:val="0"/>
              <w:spacing w:line="360" w:lineRule="auto"/>
              <w:rPr>
                <w:bCs/>
                <w:color w:val="000000"/>
                <w:sz w:val="24"/>
              </w:rPr>
            </w:pPr>
            <w:r>
              <w:rPr>
                <w:bCs/>
                <w:color w:val="000000"/>
                <w:sz w:val="24"/>
              </w:rPr>
              <w:t>1.</w:t>
            </w:r>
            <w:r>
              <w:rPr>
                <w:rFonts w:hint="eastAsia"/>
                <w:bCs/>
                <w:color w:val="000000"/>
                <w:sz w:val="24"/>
              </w:rPr>
              <w:t>6</w:t>
            </w:r>
            <w:r>
              <w:rPr>
                <w:bCs/>
                <w:color w:val="000000"/>
                <w:sz w:val="24"/>
              </w:rPr>
              <w:t>.2 质量分辨率（m/Δm）</w:t>
            </w:r>
            <w:r>
              <w:rPr>
                <w:rFonts w:hint="eastAsia" w:cs="宋体"/>
                <w:szCs w:val="21"/>
              </w:rPr>
              <w:t>≥</w:t>
            </w:r>
            <w:r>
              <w:rPr>
                <w:bCs/>
                <w:color w:val="000000"/>
                <w:sz w:val="24"/>
              </w:rPr>
              <w:t>110（10 % 峰谷）</w:t>
            </w:r>
          </w:p>
          <w:p w14:paraId="5D02FC7C">
            <w:pPr>
              <w:adjustRightInd w:val="0"/>
              <w:snapToGrid w:val="0"/>
              <w:spacing w:line="360" w:lineRule="auto"/>
              <w:rPr>
                <w:rFonts w:hint="eastAsia"/>
                <w:bCs/>
                <w:color w:val="000000"/>
                <w:sz w:val="24"/>
              </w:rPr>
            </w:pPr>
            <w:r>
              <w:rPr>
                <w:rFonts w:hint="eastAsia"/>
                <w:bCs/>
                <w:color w:val="000000"/>
                <w:sz w:val="24"/>
              </w:rPr>
              <w:t>1.6.3绝对灵敏度：≤1100分子/离子（连续流）</w:t>
            </w:r>
          </w:p>
          <w:p w14:paraId="66825C6B">
            <w:pPr>
              <w:adjustRightInd w:val="0"/>
              <w:snapToGrid w:val="0"/>
              <w:spacing w:line="360" w:lineRule="auto"/>
              <w:rPr>
                <w:bCs/>
                <w:color w:val="000000"/>
                <w:sz w:val="24"/>
              </w:rPr>
            </w:pPr>
            <w:r>
              <w:rPr>
                <w:bCs/>
                <w:color w:val="000000"/>
                <w:sz w:val="24"/>
              </w:rPr>
              <w:t>1.</w:t>
            </w:r>
            <w:r>
              <w:rPr>
                <w:rFonts w:hint="eastAsia"/>
                <w:bCs/>
                <w:color w:val="000000"/>
                <w:sz w:val="24"/>
              </w:rPr>
              <w:t>6</w:t>
            </w:r>
            <w:r>
              <w:rPr>
                <w:bCs/>
                <w:color w:val="000000"/>
                <w:sz w:val="24"/>
              </w:rPr>
              <w:t>.</w:t>
            </w:r>
            <w:r>
              <w:rPr>
                <w:rFonts w:hint="eastAsia"/>
                <w:bCs/>
                <w:color w:val="000000"/>
                <w:sz w:val="24"/>
              </w:rPr>
              <w:t>4</w:t>
            </w:r>
            <w:r>
              <w:rPr>
                <w:bCs/>
                <w:color w:val="000000"/>
                <w:sz w:val="24"/>
              </w:rPr>
              <w:t xml:space="preserve"> 离子源线性：</w:t>
            </w:r>
            <w:r>
              <w:rPr>
                <w:rFonts w:hint="eastAsia" w:cs="宋体"/>
                <w:szCs w:val="21"/>
              </w:rPr>
              <w:t>≤</w:t>
            </w:r>
            <w:r>
              <w:rPr>
                <w:bCs/>
                <w:color w:val="000000"/>
                <w:sz w:val="24"/>
              </w:rPr>
              <w:t>0.02‰/nA</w:t>
            </w:r>
          </w:p>
          <w:p w14:paraId="59E847A9">
            <w:pPr>
              <w:adjustRightInd w:val="0"/>
              <w:snapToGrid w:val="0"/>
              <w:spacing w:line="360" w:lineRule="auto"/>
              <w:rPr>
                <w:bCs/>
                <w:color w:val="000000"/>
                <w:sz w:val="24"/>
              </w:rPr>
            </w:pPr>
            <w:r>
              <w:rPr>
                <w:bCs/>
                <w:color w:val="000000"/>
                <w:sz w:val="24"/>
              </w:rPr>
              <w:t>1.</w:t>
            </w:r>
            <w:r>
              <w:rPr>
                <w:rFonts w:hint="eastAsia"/>
                <w:bCs/>
                <w:color w:val="000000"/>
                <w:sz w:val="24"/>
              </w:rPr>
              <w:t>6</w:t>
            </w:r>
            <w:r>
              <w:rPr>
                <w:bCs/>
                <w:color w:val="000000"/>
                <w:sz w:val="24"/>
              </w:rPr>
              <w:t>.</w:t>
            </w:r>
            <w:r>
              <w:rPr>
                <w:rFonts w:hint="eastAsia"/>
                <w:bCs/>
                <w:color w:val="000000"/>
                <w:sz w:val="24"/>
              </w:rPr>
              <w:t>5</w:t>
            </w:r>
            <w:r>
              <w:rPr>
                <w:bCs/>
                <w:color w:val="000000"/>
                <w:sz w:val="24"/>
              </w:rPr>
              <w:t xml:space="preserve"> H</w:t>
            </w:r>
            <w:r>
              <w:rPr>
                <w:bCs/>
                <w:color w:val="000000"/>
                <w:sz w:val="24"/>
                <w:vertAlign w:val="superscript"/>
              </w:rPr>
              <w:t>3+</w:t>
            </w:r>
            <w:r>
              <w:rPr>
                <w:bCs/>
                <w:color w:val="000000"/>
                <w:sz w:val="24"/>
              </w:rPr>
              <w:t>因子：</w:t>
            </w:r>
            <w:r>
              <w:rPr>
                <w:rFonts w:hint="eastAsia" w:cs="宋体"/>
                <w:szCs w:val="21"/>
              </w:rPr>
              <w:t>≤</w:t>
            </w:r>
            <w:r>
              <w:rPr>
                <w:bCs/>
                <w:color w:val="000000"/>
                <w:sz w:val="24"/>
              </w:rPr>
              <w:t>8ppm/nA；稳定性</w:t>
            </w:r>
            <w:r>
              <w:rPr>
                <w:rFonts w:hint="eastAsia" w:cs="宋体"/>
                <w:szCs w:val="21"/>
              </w:rPr>
              <w:t>≤</w:t>
            </w:r>
            <w:r>
              <w:rPr>
                <w:bCs/>
                <w:color w:val="000000"/>
                <w:sz w:val="24"/>
              </w:rPr>
              <w:t>0.03ppm/nA/hr</w:t>
            </w:r>
          </w:p>
          <w:p w14:paraId="6B7632E4">
            <w:pPr>
              <w:adjustRightInd w:val="0"/>
              <w:snapToGrid w:val="0"/>
              <w:spacing w:line="360" w:lineRule="auto"/>
              <w:rPr>
                <w:b/>
                <w:bCs/>
                <w:color w:val="000000"/>
                <w:sz w:val="24"/>
              </w:rPr>
            </w:pPr>
            <w:r>
              <w:rPr>
                <w:b/>
                <w:bCs/>
                <w:color w:val="000000"/>
                <w:sz w:val="24"/>
              </w:rPr>
              <w:t>2. 万用连续流接口</w:t>
            </w:r>
          </w:p>
          <w:p w14:paraId="13015FDB">
            <w:pPr>
              <w:adjustRightInd w:val="0"/>
              <w:snapToGrid w:val="0"/>
              <w:spacing w:line="360" w:lineRule="auto"/>
              <w:rPr>
                <w:bCs/>
                <w:color w:val="000000"/>
                <w:sz w:val="24"/>
              </w:rPr>
            </w:pPr>
            <w:r>
              <w:rPr>
                <w:rFonts w:hint="eastAsia" w:ascii="宋体" w:hAnsi="宋体"/>
              </w:rPr>
              <w:t>#</w:t>
            </w:r>
            <w:r>
              <w:rPr>
                <w:bCs/>
                <w:color w:val="000000"/>
                <w:sz w:val="24"/>
              </w:rPr>
              <w:t>2.1</w:t>
            </w:r>
            <w:r>
              <w:rPr>
                <w:rFonts w:hint="eastAsia"/>
                <w:bCs/>
                <w:color w:val="000000"/>
                <w:sz w:val="24"/>
              </w:rPr>
              <w:t>采用高精度数字质量流量控制器，针对所有流量和压力的完整数字控制和回读功能，内置除水膜，无需压缩空气。</w:t>
            </w:r>
          </w:p>
          <w:p w14:paraId="1CAAA8E7">
            <w:pPr>
              <w:adjustRightInd w:val="0"/>
              <w:snapToGrid w:val="0"/>
              <w:spacing w:line="360" w:lineRule="auto"/>
              <w:rPr>
                <w:bCs/>
                <w:color w:val="000000"/>
                <w:sz w:val="24"/>
              </w:rPr>
            </w:pPr>
            <w:r>
              <w:rPr>
                <w:rFonts w:hint="eastAsia"/>
              </w:rPr>
              <w:t>★</w:t>
            </w:r>
            <w:r>
              <w:rPr>
                <w:rFonts w:hint="eastAsia"/>
                <w:bCs/>
                <w:color w:val="000000"/>
                <w:sz w:val="24"/>
              </w:rPr>
              <w:t xml:space="preserve">2.2 </w:t>
            </w:r>
            <w:r>
              <w:rPr>
                <w:bCs/>
                <w:color w:val="000000"/>
                <w:sz w:val="24"/>
              </w:rPr>
              <w:t>可以同时连接</w:t>
            </w:r>
            <w:r>
              <w:rPr>
                <w:rFonts w:hint="eastAsia" w:cs="宋体"/>
                <w:szCs w:val="21"/>
              </w:rPr>
              <w:t>≥</w:t>
            </w:r>
            <w:r>
              <w:rPr>
                <w:bCs/>
                <w:color w:val="000000"/>
                <w:sz w:val="24"/>
              </w:rPr>
              <w:t>6路参考气，可以满足C</w:t>
            </w:r>
            <w:r>
              <w:rPr>
                <w:rFonts w:hint="eastAsia"/>
                <w:bCs/>
                <w:color w:val="000000"/>
                <w:sz w:val="24"/>
              </w:rPr>
              <w:t>、</w:t>
            </w:r>
            <w:r>
              <w:rPr>
                <w:bCs/>
                <w:color w:val="000000"/>
                <w:sz w:val="24"/>
              </w:rPr>
              <w:t>N</w:t>
            </w:r>
            <w:r>
              <w:rPr>
                <w:rFonts w:hint="eastAsia"/>
                <w:bCs/>
                <w:color w:val="000000"/>
                <w:sz w:val="24"/>
              </w:rPr>
              <w:t>、</w:t>
            </w:r>
            <w:r>
              <w:rPr>
                <w:bCs/>
                <w:color w:val="000000"/>
                <w:sz w:val="24"/>
              </w:rPr>
              <w:t>O</w:t>
            </w:r>
            <w:r>
              <w:rPr>
                <w:rFonts w:hint="eastAsia"/>
                <w:bCs/>
                <w:color w:val="000000"/>
                <w:sz w:val="24"/>
              </w:rPr>
              <w:t>、</w:t>
            </w:r>
            <w:r>
              <w:rPr>
                <w:bCs/>
                <w:color w:val="000000"/>
                <w:sz w:val="24"/>
              </w:rPr>
              <w:t>S</w:t>
            </w:r>
            <w:r>
              <w:rPr>
                <w:rFonts w:hint="eastAsia"/>
                <w:bCs/>
                <w:color w:val="000000"/>
                <w:sz w:val="24"/>
              </w:rPr>
              <w:t>、</w:t>
            </w:r>
            <w:r>
              <w:rPr>
                <w:bCs/>
                <w:color w:val="000000"/>
                <w:sz w:val="24"/>
              </w:rPr>
              <w:t>H的连续测定，不需要交换气路。</w:t>
            </w:r>
          </w:p>
          <w:p w14:paraId="41E48F08">
            <w:pPr>
              <w:adjustRightInd w:val="0"/>
              <w:snapToGrid w:val="0"/>
              <w:spacing w:line="360" w:lineRule="auto"/>
              <w:rPr>
                <w:bCs/>
                <w:color w:val="000000"/>
                <w:sz w:val="24"/>
              </w:rPr>
            </w:pPr>
            <w:r>
              <w:rPr>
                <w:rFonts w:hint="eastAsia" w:ascii="宋体" w:hAnsi="宋体"/>
              </w:rPr>
              <w:t>#</w:t>
            </w:r>
            <w:r>
              <w:rPr>
                <w:bCs/>
                <w:color w:val="000000"/>
                <w:sz w:val="24"/>
              </w:rPr>
              <w:t>2.2 样品气自动稀释：当样品中的C/N, O/H比很大时，可以自动设定稀释倍数。</w:t>
            </w:r>
          </w:p>
          <w:p w14:paraId="535C8B7B">
            <w:pPr>
              <w:adjustRightInd w:val="0"/>
              <w:snapToGrid w:val="0"/>
              <w:spacing w:line="360" w:lineRule="auto"/>
              <w:rPr>
                <w:bCs/>
                <w:color w:val="000000"/>
                <w:sz w:val="24"/>
              </w:rPr>
            </w:pPr>
            <w:r>
              <w:rPr>
                <w:rFonts w:hint="eastAsia" w:ascii="宋体" w:hAnsi="宋体"/>
              </w:rPr>
              <w:t>#</w:t>
            </w:r>
            <w:r>
              <w:rPr>
                <w:bCs/>
                <w:color w:val="000000"/>
                <w:sz w:val="24"/>
              </w:rPr>
              <w:t>2.3 可同时连接</w:t>
            </w:r>
            <w:r>
              <w:rPr>
                <w:rFonts w:hint="eastAsia"/>
                <w:bCs/>
                <w:color w:val="000000"/>
                <w:sz w:val="24"/>
              </w:rPr>
              <w:t>4</w:t>
            </w:r>
            <w:r>
              <w:rPr>
                <w:bCs/>
                <w:color w:val="000000"/>
                <w:sz w:val="24"/>
              </w:rPr>
              <w:t>个高流量和</w:t>
            </w:r>
            <w:r>
              <w:rPr>
                <w:rFonts w:hint="eastAsia"/>
                <w:bCs/>
                <w:color w:val="000000"/>
                <w:sz w:val="24"/>
              </w:rPr>
              <w:t>1</w:t>
            </w:r>
            <w:r>
              <w:rPr>
                <w:bCs/>
                <w:color w:val="000000"/>
                <w:sz w:val="24"/>
              </w:rPr>
              <w:t>流量前处理装置，实现前处理装置间的自动切换，减少仪器待机时间。</w:t>
            </w:r>
          </w:p>
          <w:p w14:paraId="6106001E">
            <w:pPr>
              <w:adjustRightInd w:val="0"/>
              <w:snapToGrid w:val="0"/>
              <w:spacing w:line="360" w:lineRule="auto"/>
              <w:rPr>
                <w:b/>
                <w:bCs/>
                <w:color w:val="000000"/>
                <w:sz w:val="24"/>
              </w:rPr>
            </w:pPr>
            <w:r>
              <w:rPr>
                <w:b/>
                <w:bCs/>
                <w:color w:val="000000"/>
                <w:sz w:val="24"/>
              </w:rPr>
              <w:t>3. 气体制备系统</w:t>
            </w:r>
          </w:p>
          <w:p w14:paraId="3E72B7F7">
            <w:pPr>
              <w:adjustRightInd w:val="0"/>
              <w:snapToGrid w:val="0"/>
              <w:spacing w:line="360" w:lineRule="auto"/>
              <w:rPr>
                <w:bCs/>
                <w:color w:val="000000"/>
                <w:sz w:val="24"/>
              </w:rPr>
            </w:pPr>
            <w:r>
              <w:rPr>
                <w:rFonts w:hint="eastAsia"/>
              </w:rPr>
              <w:t>★</w:t>
            </w:r>
            <w:r>
              <w:rPr>
                <w:bCs/>
                <w:color w:val="000000"/>
                <w:sz w:val="24"/>
              </w:rPr>
              <w:t>3.1 与稳定同位素比质谱仪联用，可测定样品中的气体中C、N、O、H、S同位素比值，同时单独获得元素百分含量，TCD检测器质保10年。</w:t>
            </w:r>
          </w:p>
          <w:p w14:paraId="4CA69965">
            <w:pPr>
              <w:adjustRightInd w:val="0"/>
              <w:snapToGrid w:val="0"/>
              <w:spacing w:line="360" w:lineRule="auto"/>
              <w:rPr>
                <w:bCs/>
                <w:color w:val="000000"/>
                <w:sz w:val="24"/>
              </w:rPr>
            </w:pPr>
            <w:r>
              <w:rPr>
                <w:rFonts w:hint="eastAsia"/>
              </w:rPr>
              <w:t>★</w:t>
            </w:r>
            <w:r>
              <w:rPr>
                <w:color w:val="000000"/>
                <w:sz w:val="24"/>
              </w:rPr>
              <w:t>3.2采用单燃烧炉双反应管模式实现CNS同时分析，独立的燃烧管和还原管可根据样品性质分别单独温控，确保样品在高温过程中完成充分的氧化还原反应，并减少填料消耗。</w:t>
            </w:r>
          </w:p>
          <w:p w14:paraId="3CD80176">
            <w:pPr>
              <w:adjustRightInd w:val="0"/>
              <w:snapToGrid w:val="0"/>
              <w:spacing w:line="360" w:lineRule="auto"/>
              <w:rPr>
                <w:bCs/>
                <w:color w:val="000000"/>
                <w:sz w:val="24"/>
              </w:rPr>
            </w:pPr>
            <w:r>
              <w:rPr>
                <w:rFonts w:hint="eastAsia" w:ascii="宋体" w:hAnsi="宋体"/>
              </w:rPr>
              <w:t>#</w:t>
            </w:r>
            <w:r>
              <w:rPr>
                <w:color w:val="000000"/>
                <w:sz w:val="24"/>
              </w:rPr>
              <w:t>3.3 测量气</w:t>
            </w:r>
            <w:r>
              <w:rPr>
                <w:bCs/>
                <w:color w:val="000000"/>
                <w:sz w:val="24"/>
              </w:rPr>
              <w:t>体分离技术：采用色谱分离或吸附—解吸附技术，</w:t>
            </w:r>
            <w:r>
              <w:rPr>
                <w:color w:val="000000"/>
                <w:sz w:val="24"/>
              </w:rPr>
              <w:t>待测气体的分离温度、分离时间等参数软件可根据实验需求进行设置，</w:t>
            </w:r>
            <w:r>
              <w:rPr>
                <w:bCs/>
                <w:color w:val="000000"/>
                <w:sz w:val="24"/>
              </w:rPr>
              <w:t>无需更换配件即可同时实现对高达7000：1的碳氮比和碳硫比的样品的基线分离；</w:t>
            </w:r>
          </w:p>
          <w:p w14:paraId="1C997688">
            <w:pPr>
              <w:adjustRightInd w:val="0"/>
              <w:snapToGrid w:val="0"/>
              <w:spacing w:line="360" w:lineRule="auto"/>
              <w:rPr>
                <w:bCs/>
                <w:color w:val="000000"/>
                <w:sz w:val="24"/>
              </w:rPr>
            </w:pPr>
            <w:r>
              <w:rPr>
                <w:rFonts w:hint="eastAsia" w:ascii="宋体" w:hAnsi="宋体"/>
              </w:rPr>
              <w:t>#</w:t>
            </w:r>
            <w:r>
              <w:rPr>
                <w:bCs/>
                <w:color w:val="000000"/>
                <w:sz w:val="24"/>
              </w:rPr>
              <w:t>3.4加氧技术：</w:t>
            </w:r>
            <w:r>
              <w:rPr>
                <w:rFonts w:hint="eastAsia"/>
                <w:bCs/>
                <w:color w:val="000000"/>
                <w:sz w:val="24"/>
              </w:rPr>
              <w:t>应具有</w:t>
            </w:r>
            <w:r>
              <w:rPr>
                <w:bCs/>
                <w:color w:val="000000"/>
                <w:sz w:val="24"/>
              </w:rPr>
              <w:t>精确加氧技术，</w:t>
            </w:r>
            <w:r>
              <w:rPr>
                <w:rFonts w:hint="eastAsia"/>
                <w:bCs/>
                <w:color w:val="000000"/>
                <w:sz w:val="24"/>
              </w:rPr>
              <w:t>可以</w:t>
            </w:r>
            <w:r>
              <w:rPr>
                <w:bCs/>
                <w:color w:val="000000"/>
                <w:sz w:val="24"/>
              </w:rPr>
              <w:t>将氧气直接注入样品燃烧区域。</w:t>
            </w:r>
          </w:p>
          <w:p w14:paraId="6834C9F5">
            <w:pPr>
              <w:adjustRightInd w:val="0"/>
              <w:snapToGrid w:val="0"/>
              <w:spacing w:line="360" w:lineRule="auto"/>
              <w:rPr>
                <w:bCs/>
                <w:color w:val="000000"/>
                <w:sz w:val="24"/>
              </w:rPr>
            </w:pPr>
            <w:r>
              <w:rPr>
                <w:rFonts w:hint="eastAsia" w:ascii="宋体" w:hAnsi="宋体"/>
              </w:rPr>
              <w:t>#</w:t>
            </w:r>
            <w:r>
              <w:rPr>
                <w:bCs/>
                <w:color w:val="000000"/>
                <w:sz w:val="24"/>
              </w:rPr>
              <w:t>3.5 配备1台</w:t>
            </w:r>
            <w:r>
              <w:rPr>
                <w:rFonts w:hint="eastAsia" w:cs="宋体"/>
                <w:szCs w:val="21"/>
              </w:rPr>
              <w:t>≥</w:t>
            </w:r>
            <w:r>
              <w:rPr>
                <w:bCs/>
                <w:color w:val="000000"/>
                <w:sz w:val="24"/>
              </w:rPr>
              <w:t>120位固体自动进样器，无需氦气吹扫，可随时调整样品序列。配备1台</w:t>
            </w:r>
            <w:r>
              <w:rPr>
                <w:rFonts w:hint="eastAsia" w:cs="宋体"/>
                <w:szCs w:val="21"/>
              </w:rPr>
              <w:t>≥</w:t>
            </w:r>
            <w:r>
              <w:rPr>
                <w:bCs/>
                <w:color w:val="000000"/>
                <w:sz w:val="24"/>
              </w:rPr>
              <w:t>50位液体自动进样器。</w:t>
            </w:r>
          </w:p>
          <w:p w14:paraId="415583F4">
            <w:pPr>
              <w:adjustRightInd w:val="0"/>
              <w:snapToGrid w:val="0"/>
              <w:spacing w:line="360" w:lineRule="auto"/>
              <w:rPr>
                <w:bCs/>
                <w:color w:val="000000"/>
                <w:sz w:val="24"/>
              </w:rPr>
            </w:pPr>
            <w:r>
              <w:rPr>
                <w:rFonts w:hint="eastAsia" w:ascii="宋体" w:hAnsi="宋体"/>
              </w:rPr>
              <w:t>#</w:t>
            </w:r>
            <w:r>
              <w:rPr>
                <w:bCs/>
                <w:color w:val="000000"/>
                <w:sz w:val="24"/>
              </w:rPr>
              <w:t>3.6进样系统：利用氦气吹扫密闭式样品槽的样品排除空气干扰，可实现零空白转运样品。</w:t>
            </w:r>
          </w:p>
          <w:p w14:paraId="5FA5E77D">
            <w:pPr>
              <w:adjustRightInd w:val="0"/>
              <w:snapToGrid w:val="0"/>
              <w:spacing w:line="360" w:lineRule="auto"/>
              <w:rPr>
                <w:bCs/>
                <w:color w:val="000000"/>
                <w:sz w:val="24"/>
              </w:rPr>
            </w:pPr>
            <w:r>
              <w:rPr>
                <w:rFonts w:hint="eastAsia" w:ascii="宋体" w:hAnsi="宋体"/>
              </w:rPr>
              <w:t>#</w:t>
            </w:r>
            <w:r>
              <w:rPr>
                <w:bCs/>
                <w:color w:val="000000"/>
                <w:sz w:val="24"/>
              </w:rPr>
              <w:t>3.7配备CNS模式和高温OH模式，高温OH模式温度达到1450℃。</w:t>
            </w:r>
          </w:p>
          <w:p w14:paraId="71529F25">
            <w:pPr>
              <w:adjustRightInd w:val="0"/>
              <w:snapToGrid w:val="0"/>
              <w:spacing w:line="360" w:lineRule="auto"/>
              <w:rPr>
                <w:bCs/>
                <w:color w:val="000000"/>
                <w:sz w:val="24"/>
              </w:rPr>
            </w:pPr>
            <w:r>
              <w:rPr>
                <w:rFonts w:hint="eastAsia" w:ascii="宋体" w:hAnsi="宋体"/>
              </w:rPr>
              <w:t>#</w:t>
            </w:r>
            <w:r>
              <w:rPr>
                <w:bCs/>
                <w:color w:val="000000"/>
                <w:sz w:val="24"/>
              </w:rPr>
              <w:t>3.8气体制备系统与同位素质谱联用外精度(外精度，1σ)：</w:t>
            </w:r>
          </w:p>
          <w:p w14:paraId="58FDA45C">
            <w:pPr>
              <w:adjustRightInd w:val="0"/>
              <w:snapToGrid w:val="0"/>
              <w:spacing w:line="360" w:lineRule="auto"/>
              <w:rPr>
                <w:bCs/>
                <w:color w:val="000000"/>
                <w:sz w:val="24"/>
              </w:rPr>
            </w:pPr>
            <w:r>
              <w:rPr>
                <w:bCs/>
                <w:color w:val="000000"/>
                <w:sz w:val="24"/>
              </w:rPr>
              <w:t>δ</w:t>
            </w:r>
            <w:r>
              <w:rPr>
                <w:bCs/>
                <w:color w:val="000000"/>
                <w:sz w:val="24"/>
                <w:vertAlign w:val="superscript"/>
              </w:rPr>
              <w:t>13</w:t>
            </w:r>
            <w:r>
              <w:rPr>
                <w:bCs/>
                <w:color w:val="000000"/>
                <w:sz w:val="24"/>
              </w:rPr>
              <w:t xml:space="preserve">C: </w:t>
            </w:r>
            <w:r>
              <w:rPr>
                <w:rFonts w:hint="eastAsia" w:cs="宋体"/>
                <w:szCs w:val="21"/>
              </w:rPr>
              <w:t>≤</w:t>
            </w:r>
            <w:r>
              <w:rPr>
                <w:bCs/>
                <w:color w:val="000000"/>
                <w:sz w:val="24"/>
              </w:rPr>
              <w:t>0.1 ‰</w:t>
            </w:r>
          </w:p>
          <w:p w14:paraId="36D2B4AD">
            <w:pPr>
              <w:adjustRightInd w:val="0"/>
              <w:snapToGrid w:val="0"/>
              <w:spacing w:line="360" w:lineRule="auto"/>
              <w:rPr>
                <w:bCs/>
                <w:color w:val="000000"/>
                <w:sz w:val="24"/>
              </w:rPr>
            </w:pPr>
            <w:r>
              <w:rPr>
                <w:bCs/>
                <w:color w:val="000000"/>
                <w:sz w:val="24"/>
              </w:rPr>
              <w:t>δ</w:t>
            </w:r>
            <w:r>
              <w:rPr>
                <w:bCs/>
                <w:color w:val="000000"/>
                <w:sz w:val="24"/>
                <w:vertAlign w:val="superscript"/>
              </w:rPr>
              <w:t>15</w:t>
            </w:r>
            <w:r>
              <w:rPr>
                <w:bCs/>
                <w:color w:val="000000"/>
                <w:sz w:val="24"/>
              </w:rPr>
              <w:t xml:space="preserve">N: </w:t>
            </w:r>
            <w:r>
              <w:rPr>
                <w:rFonts w:hint="eastAsia" w:cs="宋体"/>
                <w:szCs w:val="21"/>
              </w:rPr>
              <w:t>≤</w:t>
            </w:r>
            <w:r>
              <w:rPr>
                <w:bCs/>
                <w:color w:val="000000"/>
                <w:sz w:val="24"/>
              </w:rPr>
              <w:t>0.15 ‰</w:t>
            </w:r>
          </w:p>
          <w:p w14:paraId="182D4E8C">
            <w:pPr>
              <w:adjustRightInd w:val="0"/>
              <w:snapToGrid w:val="0"/>
              <w:spacing w:line="360" w:lineRule="auto"/>
              <w:rPr>
                <w:bCs/>
                <w:color w:val="000000"/>
                <w:sz w:val="24"/>
              </w:rPr>
            </w:pPr>
            <w:r>
              <w:rPr>
                <w:bCs/>
                <w:color w:val="000000"/>
                <w:sz w:val="24"/>
              </w:rPr>
              <w:t>δ</w:t>
            </w:r>
            <w:r>
              <w:rPr>
                <w:bCs/>
                <w:color w:val="000000"/>
                <w:sz w:val="24"/>
                <w:vertAlign w:val="superscript"/>
              </w:rPr>
              <w:t>34</w:t>
            </w:r>
            <w:r>
              <w:rPr>
                <w:bCs/>
                <w:color w:val="000000"/>
                <w:sz w:val="24"/>
              </w:rPr>
              <w:t xml:space="preserve">S: </w:t>
            </w:r>
            <w:r>
              <w:rPr>
                <w:rFonts w:hint="eastAsia" w:cs="宋体"/>
                <w:szCs w:val="21"/>
              </w:rPr>
              <w:t>≤</w:t>
            </w:r>
            <w:r>
              <w:rPr>
                <w:bCs/>
                <w:color w:val="000000"/>
                <w:sz w:val="24"/>
              </w:rPr>
              <w:t>0.2 ‰</w:t>
            </w:r>
          </w:p>
          <w:p w14:paraId="6984163A">
            <w:pPr>
              <w:adjustRightInd w:val="0"/>
              <w:snapToGrid w:val="0"/>
              <w:spacing w:line="360" w:lineRule="auto"/>
              <w:rPr>
                <w:bCs/>
                <w:color w:val="000000"/>
                <w:sz w:val="24"/>
              </w:rPr>
            </w:pPr>
            <w:r>
              <w:rPr>
                <w:bCs/>
                <w:color w:val="000000"/>
                <w:sz w:val="24"/>
              </w:rPr>
              <w:t>δ</w:t>
            </w:r>
            <w:r>
              <w:rPr>
                <w:bCs/>
                <w:color w:val="000000"/>
                <w:sz w:val="24"/>
                <w:vertAlign w:val="superscript"/>
              </w:rPr>
              <w:t>18</w:t>
            </w:r>
            <w:r>
              <w:rPr>
                <w:bCs/>
                <w:color w:val="000000"/>
                <w:sz w:val="24"/>
              </w:rPr>
              <w:t xml:space="preserve">O: </w:t>
            </w:r>
            <w:r>
              <w:rPr>
                <w:rFonts w:hint="eastAsia" w:cs="宋体"/>
                <w:szCs w:val="21"/>
              </w:rPr>
              <w:t>≤</w:t>
            </w:r>
            <w:r>
              <w:rPr>
                <w:bCs/>
                <w:color w:val="000000"/>
                <w:sz w:val="24"/>
              </w:rPr>
              <w:t>0.3 ‰</w:t>
            </w:r>
          </w:p>
          <w:p w14:paraId="2A572830">
            <w:pPr>
              <w:adjustRightInd w:val="0"/>
              <w:snapToGrid w:val="0"/>
              <w:spacing w:line="360" w:lineRule="auto"/>
              <w:rPr>
                <w:bCs/>
                <w:color w:val="000000"/>
                <w:sz w:val="24"/>
              </w:rPr>
            </w:pPr>
            <w:r>
              <w:rPr>
                <w:bCs/>
                <w:color w:val="000000"/>
                <w:sz w:val="24"/>
              </w:rPr>
              <w:t>δ</w:t>
            </w:r>
            <w:r>
              <w:rPr>
                <w:bCs/>
                <w:color w:val="000000"/>
                <w:sz w:val="24"/>
                <w:vertAlign w:val="superscript"/>
              </w:rPr>
              <w:t>2</w:t>
            </w:r>
            <w:r>
              <w:rPr>
                <w:bCs/>
                <w:color w:val="000000"/>
                <w:sz w:val="24"/>
              </w:rPr>
              <w:t xml:space="preserve">H: </w:t>
            </w:r>
            <w:r>
              <w:rPr>
                <w:rFonts w:hint="eastAsia"/>
                <w:bCs/>
                <w:color w:val="000000"/>
                <w:sz w:val="24"/>
              </w:rPr>
              <w:t>≤</w:t>
            </w:r>
            <w:r>
              <w:rPr>
                <w:bCs/>
                <w:color w:val="000000"/>
                <w:sz w:val="24"/>
              </w:rPr>
              <w:t>2</w:t>
            </w:r>
            <w:r>
              <w:rPr>
                <w:rFonts w:hint="eastAsia"/>
                <w:bCs/>
                <w:color w:val="000000"/>
                <w:sz w:val="24"/>
              </w:rPr>
              <w:t>.0</w:t>
            </w:r>
            <w:r>
              <w:rPr>
                <w:bCs/>
                <w:color w:val="000000"/>
                <w:sz w:val="24"/>
              </w:rPr>
              <w:t xml:space="preserve"> ‰</w:t>
            </w:r>
          </w:p>
          <w:p w14:paraId="4F7540BF">
            <w:pPr>
              <w:adjustRightInd w:val="0"/>
              <w:snapToGrid w:val="0"/>
              <w:spacing w:line="360" w:lineRule="auto"/>
              <w:rPr>
                <w:bCs/>
                <w:color w:val="000000"/>
                <w:sz w:val="24"/>
              </w:rPr>
            </w:pPr>
            <w:r>
              <w:rPr>
                <w:bCs/>
                <w:color w:val="000000"/>
                <w:sz w:val="24"/>
              </w:rPr>
              <w:t>3.9最大进样量</w:t>
            </w:r>
            <w:r>
              <w:rPr>
                <w:rFonts w:hint="eastAsia"/>
                <w:bCs/>
                <w:color w:val="000000"/>
                <w:sz w:val="24"/>
              </w:rPr>
              <w:t>≥</w:t>
            </w:r>
            <w:r>
              <w:rPr>
                <w:bCs/>
                <w:color w:val="000000"/>
                <w:sz w:val="24"/>
              </w:rPr>
              <w:t>1000mg。</w:t>
            </w:r>
          </w:p>
          <w:p w14:paraId="0640E397">
            <w:pPr>
              <w:adjustRightInd w:val="0"/>
              <w:snapToGrid w:val="0"/>
              <w:spacing w:line="360" w:lineRule="auto"/>
              <w:rPr>
                <w:bCs/>
                <w:color w:val="000000"/>
                <w:sz w:val="24"/>
              </w:rPr>
            </w:pPr>
            <w:r>
              <w:rPr>
                <w:bCs/>
                <w:color w:val="000000"/>
                <w:sz w:val="24"/>
              </w:rPr>
              <w:t>3.10燃烧管最大直径</w:t>
            </w:r>
            <w:r>
              <w:rPr>
                <w:rFonts w:hint="eastAsia"/>
                <w:bCs/>
                <w:color w:val="000000"/>
                <w:sz w:val="24"/>
              </w:rPr>
              <w:t>≥</w:t>
            </w:r>
            <w:r>
              <w:rPr>
                <w:bCs/>
                <w:color w:val="000000"/>
                <w:sz w:val="24"/>
              </w:rPr>
              <w:t>25cm</w:t>
            </w:r>
          </w:p>
          <w:p w14:paraId="5E3D1639">
            <w:pPr>
              <w:adjustRightInd w:val="0"/>
              <w:snapToGrid w:val="0"/>
              <w:spacing w:line="360" w:lineRule="auto"/>
              <w:rPr>
                <w:b/>
                <w:bCs/>
                <w:color w:val="000000"/>
                <w:sz w:val="24"/>
              </w:rPr>
            </w:pPr>
            <w:r>
              <w:rPr>
                <w:b/>
                <w:bCs/>
                <w:color w:val="000000"/>
                <w:sz w:val="24"/>
              </w:rPr>
              <w:t>4.百万分之一天平</w:t>
            </w:r>
          </w:p>
          <w:p w14:paraId="2ED23DF1">
            <w:pPr>
              <w:spacing w:line="360" w:lineRule="auto"/>
              <w:jc w:val="left"/>
              <w:rPr>
                <w:color w:val="000000"/>
                <w:sz w:val="24"/>
              </w:rPr>
            </w:pPr>
            <w:r>
              <w:rPr>
                <w:rFonts w:hint="eastAsia"/>
                <w:bCs/>
                <w:color w:val="000000"/>
                <w:sz w:val="24"/>
              </w:rPr>
              <w:t>★</w:t>
            </w:r>
            <w:r>
              <w:rPr>
                <w:color w:val="000000"/>
                <w:sz w:val="24"/>
              </w:rPr>
              <w:t>4.1最大盘程：</w:t>
            </w:r>
            <w:r>
              <w:rPr>
                <w:rFonts w:hint="eastAsia"/>
              </w:rPr>
              <w:t>≥</w:t>
            </w:r>
            <w:r>
              <w:rPr>
                <w:color w:val="000000"/>
                <w:sz w:val="24"/>
              </w:rPr>
              <w:t>1.</w:t>
            </w:r>
            <w:r>
              <w:rPr>
                <w:rFonts w:hint="eastAsia"/>
                <w:color w:val="000000"/>
                <w:sz w:val="24"/>
              </w:rPr>
              <w:t>0</w:t>
            </w:r>
            <w:r>
              <w:rPr>
                <w:color w:val="000000"/>
                <w:sz w:val="24"/>
              </w:rPr>
              <w:t>g/3.</w:t>
            </w:r>
            <w:r>
              <w:rPr>
                <w:rFonts w:hint="eastAsia"/>
                <w:color w:val="000000"/>
                <w:sz w:val="24"/>
              </w:rPr>
              <w:t>0</w:t>
            </w:r>
            <w:r>
              <w:rPr>
                <w:color w:val="000000"/>
                <w:sz w:val="24"/>
              </w:rPr>
              <w:t>g。</w:t>
            </w:r>
          </w:p>
          <w:p w14:paraId="60D4EE99">
            <w:pPr>
              <w:spacing w:line="360" w:lineRule="auto"/>
              <w:jc w:val="left"/>
              <w:rPr>
                <w:color w:val="000000"/>
                <w:sz w:val="24"/>
              </w:rPr>
            </w:pPr>
            <w:r>
              <w:rPr>
                <w:rFonts w:hint="eastAsia" w:ascii="宋体" w:hAnsi="宋体"/>
              </w:rPr>
              <w:t>#</w:t>
            </w:r>
            <w:r>
              <w:rPr>
                <w:color w:val="000000"/>
                <w:sz w:val="24"/>
              </w:rPr>
              <w:t>4.2可读性：</w:t>
            </w:r>
            <w:r>
              <w:rPr>
                <w:rFonts w:hint="eastAsia"/>
              </w:rPr>
              <w:t>≤</w:t>
            </w:r>
            <w:r>
              <w:rPr>
                <w:color w:val="000000"/>
                <w:sz w:val="24"/>
              </w:rPr>
              <w:t>0.001mg/0.01mg。重复性：</w:t>
            </w:r>
            <w:r>
              <w:rPr>
                <w:rFonts w:hint="eastAsia"/>
              </w:rPr>
              <w:t>≤</w:t>
            </w:r>
            <w:r>
              <w:rPr>
                <w:color w:val="000000"/>
                <w:sz w:val="24"/>
              </w:rPr>
              <w:t>0.001mg (lg) /0.006mg (3g)。</w:t>
            </w:r>
          </w:p>
          <w:p w14:paraId="16D09EF4">
            <w:pPr>
              <w:spacing w:line="360" w:lineRule="auto"/>
              <w:jc w:val="left"/>
              <w:rPr>
                <w:color w:val="000000"/>
              </w:rPr>
            </w:pPr>
            <w:r>
              <w:rPr>
                <w:color w:val="000000"/>
                <w:sz w:val="24"/>
              </w:rPr>
              <w:t>4.</w:t>
            </w:r>
            <w:r>
              <w:rPr>
                <w:rFonts w:hint="eastAsia"/>
                <w:color w:val="000000"/>
                <w:sz w:val="24"/>
              </w:rPr>
              <w:t>3</w:t>
            </w:r>
            <w:r>
              <w:rPr>
                <w:color w:val="000000"/>
                <w:sz w:val="24"/>
              </w:rPr>
              <w:t>称量范围：</w:t>
            </w:r>
            <w:r>
              <w:rPr>
                <w:rFonts w:hint="eastAsia"/>
              </w:rPr>
              <w:t>≥</w:t>
            </w:r>
            <w:r>
              <w:rPr>
                <w:color w:val="000000"/>
                <w:sz w:val="24"/>
              </w:rPr>
              <w:t>0-1</w:t>
            </w:r>
            <w:r>
              <w:rPr>
                <w:rFonts w:hint="eastAsia"/>
                <w:color w:val="000000"/>
                <w:sz w:val="24"/>
              </w:rPr>
              <w:t>.0</w:t>
            </w:r>
            <w:r>
              <w:rPr>
                <w:color w:val="000000"/>
                <w:sz w:val="24"/>
              </w:rPr>
              <w:t xml:space="preserve"> g/1.</w:t>
            </w:r>
            <w:r>
              <w:rPr>
                <w:rFonts w:hint="eastAsia"/>
                <w:color w:val="000000"/>
                <w:sz w:val="24"/>
              </w:rPr>
              <w:t>0</w:t>
            </w:r>
            <w:r>
              <w:rPr>
                <w:color w:val="000000"/>
                <w:sz w:val="24"/>
              </w:rPr>
              <w:t>-3.</w:t>
            </w:r>
            <w:r>
              <w:rPr>
                <w:rFonts w:hint="eastAsia"/>
                <w:color w:val="000000"/>
                <w:sz w:val="24"/>
              </w:rPr>
              <w:t>0</w:t>
            </w:r>
            <w:r>
              <w:rPr>
                <w:color w:val="000000"/>
                <w:sz w:val="24"/>
              </w:rPr>
              <w:t xml:space="preserve"> g</w:t>
            </w:r>
            <w:r>
              <w:rPr>
                <w:rFonts w:hint="eastAsia"/>
                <w:color w:val="000000"/>
                <w:sz w:val="24"/>
              </w:rPr>
              <w:t xml:space="preserve">； </w:t>
            </w:r>
            <w:r>
              <w:rPr>
                <w:color w:val="000000"/>
                <w:sz w:val="24"/>
              </w:rPr>
              <w:t>典型重复性：</w:t>
            </w:r>
            <w:r>
              <w:rPr>
                <w:rFonts w:hint="eastAsia"/>
                <w:sz w:val="24"/>
              </w:rPr>
              <w:t>≤</w:t>
            </w:r>
            <w:r>
              <w:rPr>
                <w:color w:val="000000"/>
                <w:sz w:val="24"/>
              </w:rPr>
              <w:t>0.0008 mg (200 mg)</w:t>
            </w:r>
            <w:r>
              <w:rPr>
                <w:rFonts w:hint="eastAsia"/>
                <w:color w:val="000000"/>
                <w:sz w:val="24"/>
              </w:rPr>
              <w:t>。</w:t>
            </w:r>
          </w:p>
          <w:p w14:paraId="43427617">
            <w:pPr>
              <w:pStyle w:val="2"/>
              <w:spacing w:line="360" w:lineRule="auto"/>
              <w:ind w:firstLine="0"/>
              <w:rPr>
                <w:rFonts w:ascii="Times New Roman"/>
                <w:color w:val="000000"/>
                <w:szCs w:val="24"/>
              </w:rPr>
            </w:pPr>
            <w:r>
              <w:rPr>
                <w:rFonts w:hint="eastAsia" w:hAnsi="宋体"/>
              </w:rPr>
              <w:t>#</w:t>
            </w:r>
            <w:r>
              <w:rPr>
                <w:rFonts w:ascii="Times New Roman"/>
                <w:color w:val="000000"/>
                <w:szCs w:val="24"/>
              </w:rPr>
              <w:t>4.</w:t>
            </w:r>
            <w:r>
              <w:rPr>
                <w:rFonts w:hint="eastAsia" w:ascii="Times New Roman"/>
                <w:color w:val="000000"/>
                <w:szCs w:val="24"/>
              </w:rPr>
              <w:t xml:space="preserve">4 </w:t>
            </w:r>
            <w:r>
              <w:rPr>
                <w:rFonts w:ascii="Times New Roman"/>
                <w:color w:val="000000"/>
                <w:szCs w:val="24"/>
              </w:rPr>
              <w:t>线性偏差：</w:t>
            </w:r>
            <w:r>
              <w:rPr>
                <w:rFonts w:hint="eastAsia"/>
              </w:rPr>
              <w:t>≤</w:t>
            </w:r>
            <w:r>
              <w:rPr>
                <w:rFonts w:ascii="Times New Roman"/>
                <w:color w:val="000000"/>
                <w:szCs w:val="24"/>
              </w:rPr>
              <w:t>0.02 mg (0.5 g)</w:t>
            </w:r>
            <w:r>
              <w:rPr>
                <w:rFonts w:hint="eastAsia" w:ascii="Times New Roman"/>
                <w:color w:val="000000"/>
                <w:szCs w:val="24"/>
              </w:rPr>
              <w:t>；</w:t>
            </w:r>
            <w:r>
              <w:rPr>
                <w:rFonts w:ascii="Times New Roman"/>
                <w:color w:val="000000"/>
                <w:szCs w:val="24"/>
              </w:rPr>
              <w:t>偏心：</w:t>
            </w:r>
            <w:r>
              <w:rPr>
                <w:rFonts w:hint="eastAsia"/>
              </w:rPr>
              <w:t>≤</w:t>
            </w:r>
            <w:r>
              <w:rPr>
                <w:rFonts w:ascii="Times New Roman"/>
                <w:color w:val="000000"/>
                <w:szCs w:val="24"/>
              </w:rPr>
              <w:t>0.01 mg (2 g)</w:t>
            </w:r>
            <w:r>
              <w:rPr>
                <w:rFonts w:hint="eastAsia" w:ascii="Times New Roman"/>
                <w:color w:val="000000"/>
                <w:szCs w:val="24"/>
              </w:rPr>
              <w:t>；</w:t>
            </w:r>
          </w:p>
          <w:p w14:paraId="6ACC336D">
            <w:pPr>
              <w:pStyle w:val="2"/>
              <w:spacing w:line="360" w:lineRule="auto"/>
              <w:ind w:firstLine="0"/>
              <w:rPr>
                <w:rFonts w:ascii="Times New Roman"/>
                <w:color w:val="000000"/>
                <w:szCs w:val="24"/>
              </w:rPr>
            </w:pPr>
            <w:r>
              <w:rPr>
                <w:rFonts w:ascii="Times New Roman"/>
                <w:color w:val="000000"/>
                <w:szCs w:val="24"/>
              </w:rPr>
              <w:t>4.</w:t>
            </w:r>
            <w:r>
              <w:rPr>
                <w:rFonts w:hint="eastAsia" w:ascii="Times New Roman"/>
                <w:color w:val="000000"/>
                <w:szCs w:val="24"/>
              </w:rPr>
              <w:t xml:space="preserve">5 </w:t>
            </w:r>
            <w:r>
              <w:rPr>
                <w:rFonts w:ascii="Times New Roman"/>
                <w:color w:val="000000"/>
                <w:szCs w:val="24"/>
              </w:rPr>
              <w:t>灵敏度温度漂移：</w:t>
            </w:r>
            <w:r>
              <w:rPr>
                <w:rFonts w:hint="eastAsia"/>
              </w:rPr>
              <w:t>≤</w:t>
            </w:r>
            <w:r>
              <w:rPr>
                <w:rFonts w:ascii="Times New Roman"/>
                <w:color w:val="000000"/>
                <w:szCs w:val="24"/>
              </w:rPr>
              <w:t>0.00015%/℃</w:t>
            </w:r>
          </w:p>
          <w:p w14:paraId="55D9B9D2">
            <w:pPr>
              <w:pStyle w:val="2"/>
              <w:spacing w:line="360" w:lineRule="auto"/>
              <w:ind w:firstLine="0"/>
              <w:rPr>
                <w:rFonts w:ascii="Times New Roman"/>
                <w:color w:val="000000"/>
                <w:szCs w:val="24"/>
              </w:rPr>
            </w:pPr>
            <w:r>
              <w:rPr>
                <w:rFonts w:ascii="Times New Roman"/>
                <w:color w:val="000000"/>
                <w:szCs w:val="24"/>
              </w:rPr>
              <w:t>4.</w:t>
            </w:r>
            <w:r>
              <w:rPr>
                <w:rFonts w:hint="eastAsia" w:ascii="Times New Roman"/>
                <w:color w:val="000000"/>
                <w:szCs w:val="24"/>
              </w:rPr>
              <w:t xml:space="preserve">6 </w:t>
            </w:r>
            <w:r>
              <w:rPr>
                <w:rFonts w:ascii="Times New Roman"/>
                <w:color w:val="000000"/>
                <w:szCs w:val="24"/>
              </w:rPr>
              <w:t>灵敏度稳定性：</w:t>
            </w:r>
            <w:r>
              <w:rPr>
                <w:rFonts w:hint="eastAsia"/>
              </w:rPr>
              <w:t>≤</w:t>
            </w:r>
            <w:r>
              <w:rPr>
                <w:rFonts w:ascii="Times New Roman"/>
                <w:color w:val="000000"/>
                <w:szCs w:val="24"/>
              </w:rPr>
              <w:t>0.00025%/a</w:t>
            </w:r>
          </w:p>
          <w:p w14:paraId="10304753">
            <w:pPr>
              <w:numPr>
                <w:ilvl w:val="0"/>
                <w:numId w:val="1"/>
              </w:numPr>
              <w:adjustRightInd w:val="0"/>
              <w:snapToGrid w:val="0"/>
              <w:spacing w:line="360" w:lineRule="auto"/>
              <w:rPr>
                <w:b/>
                <w:bCs/>
                <w:color w:val="000000"/>
                <w:sz w:val="24"/>
              </w:rPr>
            </w:pPr>
            <w:r>
              <w:rPr>
                <w:b/>
                <w:bCs/>
                <w:color w:val="000000"/>
                <w:sz w:val="24"/>
              </w:rPr>
              <w:t>质谱仪气路系统</w:t>
            </w:r>
          </w:p>
          <w:p w14:paraId="4C7D1AA9">
            <w:pPr>
              <w:adjustRightInd w:val="0"/>
              <w:snapToGrid w:val="0"/>
              <w:spacing w:line="360" w:lineRule="auto"/>
              <w:rPr>
                <w:bCs/>
                <w:color w:val="000000"/>
                <w:sz w:val="24"/>
              </w:rPr>
            </w:pPr>
            <w:bookmarkStart w:id="1" w:name="OLE_LINK22"/>
            <w:r>
              <w:rPr>
                <w:rFonts w:hint="eastAsia" w:ascii="宋体" w:hAnsi="宋体"/>
              </w:rPr>
              <w:t>#</w:t>
            </w:r>
            <w:bookmarkEnd w:id="1"/>
            <w:r>
              <w:rPr>
                <w:bCs/>
                <w:color w:val="000000"/>
                <w:sz w:val="24"/>
              </w:rPr>
              <w:t>5.1</w:t>
            </w:r>
            <w:r>
              <w:rPr>
                <w:rFonts w:hint="eastAsia"/>
                <w:bCs/>
                <w:color w:val="000000"/>
                <w:sz w:val="24"/>
              </w:rPr>
              <w:t>搭建5路</w:t>
            </w:r>
            <w:r>
              <w:rPr>
                <w:bCs/>
                <w:color w:val="000000"/>
                <w:sz w:val="24"/>
              </w:rPr>
              <w:t>气路</w:t>
            </w:r>
            <w:r>
              <w:rPr>
                <w:rFonts w:hint="eastAsia"/>
                <w:bCs/>
                <w:color w:val="000000"/>
                <w:sz w:val="24"/>
              </w:rPr>
              <w:t>，采用</w:t>
            </w:r>
            <w:r>
              <w:rPr>
                <w:bCs/>
                <w:color w:val="000000"/>
                <w:sz w:val="24"/>
              </w:rPr>
              <w:t>两级调压方式，</w:t>
            </w:r>
            <w:r>
              <w:rPr>
                <w:rFonts w:hint="eastAsia"/>
                <w:bCs/>
                <w:color w:val="000000"/>
                <w:sz w:val="24"/>
              </w:rPr>
              <w:t>管路漏气率24小时不超过1%。</w:t>
            </w:r>
          </w:p>
          <w:p w14:paraId="26DCA7E6">
            <w:pPr>
              <w:adjustRightInd w:val="0"/>
              <w:snapToGrid w:val="0"/>
              <w:spacing w:line="360" w:lineRule="auto"/>
              <w:rPr>
                <w:bCs/>
                <w:color w:val="000000"/>
                <w:sz w:val="24"/>
              </w:rPr>
            </w:pPr>
            <w:r>
              <w:rPr>
                <w:bCs/>
                <w:color w:val="000000"/>
                <w:sz w:val="24"/>
              </w:rPr>
              <w:t>5.2供气系统使用温度范围：-40℃～66℃（抗低温、防冻、防漏、防气体腐蚀）。</w:t>
            </w:r>
          </w:p>
          <w:p w14:paraId="7829B49F">
            <w:pPr>
              <w:adjustRightInd w:val="0"/>
              <w:snapToGrid w:val="0"/>
              <w:spacing w:line="360" w:lineRule="auto"/>
              <w:rPr>
                <w:rFonts w:hint="eastAsia"/>
                <w:bCs/>
                <w:color w:val="000000"/>
                <w:sz w:val="24"/>
              </w:rPr>
            </w:pPr>
            <w:r>
              <w:rPr>
                <w:bCs/>
                <w:color w:val="000000"/>
                <w:sz w:val="24"/>
              </w:rPr>
              <w:t>5.3供气系统材料承受压力必须大于钢瓶最大设计压力，管道整体达到保压24小时之后，标压下，压降</w:t>
            </w:r>
            <w:r>
              <w:rPr>
                <w:rFonts w:hint="eastAsia" w:cs="宋体"/>
                <w:szCs w:val="21"/>
              </w:rPr>
              <w:t>≤</w:t>
            </w:r>
            <w:r>
              <w:rPr>
                <w:bCs/>
                <w:color w:val="000000"/>
                <w:sz w:val="24"/>
              </w:rPr>
              <w:t>0.02Mpa</w:t>
            </w:r>
            <w:r>
              <w:rPr>
                <w:rFonts w:hint="eastAsia"/>
                <w:bCs/>
                <w:color w:val="000000"/>
                <w:sz w:val="24"/>
              </w:rPr>
              <w:t>。</w:t>
            </w:r>
          </w:p>
          <w:p w14:paraId="62F171AC">
            <w:pPr>
              <w:adjustRightInd w:val="0"/>
              <w:snapToGrid w:val="0"/>
              <w:spacing w:line="360" w:lineRule="auto"/>
              <w:rPr>
                <w:bCs/>
                <w:color w:val="000000"/>
                <w:sz w:val="24"/>
              </w:rPr>
            </w:pPr>
            <w:r>
              <w:rPr>
                <w:bCs/>
                <w:color w:val="000000"/>
                <w:sz w:val="24"/>
              </w:rPr>
              <w:t>5.</w:t>
            </w:r>
            <w:r>
              <w:rPr>
                <w:rFonts w:hint="eastAsia"/>
                <w:bCs/>
                <w:color w:val="000000"/>
                <w:sz w:val="24"/>
              </w:rPr>
              <w:t>4</w:t>
            </w:r>
            <w:r>
              <w:rPr>
                <w:bCs/>
                <w:color w:val="000000"/>
                <w:sz w:val="24"/>
              </w:rPr>
              <w:t>气路系统采用316L BA级不锈钢无缝钢管，三通、弯头等采用成品配件，连接方式均采用进口全自动焊机焊接连接。减压阀</w:t>
            </w:r>
            <w:r>
              <w:rPr>
                <w:rFonts w:hint="eastAsia"/>
                <w:bCs/>
                <w:color w:val="000000"/>
                <w:sz w:val="24"/>
              </w:rPr>
              <w:t>为</w:t>
            </w:r>
            <w:r>
              <w:rPr>
                <w:bCs/>
                <w:color w:val="000000"/>
                <w:sz w:val="24"/>
              </w:rPr>
              <w:t>316L不锈钢材质，</w:t>
            </w:r>
            <w:r>
              <w:rPr>
                <w:bCs/>
                <w:color w:val="000000"/>
                <w:sz w:val="24"/>
                <w:lang w:eastAsia="zh-Hans"/>
              </w:rPr>
              <w:t>产品阀体及零部件须按照ASTM G-93-LVC进行去油脱脂处理</w:t>
            </w:r>
            <w:r>
              <w:rPr>
                <w:bCs/>
                <w:color w:val="000000"/>
                <w:sz w:val="24"/>
              </w:rPr>
              <w:t>。</w:t>
            </w:r>
          </w:p>
          <w:p w14:paraId="729C51ED">
            <w:pPr>
              <w:adjustRightInd w:val="0"/>
              <w:snapToGrid w:val="0"/>
              <w:spacing w:line="360" w:lineRule="auto"/>
              <w:rPr>
                <w:bCs/>
                <w:color w:val="000000"/>
                <w:sz w:val="24"/>
              </w:rPr>
            </w:pPr>
            <w:r>
              <w:rPr>
                <w:bCs/>
                <w:color w:val="000000"/>
                <w:sz w:val="24"/>
              </w:rPr>
              <w:t>5.</w:t>
            </w:r>
            <w:r>
              <w:rPr>
                <w:rFonts w:hint="eastAsia"/>
                <w:bCs/>
                <w:color w:val="000000"/>
                <w:sz w:val="24"/>
              </w:rPr>
              <w:t>5</w:t>
            </w:r>
            <w:r>
              <w:rPr>
                <w:bCs/>
                <w:color w:val="000000"/>
                <w:sz w:val="24"/>
              </w:rPr>
              <w:t>配备气体泄漏报警系统可检测CO</w:t>
            </w:r>
            <w:r>
              <w:rPr>
                <w:bCs/>
                <w:color w:val="000000"/>
                <w:sz w:val="24"/>
                <w:vertAlign w:val="subscript"/>
              </w:rPr>
              <w:t>2</w:t>
            </w:r>
            <w:r>
              <w:rPr>
                <w:bCs/>
                <w:color w:val="000000"/>
                <w:sz w:val="24"/>
              </w:rPr>
              <w:t>、SO</w:t>
            </w:r>
            <w:r>
              <w:rPr>
                <w:bCs/>
                <w:color w:val="000000"/>
                <w:sz w:val="24"/>
                <w:vertAlign w:val="subscript"/>
              </w:rPr>
              <w:t>2</w:t>
            </w:r>
            <w:r>
              <w:rPr>
                <w:bCs/>
                <w:color w:val="000000"/>
                <w:sz w:val="24"/>
              </w:rPr>
              <w:t>、O</w:t>
            </w:r>
            <w:r>
              <w:rPr>
                <w:bCs/>
                <w:color w:val="000000"/>
                <w:sz w:val="24"/>
                <w:vertAlign w:val="subscript"/>
              </w:rPr>
              <w:t>2</w:t>
            </w:r>
            <w:r>
              <w:rPr>
                <w:bCs/>
                <w:color w:val="000000"/>
                <w:sz w:val="24"/>
              </w:rPr>
              <w:t>、H</w:t>
            </w:r>
            <w:r>
              <w:rPr>
                <w:bCs/>
                <w:color w:val="000000"/>
                <w:sz w:val="24"/>
                <w:vertAlign w:val="subscript"/>
              </w:rPr>
              <w:t>2</w:t>
            </w:r>
            <w:r>
              <w:rPr>
                <w:bCs/>
                <w:color w:val="000000"/>
                <w:sz w:val="24"/>
              </w:rPr>
              <w:t>、CO，防护等级IP66。</w:t>
            </w:r>
          </w:p>
          <w:p w14:paraId="272FCDB4">
            <w:pPr>
              <w:adjustRightInd w:val="0"/>
              <w:snapToGrid w:val="0"/>
              <w:spacing w:line="360" w:lineRule="auto"/>
              <w:rPr>
                <w:bCs/>
                <w:color w:val="000000"/>
                <w:sz w:val="24"/>
              </w:rPr>
            </w:pPr>
            <w:r>
              <w:rPr>
                <w:bCs/>
                <w:color w:val="000000"/>
                <w:sz w:val="24"/>
              </w:rPr>
              <w:t>5.</w:t>
            </w:r>
            <w:r>
              <w:rPr>
                <w:rFonts w:hint="eastAsia"/>
                <w:bCs/>
                <w:color w:val="000000"/>
                <w:sz w:val="24"/>
              </w:rPr>
              <w:t>6</w:t>
            </w:r>
            <w:r>
              <w:rPr>
                <w:bCs/>
                <w:color w:val="000000"/>
                <w:sz w:val="24"/>
              </w:rPr>
              <w:t>配备仪器通风橱系统，能有效处理实验产生的微量废气。</w:t>
            </w:r>
          </w:p>
          <w:p w14:paraId="51B60A5B">
            <w:pPr>
              <w:numPr>
                <w:ilvl w:val="0"/>
                <w:numId w:val="1"/>
              </w:numPr>
              <w:adjustRightInd w:val="0"/>
              <w:snapToGrid w:val="0"/>
              <w:spacing w:line="360" w:lineRule="auto"/>
              <w:rPr>
                <w:b/>
                <w:bCs/>
                <w:color w:val="000000"/>
                <w:sz w:val="24"/>
              </w:rPr>
            </w:pPr>
            <w:r>
              <w:rPr>
                <w:b/>
                <w:bCs/>
                <w:color w:val="000000"/>
                <w:sz w:val="24"/>
              </w:rPr>
              <w:t>同位素质谱仪样品前处理系统 1套</w:t>
            </w:r>
          </w:p>
          <w:p w14:paraId="60547372">
            <w:pPr>
              <w:adjustRightInd w:val="0"/>
              <w:snapToGrid w:val="0"/>
              <w:spacing w:line="360" w:lineRule="auto"/>
              <w:rPr>
                <w:bCs/>
                <w:color w:val="000000"/>
                <w:sz w:val="24"/>
              </w:rPr>
            </w:pPr>
            <w:r>
              <w:rPr>
                <w:bCs/>
                <w:color w:val="000000"/>
                <w:sz w:val="24"/>
              </w:rPr>
              <w:t>6.1系统组成：由双波长紫外灯、超纯化柱、终端过滤器等组成。</w:t>
            </w:r>
          </w:p>
          <w:p w14:paraId="75D52B18">
            <w:pPr>
              <w:adjustRightInd w:val="0"/>
              <w:snapToGrid w:val="0"/>
              <w:spacing w:line="360" w:lineRule="auto"/>
              <w:rPr>
                <w:bCs/>
                <w:color w:val="000000"/>
                <w:sz w:val="24"/>
              </w:rPr>
            </w:pPr>
            <w:r>
              <w:rPr>
                <w:bCs/>
                <w:color w:val="000000"/>
                <w:sz w:val="24"/>
              </w:rPr>
              <w:t>6.2</w:t>
            </w:r>
            <w:bookmarkStart w:id="2" w:name="OLE_LINK20"/>
            <w:r>
              <w:rPr>
                <w:bCs/>
                <w:color w:val="000000"/>
                <w:sz w:val="24"/>
              </w:rPr>
              <w:t>系统内置高精度电阻率检测仪，电极常数为0.01 cm</w:t>
            </w:r>
            <w:r>
              <w:rPr>
                <w:bCs/>
                <w:color w:val="000000"/>
                <w:sz w:val="24"/>
                <w:vertAlign w:val="superscript"/>
              </w:rPr>
              <w:t>-1</w:t>
            </w:r>
            <w:r>
              <w:rPr>
                <w:bCs/>
                <w:color w:val="000000"/>
                <w:sz w:val="24"/>
              </w:rPr>
              <w:t>，温度灵敏度达到0.1℃</w:t>
            </w:r>
            <w:bookmarkEnd w:id="2"/>
            <w:r>
              <w:rPr>
                <w:bCs/>
                <w:color w:val="000000"/>
                <w:sz w:val="24"/>
              </w:rPr>
              <w:t>。</w:t>
            </w:r>
          </w:p>
          <w:p w14:paraId="3F805037">
            <w:pPr>
              <w:adjustRightInd w:val="0"/>
              <w:snapToGrid w:val="0"/>
              <w:spacing w:line="360" w:lineRule="auto"/>
              <w:rPr>
                <w:bCs/>
                <w:color w:val="000000"/>
                <w:sz w:val="24"/>
              </w:rPr>
            </w:pPr>
            <w:r>
              <w:rPr>
                <w:bCs/>
                <w:color w:val="000000"/>
                <w:sz w:val="24"/>
              </w:rPr>
              <w:t xml:space="preserve">6.3总有机碳TOC </w:t>
            </w:r>
            <w:r>
              <w:rPr>
                <w:rFonts w:hint="eastAsia" w:cs="宋体"/>
                <w:szCs w:val="21"/>
              </w:rPr>
              <w:t>≤</w:t>
            </w:r>
            <w:r>
              <w:rPr>
                <w:bCs/>
                <w:color w:val="000000"/>
                <w:sz w:val="24"/>
              </w:rPr>
              <w:t xml:space="preserve"> 5 ppb</w:t>
            </w:r>
          </w:p>
          <w:p w14:paraId="7BDAF325">
            <w:pPr>
              <w:adjustRightInd w:val="0"/>
              <w:snapToGrid w:val="0"/>
              <w:spacing w:line="360" w:lineRule="auto"/>
              <w:rPr>
                <w:bCs/>
                <w:color w:val="000000"/>
                <w:sz w:val="24"/>
              </w:rPr>
            </w:pPr>
            <w:r>
              <w:rPr>
                <w:bCs/>
                <w:color w:val="000000"/>
                <w:sz w:val="24"/>
              </w:rPr>
              <w:t>6.4流速：</w:t>
            </w:r>
            <w:r>
              <w:rPr>
                <w:rFonts w:hint="eastAsia" w:cs="宋体"/>
                <w:szCs w:val="21"/>
              </w:rPr>
              <w:t>≥</w:t>
            </w:r>
            <w:r>
              <w:rPr>
                <w:bCs/>
                <w:color w:val="000000"/>
                <w:sz w:val="24"/>
              </w:rPr>
              <w:t>30L/h</w:t>
            </w:r>
            <w:r>
              <w:rPr>
                <w:rFonts w:hint="eastAsia"/>
                <w:bCs/>
                <w:color w:val="000000"/>
                <w:sz w:val="24"/>
              </w:rPr>
              <w:t>；</w:t>
            </w:r>
            <w:r>
              <w:rPr>
                <w:bCs/>
                <w:color w:val="000000"/>
                <w:sz w:val="24"/>
              </w:rPr>
              <w:t>存储容量：</w:t>
            </w:r>
            <w:r>
              <w:rPr>
                <w:rFonts w:hint="eastAsia" w:cs="宋体"/>
                <w:szCs w:val="21"/>
              </w:rPr>
              <w:t>≥</w:t>
            </w:r>
            <w:r>
              <w:rPr>
                <w:bCs/>
                <w:color w:val="000000"/>
                <w:sz w:val="24"/>
              </w:rPr>
              <w:t>50L</w:t>
            </w:r>
            <w:r>
              <w:rPr>
                <w:rFonts w:hint="eastAsia"/>
                <w:bCs/>
                <w:color w:val="000000"/>
                <w:sz w:val="24"/>
              </w:rPr>
              <w:t>；</w:t>
            </w:r>
          </w:p>
          <w:p w14:paraId="5A93FD47">
            <w:pPr>
              <w:adjustRightInd w:val="0"/>
              <w:snapToGrid w:val="0"/>
              <w:spacing w:line="360" w:lineRule="auto"/>
              <w:rPr>
                <w:bCs/>
                <w:color w:val="000000"/>
                <w:sz w:val="24"/>
              </w:rPr>
            </w:pPr>
            <w:r>
              <w:rPr>
                <w:rFonts w:hint="eastAsia"/>
                <w:bCs/>
                <w:color w:val="000000"/>
                <w:sz w:val="24"/>
              </w:rPr>
              <w:t>6.5</w:t>
            </w:r>
            <w:r>
              <w:rPr>
                <w:bCs/>
                <w:color w:val="000000"/>
                <w:sz w:val="24"/>
              </w:rPr>
              <w:t>具备自动循环功能，循环时间间隔</w:t>
            </w:r>
            <w:r>
              <w:rPr>
                <w:rFonts w:hint="eastAsia" w:cs="宋体"/>
                <w:szCs w:val="21"/>
              </w:rPr>
              <w:t>≤</w:t>
            </w:r>
            <w:r>
              <w:rPr>
                <w:bCs/>
                <w:color w:val="000000"/>
                <w:sz w:val="24"/>
              </w:rPr>
              <w:t>2小时</w:t>
            </w:r>
          </w:p>
          <w:p w14:paraId="2E0534BC">
            <w:pPr>
              <w:adjustRightInd w:val="0"/>
              <w:snapToGrid w:val="0"/>
              <w:spacing w:line="360" w:lineRule="auto"/>
              <w:rPr>
                <w:b/>
                <w:bCs/>
                <w:color w:val="000000"/>
                <w:sz w:val="24"/>
              </w:rPr>
            </w:pPr>
            <w:r>
              <w:rPr>
                <w:b/>
                <w:bCs/>
                <w:color w:val="000000"/>
                <w:sz w:val="24"/>
              </w:rPr>
              <w:t>7. 稳定同位素比质谱仪工作站软件</w:t>
            </w:r>
          </w:p>
          <w:p w14:paraId="0ECE7B89">
            <w:pPr>
              <w:adjustRightInd w:val="0"/>
              <w:snapToGrid w:val="0"/>
              <w:spacing w:line="360" w:lineRule="auto"/>
              <w:rPr>
                <w:bCs/>
                <w:color w:val="000000"/>
                <w:sz w:val="24"/>
              </w:rPr>
            </w:pPr>
            <w:r>
              <w:rPr>
                <w:bCs/>
                <w:color w:val="000000"/>
                <w:sz w:val="24"/>
              </w:rPr>
              <w:t>7.1 专用于稳定同位素比质谱仪的仪器控制、数据采集和数据处理软件。</w:t>
            </w:r>
          </w:p>
          <w:p w14:paraId="36E36FA1">
            <w:pPr>
              <w:adjustRightInd w:val="0"/>
              <w:snapToGrid w:val="0"/>
              <w:spacing w:line="360" w:lineRule="auto"/>
              <w:rPr>
                <w:bCs/>
                <w:color w:val="000000"/>
                <w:sz w:val="24"/>
              </w:rPr>
            </w:pPr>
            <w:r>
              <w:rPr>
                <w:bCs/>
                <w:color w:val="000000"/>
                <w:sz w:val="24"/>
              </w:rPr>
              <w:t xml:space="preserve">7.2 能够实现稳定同位素比质谱仪实验室日常步骤自动化，包括系统稳定性、线性和质谱调谐等步骤的自动化，操作者无需在仪器前观察调试结果，仪器可根据内置的判别标准，自动判断上述调试步骤是否合格完成。 </w:t>
            </w:r>
          </w:p>
          <w:p w14:paraId="5A6FDDD6">
            <w:pPr>
              <w:adjustRightInd w:val="0"/>
              <w:snapToGrid w:val="0"/>
              <w:spacing w:line="360" w:lineRule="auto"/>
              <w:rPr>
                <w:bCs/>
                <w:color w:val="000000"/>
                <w:sz w:val="24"/>
              </w:rPr>
            </w:pPr>
            <w:r>
              <w:rPr>
                <w:bCs/>
                <w:color w:val="000000"/>
                <w:sz w:val="24"/>
              </w:rPr>
              <w:t>7.3 校准曲线实时体现，单点/两点/多点对照可选，可以建立国际标准物质的证书比值数据库，根据具体实验选择标准物质，并在软件中根据选择自动绘图，实时观测待测样品在校准曲线中的位置。</w:t>
            </w:r>
          </w:p>
          <w:p w14:paraId="0EE775CC">
            <w:pPr>
              <w:adjustRightInd w:val="0"/>
              <w:snapToGrid w:val="0"/>
              <w:spacing w:line="360" w:lineRule="auto"/>
              <w:rPr>
                <w:b/>
                <w:bCs/>
                <w:color w:val="000000"/>
                <w:sz w:val="24"/>
              </w:rPr>
            </w:pPr>
            <w:r>
              <w:rPr>
                <w:b/>
                <w:bCs/>
                <w:color w:val="000000"/>
                <w:sz w:val="24"/>
              </w:rPr>
              <w:t>8. 数据库管理软件</w:t>
            </w:r>
          </w:p>
          <w:p w14:paraId="3F93E6B7">
            <w:pPr>
              <w:adjustRightInd w:val="0"/>
              <w:snapToGrid w:val="0"/>
              <w:spacing w:line="360" w:lineRule="auto"/>
              <w:rPr>
                <w:bCs/>
                <w:color w:val="000000"/>
                <w:sz w:val="24"/>
              </w:rPr>
            </w:pPr>
            <w:r>
              <w:rPr>
                <w:rFonts w:hint="eastAsia" w:ascii="宋体" w:hAnsi="宋体"/>
              </w:rPr>
              <w:t>#</w:t>
            </w:r>
            <w:r>
              <w:rPr>
                <w:bCs/>
                <w:color w:val="000000"/>
                <w:sz w:val="24"/>
              </w:rPr>
              <w:t>8.1</w:t>
            </w:r>
            <w:r>
              <w:rPr>
                <w:color w:val="000000"/>
                <w:sz w:val="24"/>
              </w:rPr>
              <w:t>可单</w:t>
            </w:r>
            <w:r>
              <w:rPr>
                <w:color w:val="000000"/>
                <w:kern w:val="0"/>
                <w:sz w:val="24"/>
              </w:rPr>
              <w:t>独使用，用于GC-MS</w:t>
            </w:r>
            <w:r>
              <w:rPr>
                <w:rFonts w:hint="eastAsia"/>
                <w:color w:val="000000"/>
                <w:kern w:val="0"/>
                <w:sz w:val="24"/>
              </w:rPr>
              <w:t>，</w:t>
            </w:r>
            <w:r>
              <w:rPr>
                <w:color w:val="000000"/>
                <w:kern w:val="0"/>
                <w:sz w:val="24"/>
              </w:rPr>
              <w:t>IRMS等大型科</w:t>
            </w:r>
            <w:r>
              <w:rPr>
                <w:color w:val="000000"/>
                <w:sz w:val="24"/>
              </w:rPr>
              <w:t>研仪器的实验数据分析。</w:t>
            </w:r>
          </w:p>
          <w:p w14:paraId="6DFAD43C">
            <w:pPr>
              <w:adjustRightInd w:val="0"/>
              <w:snapToGrid w:val="0"/>
              <w:spacing w:line="360" w:lineRule="auto"/>
              <w:rPr>
                <w:color w:val="000000"/>
                <w:sz w:val="24"/>
              </w:rPr>
            </w:pPr>
            <w:r>
              <w:rPr>
                <w:bCs/>
                <w:color w:val="000000"/>
                <w:sz w:val="24"/>
              </w:rPr>
              <w:t>8.2</w:t>
            </w:r>
            <w:r>
              <w:rPr>
                <w:color w:val="000000"/>
                <w:sz w:val="24"/>
              </w:rPr>
              <w:t>可对数据进行</w:t>
            </w:r>
            <w:r>
              <w:rPr>
                <w:rFonts w:hint="eastAsia" w:cs="宋体"/>
                <w:szCs w:val="21"/>
              </w:rPr>
              <w:t>≥</w:t>
            </w:r>
            <w:r>
              <w:rPr>
                <w:color w:val="000000"/>
                <w:sz w:val="24"/>
              </w:rPr>
              <w:t>20个维度的记录和输入，可进行网格视图、地图视图、图标视图、报告视图等大数据分析。</w:t>
            </w:r>
          </w:p>
          <w:p w14:paraId="5D16703C">
            <w:pPr>
              <w:adjustRightInd w:val="0"/>
              <w:snapToGrid w:val="0"/>
              <w:spacing w:line="360" w:lineRule="auto"/>
              <w:rPr>
                <w:rFonts w:hint="eastAsia" w:ascii="宋体" w:hAnsi="宋体"/>
              </w:rPr>
            </w:pPr>
            <w:r>
              <w:rPr>
                <w:rFonts w:hint="eastAsia"/>
                <w:color w:val="000000"/>
                <w:sz w:val="24"/>
              </w:rPr>
              <w:t>8.3 具有全球降水同位素网络（GNIP）数据库包含近130,000个数据点，数据库超过40年，可生成全球降雨线图。</w:t>
            </w:r>
          </w:p>
        </w:tc>
      </w:tr>
      <w:tr w14:paraId="3FCBF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2" w:hRule="atLeast"/>
        </w:trPr>
        <w:tc>
          <w:tcPr>
            <w:tcW w:w="1179" w:type="pct"/>
            <w:tcBorders>
              <w:top w:val="single" w:color="auto" w:sz="4" w:space="0"/>
              <w:right w:val="single" w:color="auto" w:sz="4" w:space="0"/>
            </w:tcBorders>
            <w:noWrap w:val="0"/>
            <w:vAlign w:val="center"/>
          </w:tcPr>
          <w:p w14:paraId="4C163410">
            <w:pPr>
              <w:jc w:val="center"/>
              <w:rPr>
                <w:rFonts w:ascii="宋体" w:hAnsi="宋体"/>
                <w:sz w:val="24"/>
              </w:rPr>
            </w:pPr>
            <w:r>
              <w:rPr>
                <w:rFonts w:ascii="宋体" w:hAnsi="宋体"/>
                <w:sz w:val="24"/>
              </w:rPr>
              <w:t>服务需求</w:t>
            </w:r>
          </w:p>
        </w:tc>
        <w:tc>
          <w:tcPr>
            <w:tcW w:w="3821" w:type="pct"/>
            <w:gridSpan w:val="3"/>
            <w:tcBorders>
              <w:top w:val="single" w:color="auto" w:sz="4" w:space="0"/>
              <w:left w:val="single" w:color="auto" w:sz="4" w:space="0"/>
              <w:right w:val="single" w:color="auto" w:sz="4" w:space="0"/>
            </w:tcBorders>
            <w:noWrap w:val="0"/>
            <w:vAlign w:val="top"/>
          </w:tcPr>
          <w:p w14:paraId="61B389AF">
            <w:pPr>
              <w:autoSpaceDE w:val="0"/>
              <w:autoSpaceDN w:val="0"/>
              <w:adjustRightInd w:val="0"/>
              <w:snapToGrid w:val="0"/>
              <w:spacing w:before="62" w:beforeLines="20" w:line="360" w:lineRule="auto"/>
              <w:rPr>
                <w:rFonts w:hint="eastAsia" w:ascii="宋体" w:hAnsi="宋体"/>
                <w:sz w:val="24"/>
              </w:rPr>
            </w:pPr>
            <w:r>
              <w:rPr>
                <w:rFonts w:hint="eastAsia" w:ascii="宋体" w:hAnsi="宋体"/>
                <w:sz w:val="24"/>
              </w:rPr>
              <w:t xml:space="preserve">1、供应商免费安排工程师上门安装、调试，免费为用户进行操作及维护培训。 </w:t>
            </w:r>
          </w:p>
          <w:p w14:paraId="469038CD">
            <w:pPr>
              <w:autoSpaceDE w:val="0"/>
              <w:autoSpaceDN w:val="0"/>
              <w:adjustRightInd w:val="0"/>
              <w:snapToGrid w:val="0"/>
              <w:spacing w:before="62" w:beforeLines="20" w:line="360" w:lineRule="auto"/>
              <w:rPr>
                <w:rFonts w:hint="eastAsia" w:ascii="宋体" w:hAnsi="宋体"/>
                <w:sz w:val="24"/>
              </w:rPr>
            </w:pPr>
            <w:r>
              <w:rPr>
                <w:rFonts w:hint="eastAsia" w:ascii="宋体" w:hAnsi="宋体"/>
                <w:sz w:val="24"/>
              </w:rPr>
              <w:t>2、质保期</w:t>
            </w:r>
            <w:r>
              <w:rPr>
                <w:rFonts w:hint="eastAsia" w:ascii="宋体" w:hAnsi="宋体"/>
                <w:sz w:val="24"/>
                <w:u w:val="single"/>
              </w:rPr>
              <w:t xml:space="preserve"> 1 </w:t>
            </w:r>
            <w:r>
              <w:rPr>
                <w:rFonts w:hint="eastAsia" w:ascii="宋体" w:hAnsi="宋体"/>
                <w:sz w:val="24"/>
              </w:rPr>
              <w:t>年，质保期内免费维修或更换部件，维修2次仍无法正常使用应整体更换。质保期后，供应商以优惠价格负责后续维修保养，提供全周期技术支持。</w:t>
            </w:r>
          </w:p>
          <w:p w14:paraId="1AA40995">
            <w:pPr>
              <w:autoSpaceDE w:val="0"/>
              <w:autoSpaceDN w:val="0"/>
              <w:adjustRightInd w:val="0"/>
              <w:snapToGrid w:val="0"/>
              <w:spacing w:before="62" w:beforeLines="20" w:line="360" w:lineRule="auto"/>
              <w:rPr>
                <w:rFonts w:hint="eastAsia" w:ascii="宋体" w:hAnsi="宋体"/>
                <w:sz w:val="24"/>
              </w:rPr>
            </w:pPr>
            <w:r>
              <w:rPr>
                <w:rFonts w:hint="eastAsia" w:ascii="宋体" w:hAnsi="宋体"/>
                <w:sz w:val="24"/>
              </w:rPr>
              <w:t>3、供应商应在接到售后服务要求后4小时内响应、24小时内安排技术人员解决或提供解决方案。出现重大紧急故障，应在接到通知后48小时内赶赴现场排除故障。</w:t>
            </w:r>
          </w:p>
          <w:p w14:paraId="7F02D0CD">
            <w:pPr>
              <w:autoSpaceDE w:val="0"/>
              <w:autoSpaceDN w:val="0"/>
              <w:adjustRightInd w:val="0"/>
              <w:snapToGrid w:val="0"/>
              <w:rPr>
                <w:rFonts w:ascii="宋体" w:hAnsi="宋体"/>
                <w:sz w:val="24"/>
              </w:rPr>
            </w:pPr>
          </w:p>
        </w:tc>
      </w:tr>
      <w:tr w14:paraId="654B8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179" w:type="pct"/>
            <w:vMerge w:val="restart"/>
            <w:noWrap w:val="0"/>
            <w:vAlign w:val="center"/>
          </w:tcPr>
          <w:p w14:paraId="7E5D25A9">
            <w:pPr>
              <w:jc w:val="center"/>
              <w:rPr>
                <w:rFonts w:ascii="宋体" w:hAnsi="宋体"/>
                <w:sz w:val="24"/>
              </w:rPr>
            </w:pPr>
            <w:r>
              <w:rPr>
                <w:rFonts w:ascii="宋体" w:hAnsi="宋体"/>
                <w:sz w:val="24"/>
              </w:rPr>
              <w:t>其他说明事项</w:t>
            </w:r>
          </w:p>
        </w:tc>
        <w:tc>
          <w:tcPr>
            <w:tcW w:w="3821" w:type="pct"/>
            <w:gridSpan w:val="3"/>
            <w:tcBorders>
              <w:top w:val="single" w:color="auto" w:sz="4" w:space="0"/>
              <w:bottom w:val="single" w:color="auto" w:sz="4" w:space="0"/>
            </w:tcBorders>
            <w:noWrap w:val="0"/>
            <w:vAlign w:val="center"/>
          </w:tcPr>
          <w:p w14:paraId="15D0C148">
            <w:pPr>
              <w:spacing w:line="360" w:lineRule="auto"/>
              <w:ind w:firstLine="480" w:firstLineChars="200"/>
              <w:rPr>
                <w:kern w:val="0"/>
                <w:sz w:val="24"/>
                <w:lang w:bidi="ar"/>
              </w:rPr>
            </w:pPr>
            <w:r>
              <w:rPr>
                <w:sz w:val="24"/>
              </w:rPr>
              <w:t>合同签署后10个工作日内，供货商向采购方银行账户汇入合同总价8%的履约保证金。如供货商未按时汇入该履约保证金，则为供货商实质性违约，采购方有权暂停履行合同相应义务。</w:t>
            </w:r>
          </w:p>
        </w:tc>
      </w:tr>
      <w:tr w14:paraId="087C5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179" w:type="pct"/>
            <w:vMerge w:val="continue"/>
            <w:noWrap w:val="0"/>
            <w:vAlign w:val="center"/>
          </w:tcPr>
          <w:p w14:paraId="776BC498">
            <w:pPr>
              <w:jc w:val="center"/>
              <w:rPr>
                <w:rFonts w:ascii="宋体" w:hAnsi="宋体"/>
                <w:sz w:val="24"/>
              </w:rPr>
            </w:pPr>
          </w:p>
        </w:tc>
        <w:tc>
          <w:tcPr>
            <w:tcW w:w="3821" w:type="pct"/>
            <w:gridSpan w:val="3"/>
            <w:tcBorders>
              <w:top w:val="single" w:color="auto" w:sz="4" w:space="0"/>
            </w:tcBorders>
            <w:noWrap w:val="0"/>
            <w:vAlign w:val="center"/>
          </w:tcPr>
          <w:p w14:paraId="1D3D0F89">
            <w:pPr>
              <w:adjustRightInd w:val="0"/>
              <w:snapToGrid w:val="0"/>
              <w:spacing w:line="360" w:lineRule="auto"/>
              <w:ind w:firstLine="1200" w:firstLineChars="500"/>
              <w:rPr>
                <w:rFonts w:hint="eastAsia" w:ascii="宋体" w:hAnsi="宋体"/>
                <w:sz w:val="24"/>
              </w:rPr>
            </w:pPr>
            <w:r>
              <w:rPr>
                <w:rFonts w:hint="eastAsia"/>
                <w:sz w:val="24"/>
              </w:rPr>
              <w:t>付款方式：</w:t>
            </w:r>
            <w:r>
              <w:rPr>
                <w:rFonts w:hint="eastAsia" w:ascii="宋体" w:hAnsi="宋体"/>
                <w:sz w:val="24"/>
              </w:rPr>
              <w:t>对于国产产品，100%凭用户代表签字并加盖单位公章后的验收报告支付；</w:t>
            </w:r>
          </w:p>
          <w:p w14:paraId="65ECB29D">
            <w:pPr>
              <w:adjustRightInd w:val="0"/>
              <w:snapToGrid w:val="0"/>
              <w:spacing w:line="360" w:lineRule="auto"/>
              <w:ind w:firstLine="1200" w:firstLineChars="500"/>
              <w:rPr>
                <w:rFonts w:hint="eastAsia" w:ascii="宋体" w:hAnsi="宋体"/>
                <w:sz w:val="24"/>
              </w:rPr>
            </w:pPr>
            <w:r>
              <w:rPr>
                <w:rFonts w:hint="eastAsia" w:ascii="宋体" w:hAnsi="宋体"/>
                <w:sz w:val="24"/>
              </w:rPr>
              <w:t>对于进口产品，采用即期不可撤消信用证等国际贸易支付条件支付：</w:t>
            </w:r>
          </w:p>
          <w:p w14:paraId="4D058DAF">
            <w:pPr>
              <w:adjustRightInd w:val="0"/>
              <w:snapToGrid w:val="0"/>
              <w:spacing w:line="360" w:lineRule="auto"/>
              <w:ind w:firstLine="480" w:firstLineChars="200"/>
              <w:rPr>
                <w:rFonts w:hint="eastAsia" w:ascii="宋体" w:hAnsi="宋体"/>
                <w:sz w:val="24"/>
              </w:rPr>
            </w:pPr>
            <w:r>
              <w:rPr>
                <w:rFonts w:hint="eastAsia" w:ascii="宋体" w:hAnsi="宋体"/>
                <w:sz w:val="24"/>
              </w:rPr>
              <w:t xml:space="preserve">      </w:t>
            </w:r>
            <w:r>
              <w:rPr>
                <w:rFonts w:ascii="宋体" w:hAnsi="宋体"/>
                <w:sz w:val="24"/>
              </w:rPr>
              <w:t>90</w:t>
            </w:r>
            <w:r>
              <w:rPr>
                <w:rFonts w:hint="eastAsia" w:ascii="宋体" w:hAnsi="宋体"/>
                <w:sz w:val="24"/>
              </w:rPr>
              <w:t>%凭合同要求单据支付；</w:t>
            </w:r>
          </w:p>
          <w:p w14:paraId="1DBE29BE">
            <w:pPr>
              <w:adjustRightInd w:val="0"/>
              <w:snapToGrid w:val="0"/>
              <w:spacing w:line="360" w:lineRule="auto"/>
              <w:ind w:firstLine="480" w:firstLineChars="200"/>
              <w:rPr>
                <w:rFonts w:hint="eastAsia" w:ascii="宋体" w:hAnsi="宋体"/>
                <w:sz w:val="24"/>
              </w:rPr>
            </w:pPr>
            <w:r>
              <w:rPr>
                <w:rFonts w:hint="eastAsia" w:ascii="宋体" w:hAnsi="宋体"/>
                <w:sz w:val="24"/>
              </w:rPr>
              <w:t xml:space="preserve">      </w:t>
            </w:r>
            <w:r>
              <w:rPr>
                <w:rFonts w:ascii="宋体" w:hAnsi="宋体"/>
                <w:sz w:val="24"/>
              </w:rPr>
              <w:t>10</w:t>
            </w:r>
            <w:r>
              <w:rPr>
                <w:rFonts w:hint="eastAsia" w:ascii="宋体" w:hAnsi="宋体"/>
                <w:sz w:val="24"/>
              </w:rPr>
              <w:t>%凭用户代表签字并加盖单位公章后的验收报告支付。</w:t>
            </w:r>
          </w:p>
        </w:tc>
      </w:tr>
    </w:tbl>
    <w:p w14:paraId="6DCBAFCB">
      <w:pPr>
        <w:widowControl/>
        <w:spacing w:line="360" w:lineRule="atLeast"/>
        <w:rPr>
          <w:rFonts w:hint="eastAsia" w:ascii="宋体" w:hAnsi="宋体"/>
          <w:b/>
          <w:sz w:val="30"/>
          <w:szCs w:val="30"/>
        </w:rPr>
      </w:pPr>
    </w:p>
    <w:p w14:paraId="1D01257F"/>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Malgun Gothic Semilight"/>
    <w:panose1 w:val="020B0604020202020204"/>
    <w:charset w:val="00"/>
    <w:family w:val="roman"/>
    <w:pitch w:val="default"/>
    <w:sig w:usb0="00000000" w:usb1="00000000" w:usb2="00000000" w:usb3="00000000" w:csb0="00000001" w:csb1="00000000"/>
  </w:font>
  <w:font w:name="Malgun Gothic Semilight">
    <w:panose1 w:val="020B0502040204020203"/>
    <w:charset w:val="86"/>
    <w:family w:val="auto"/>
    <w:pitch w:val="default"/>
    <w:sig w:usb0="900002AF" w:usb1="01D77CFB" w:usb2="00000012" w:usb3="00000000" w:csb0="203E01BD" w:csb1="D7FF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2CC01C"/>
    <w:multiLevelType w:val="singleLevel"/>
    <w:tmpl w:val="4B2CC01C"/>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484539"/>
    <w:rsid w:val="0D714508"/>
    <w:rsid w:val="5A4845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autoSpaceDE w:val="0"/>
      <w:autoSpaceDN w:val="0"/>
      <w:adjustRightInd w:val="0"/>
      <w:ind w:firstLine="420"/>
      <w:jc w:val="left"/>
    </w:pPr>
    <w:rPr>
      <w:rFonts w:ascii="宋体"/>
      <w:kern w:val="0"/>
      <w:sz w:val="24"/>
      <w:szCs w:val="20"/>
    </w:rPr>
  </w:style>
  <w:style w:type="paragraph" w:styleId="3">
    <w:name w:val="Plain Text"/>
    <w:basedOn w:val="1"/>
    <w:qFormat/>
    <w:uiPriority w:val="99"/>
    <w:rPr>
      <w:rFonts w:ascii="宋体" w:hAnsi="Courier New"/>
      <w:szCs w:val="20"/>
    </w:rPr>
  </w:style>
  <w:style w:type="paragraph" w:styleId="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4315</Words>
  <Characters>4860</Characters>
  <Lines>0</Lines>
  <Paragraphs>0</Paragraphs>
  <TotalTime>0</TotalTime>
  <ScaleCrop>false</ScaleCrop>
  <LinksUpToDate>false</LinksUpToDate>
  <CharactersWithSpaces>4996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2025-09-08T09:09:00Z</dcterms:created>
  <dc:creator>顾嘉宁</dc:creator>
  <cp:lastModifiedBy>清</cp:lastModifiedBy>
  <dcterms:modified xsi:type="dcterms:W3CDTF">2025-09-09T01:01:50Z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85FFD2B568F64E4DA5A0F8441AFD7BDB_13</vt:lpwstr>
  </property>
  <property fmtid="{D5CDD505-2E9C-101B-9397-08002B2CF9AE}" pid="4" name="KSOTemplateDocerSaveRecord">
    <vt:lpwstr>eyJoZGlkIjoiM2FjYTIzZGUxMzUyYzc4ODFmYzlkNjk5ZTYzODY2NmIiLCJ1c2VySWQiOiIxNjYzMDExNDYwIn0=</vt:lpwstr>
  </property>
</Properties>
</file>